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الشهید الثانی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59974_1067777946">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3859976_106777794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859978_1067777946">
            <w:r>
              <w:rPr>
                <w:webHidden/>
                <w:rStyle w:val="IndexLink"/>
                <w:rtl w:val="true"/>
              </w:rPr>
              <w:t>فهرس الموضوعات</w:t>
            </w:r>
            <w:r>
              <w:rPr>
                <w:rStyle w:val="IndexLink"/>
                <w:rtl w:val="true"/>
              </w:rPr>
              <w:tab/>
            </w:r>
            <w:r>
              <w:rPr>
                <w:rStyle w:val="IndexLink"/>
              </w:rPr>
              <w:t>16</w:t>
            </w:r>
          </w:hyperlink>
        </w:p>
        <w:p>
          <w:pPr>
            <w:pStyle w:val="Contents2"/>
            <w:tabs>
              <w:tab w:val="clear" w:pos="8743"/>
              <w:tab w:val="right" w:pos="9026" w:leader="dot"/>
            </w:tabs>
            <w:rPr/>
          </w:pPr>
          <w:hyperlink w:anchor="__RefHeading___Toc3859980_1067777946">
            <w:r>
              <w:rPr>
                <w:webHidden/>
                <w:rStyle w:val="IndexLink"/>
                <w:rtl w:val="true"/>
              </w:rPr>
              <w:t>كتاب الظهار</w:t>
            </w:r>
            <w:r>
              <w:rPr>
                <w:rStyle w:val="IndexLink"/>
                <w:rtl w:val="true"/>
              </w:rPr>
              <w:tab/>
            </w:r>
            <w:r>
              <w:rPr>
                <w:rStyle w:val="IndexLink"/>
              </w:rPr>
              <w:t>28</w:t>
            </w:r>
          </w:hyperlink>
        </w:p>
        <w:p>
          <w:pPr>
            <w:pStyle w:val="Contents3"/>
            <w:tabs>
              <w:tab w:val="clear" w:pos="8459"/>
              <w:tab w:val="right" w:pos="9026" w:leader="dot"/>
            </w:tabs>
            <w:rPr/>
          </w:pPr>
          <w:hyperlink w:anchor="__RefHeading___Toc3859982_1067777946">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3859984_1067777946">
            <w:r>
              <w:rPr>
                <w:webHidden/>
                <w:rStyle w:val="IndexLink"/>
                <w:rtl w:val="true"/>
              </w:rPr>
              <w:t>تعریف الظهار</w:t>
            </w:r>
            <w:r>
              <w:rPr>
                <w:rStyle w:val="IndexLink"/>
                <w:rtl w:val="true"/>
              </w:rPr>
              <w:tab/>
            </w:r>
            <w:r>
              <w:rPr>
                <w:rStyle w:val="IndexLink"/>
              </w:rPr>
              <w:t>28</w:t>
            </w:r>
          </w:hyperlink>
        </w:p>
        <w:p>
          <w:pPr>
            <w:pStyle w:val="Contents3"/>
            <w:tabs>
              <w:tab w:val="clear" w:pos="8459"/>
              <w:tab w:val="right" w:pos="9026" w:leader="dot"/>
            </w:tabs>
            <w:rPr/>
          </w:pPr>
          <w:hyperlink w:anchor="__RefHeading___Toc3859986_1067777946">
            <w:r>
              <w:rPr>
                <w:webHidden/>
                <w:rStyle w:val="IndexLink"/>
                <w:rtl w:val="true"/>
              </w:rPr>
              <w:t>الأمرالأوّل في الصيغة</w:t>
            </w:r>
            <w:r>
              <w:rPr>
                <w:rStyle w:val="IndexLink"/>
                <w:rtl w:val="true"/>
              </w:rPr>
              <w:tab/>
            </w:r>
            <w:r>
              <w:rPr>
                <w:rStyle w:val="IndexLink"/>
              </w:rPr>
              <w:t>29</w:t>
            </w:r>
          </w:hyperlink>
        </w:p>
        <w:p>
          <w:pPr>
            <w:pStyle w:val="Contents4"/>
            <w:tabs>
              <w:tab w:val="clear" w:pos="8176"/>
              <w:tab w:val="right" w:pos="9026" w:leader="dot"/>
            </w:tabs>
            <w:rPr/>
          </w:pPr>
          <w:hyperlink w:anchor="__RefHeading___Toc3859988_1067777946">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3859990_1067777946">
            <w:r>
              <w:rPr>
                <w:webHidden/>
                <w:rStyle w:val="IndexLink"/>
                <w:rtl w:val="true"/>
              </w:rPr>
              <w:t>في شرائط وقوع الظهار</w:t>
            </w:r>
            <w:r>
              <w:rPr>
                <w:rStyle w:val="IndexLink"/>
                <w:rtl w:val="true"/>
              </w:rPr>
              <w:tab/>
            </w:r>
            <w:r>
              <w:rPr>
                <w:rStyle w:val="IndexLink"/>
              </w:rPr>
              <w:t>39</w:t>
            </w:r>
          </w:hyperlink>
        </w:p>
        <w:p>
          <w:pPr>
            <w:pStyle w:val="Contents3"/>
            <w:tabs>
              <w:tab w:val="clear" w:pos="8459"/>
              <w:tab w:val="right" w:pos="9026" w:leader="dot"/>
            </w:tabs>
            <w:rPr/>
          </w:pPr>
          <w:hyperlink w:anchor="__RefHeading___Toc3859992_1067777946">
            <w:r>
              <w:rPr>
                <w:webHidden/>
                <w:rStyle w:val="IndexLink"/>
                <w:rtl w:val="true"/>
              </w:rPr>
              <w:t>الأمر الثاني في المظاهر و من يصحّ الظهار منه</w:t>
            </w:r>
            <w:r>
              <w:rPr>
                <w:rStyle w:val="IndexLink"/>
                <w:rtl w:val="true"/>
              </w:rPr>
              <w:tab/>
            </w:r>
            <w:r>
              <w:rPr>
                <w:rStyle w:val="IndexLink"/>
              </w:rPr>
              <w:t>51</w:t>
            </w:r>
          </w:hyperlink>
        </w:p>
        <w:p>
          <w:pPr>
            <w:pStyle w:val="Contents3"/>
            <w:tabs>
              <w:tab w:val="clear" w:pos="8459"/>
              <w:tab w:val="right" w:pos="9026" w:leader="dot"/>
            </w:tabs>
            <w:rPr/>
          </w:pPr>
          <w:hyperlink w:anchor="__RefHeading___Toc3859994_1067777946">
            <w:r>
              <w:rPr>
                <w:webHidden/>
                <w:rStyle w:val="IndexLink"/>
                <w:rtl w:val="true"/>
              </w:rPr>
              <w:t>الأمر الثالث في المظاهرة و من يقع علیه الظهار</w:t>
            </w:r>
            <w:r>
              <w:rPr>
                <w:rStyle w:val="IndexLink"/>
                <w:rtl w:val="true"/>
              </w:rPr>
              <w:tab/>
            </w:r>
            <w:r>
              <w:rPr>
                <w:rStyle w:val="IndexLink"/>
              </w:rPr>
              <w:t>54</w:t>
            </w:r>
          </w:hyperlink>
        </w:p>
        <w:p>
          <w:pPr>
            <w:pStyle w:val="Contents3"/>
            <w:tabs>
              <w:tab w:val="clear" w:pos="8459"/>
              <w:tab w:val="right" w:pos="9026" w:leader="dot"/>
            </w:tabs>
            <w:rPr/>
          </w:pPr>
          <w:hyperlink w:anchor="__RefHeading___Toc3859996_1067777946">
            <w:r>
              <w:rPr>
                <w:webHidden/>
                <w:rStyle w:val="IndexLink"/>
                <w:rtl w:val="true"/>
              </w:rPr>
              <w:t>الأمر الرابع في الأحكام</w:t>
            </w:r>
            <w:r>
              <w:rPr>
                <w:rStyle w:val="IndexLink"/>
                <w:rtl w:val="true"/>
              </w:rPr>
              <w:tab/>
            </w:r>
            <w:r>
              <w:rPr>
                <w:rStyle w:val="IndexLink"/>
              </w:rPr>
              <w:t>60</w:t>
            </w:r>
          </w:hyperlink>
        </w:p>
        <w:p>
          <w:pPr>
            <w:pStyle w:val="Contents4"/>
            <w:tabs>
              <w:tab w:val="clear" w:pos="8176"/>
              <w:tab w:val="right" w:pos="9026" w:leader="dot"/>
            </w:tabs>
            <w:rPr/>
          </w:pPr>
          <w:hyperlink w:anchor="__RefHeading___Toc3859998_1067777946">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3860000_1067777946">
            <w:r>
              <w:rPr>
                <w:webHidden/>
                <w:rStyle w:val="IndexLink"/>
                <w:rtl w:val="true"/>
              </w:rPr>
              <w:t>الظهار محرّم</w:t>
            </w:r>
            <w:r>
              <w:rPr>
                <w:rStyle w:val="IndexLink"/>
                <w:rtl w:val="true"/>
              </w:rPr>
              <w:tab/>
            </w:r>
            <w:r>
              <w:rPr>
                <w:rStyle w:val="IndexLink"/>
              </w:rPr>
              <w:t>60</w:t>
            </w:r>
          </w:hyperlink>
        </w:p>
        <w:p>
          <w:pPr>
            <w:pStyle w:val="Contents4"/>
            <w:tabs>
              <w:tab w:val="clear" w:pos="8176"/>
              <w:tab w:val="right" w:pos="9026" w:leader="dot"/>
            </w:tabs>
            <w:rPr/>
          </w:pPr>
          <w:hyperlink w:anchor="__RefHeading___Toc3860002_1067777946">
            <w:r>
              <w:rPr>
                <w:webHidden/>
                <w:rStyle w:val="IndexLink"/>
                <w:rtl w:val="true"/>
              </w:rPr>
              <w:t>لاتجب الكفّارة بالتلفّظ بل بالعود</w:t>
            </w:r>
            <w:r>
              <w:rPr>
                <w:rStyle w:val="IndexLink"/>
                <w:rtl w:val="true"/>
              </w:rPr>
              <w:tab/>
            </w:r>
            <w:r>
              <w:rPr>
                <w:rStyle w:val="IndexLink"/>
              </w:rPr>
              <w:t>61</w:t>
            </w:r>
          </w:hyperlink>
        </w:p>
        <w:p>
          <w:pPr>
            <w:pStyle w:val="Contents4"/>
            <w:tabs>
              <w:tab w:val="clear" w:pos="8176"/>
              <w:tab w:val="right" w:pos="9026" w:leader="dot"/>
            </w:tabs>
            <w:rPr/>
          </w:pPr>
          <w:hyperlink w:anchor="__RefHeading___Toc3860004_1067777946">
            <w:r>
              <w:rPr>
                <w:webHidden/>
                <w:rStyle w:val="IndexLink"/>
                <w:rtl w:val="true"/>
              </w:rPr>
              <w:t>إذا طلّقها رجعيّاً ثمّ راجعها عاد حکم الظهار</w:t>
            </w:r>
            <w:r>
              <w:rPr>
                <w:rStyle w:val="IndexLink"/>
                <w:rtl w:val="true"/>
              </w:rPr>
              <w:tab/>
            </w:r>
            <w:r>
              <w:rPr>
                <w:rStyle w:val="IndexLink"/>
              </w:rPr>
              <w:t>67</w:t>
            </w:r>
          </w:hyperlink>
        </w:p>
        <w:p>
          <w:pPr>
            <w:pStyle w:val="Contents4"/>
            <w:tabs>
              <w:tab w:val="clear" w:pos="8176"/>
              <w:tab w:val="right" w:pos="9026" w:leader="dot"/>
            </w:tabs>
            <w:rPr/>
          </w:pPr>
          <w:hyperlink w:anchor="__RefHeading___Toc3860006_1067777946">
            <w:r>
              <w:rPr>
                <w:webHidden/>
                <w:rStyle w:val="IndexLink"/>
                <w:rtl w:val="true"/>
              </w:rPr>
              <w:t>لو ظاهر من زوجته الأمة ثمّ ابتاعها</w:t>
            </w:r>
            <w:r>
              <w:rPr>
                <w:rStyle w:val="IndexLink"/>
                <w:rtl w:val="true"/>
              </w:rPr>
              <w:tab/>
            </w:r>
            <w:r>
              <w:rPr>
                <w:rStyle w:val="IndexLink"/>
              </w:rPr>
              <w:t>70</w:t>
            </w:r>
          </w:hyperlink>
        </w:p>
        <w:p>
          <w:pPr>
            <w:pStyle w:val="Contents4"/>
            <w:tabs>
              <w:tab w:val="clear" w:pos="8176"/>
              <w:tab w:val="right" w:pos="9026" w:leader="dot"/>
            </w:tabs>
            <w:rPr/>
          </w:pPr>
          <w:hyperlink w:anchor="__RefHeading___Toc3860008_1067777946">
            <w:r>
              <w:rPr>
                <w:webHidden/>
                <w:rStyle w:val="IndexLink"/>
                <w:rtl w:val="true"/>
              </w:rPr>
              <w:t>تعلیق الظهار علی مشیئة الغیر</w:t>
            </w:r>
            <w:r>
              <w:rPr>
                <w:rStyle w:val="IndexLink"/>
                <w:rtl w:val="true"/>
              </w:rPr>
              <w:tab/>
            </w:r>
            <w:r>
              <w:rPr>
                <w:rStyle w:val="IndexLink"/>
              </w:rPr>
              <w:t>71</w:t>
            </w:r>
          </w:hyperlink>
        </w:p>
        <w:p>
          <w:pPr>
            <w:pStyle w:val="Contents4"/>
            <w:tabs>
              <w:tab w:val="clear" w:pos="8176"/>
              <w:tab w:val="right" w:pos="9026" w:leader="dot"/>
            </w:tabs>
            <w:rPr/>
          </w:pPr>
          <w:hyperlink w:anchor="__RefHeading___Toc3860010_1067777946">
            <w:r>
              <w:rPr>
                <w:webHidden/>
                <w:rStyle w:val="IndexLink"/>
                <w:rtl w:val="true"/>
              </w:rPr>
              <w:t>لو ظاهر من أربع بلفظ واحد</w:t>
            </w:r>
            <w:r>
              <w:rPr>
                <w:rStyle w:val="IndexLink"/>
                <w:rtl w:val="true"/>
              </w:rPr>
              <w:tab/>
            </w:r>
            <w:r>
              <w:rPr>
                <w:rStyle w:val="IndexLink"/>
              </w:rPr>
              <w:t>72</w:t>
            </w:r>
          </w:hyperlink>
        </w:p>
        <w:p>
          <w:pPr>
            <w:pStyle w:val="Contents4"/>
            <w:tabs>
              <w:tab w:val="clear" w:pos="8176"/>
              <w:tab w:val="right" w:pos="9026" w:leader="dot"/>
            </w:tabs>
            <w:rPr/>
          </w:pPr>
          <w:hyperlink w:anchor="__RefHeading___Toc3860012_1067777946">
            <w:r>
              <w:rPr>
                <w:webHidden/>
                <w:rStyle w:val="IndexLink"/>
                <w:rtl w:val="true"/>
              </w:rPr>
              <w:t>حکم الوطء إذا أطلق الظهار أو علّقه بشرط</w:t>
            </w:r>
            <w:r>
              <w:rPr>
                <w:rStyle w:val="IndexLink"/>
                <w:rtl w:val="true"/>
              </w:rPr>
              <w:tab/>
            </w:r>
            <w:r>
              <w:rPr>
                <w:rStyle w:val="IndexLink"/>
              </w:rPr>
              <w:t>77</w:t>
            </w:r>
          </w:hyperlink>
        </w:p>
        <w:p>
          <w:pPr>
            <w:pStyle w:val="Contents4"/>
            <w:tabs>
              <w:tab w:val="clear" w:pos="8176"/>
              <w:tab w:val="right" w:pos="9026" w:leader="dot"/>
            </w:tabs>
            <w:rPr/>
          </w:pPr>
          <w:hyperlink w:anchor="__RefHeading___Toc3860014_1067777946">
            <w:r>
              <w:rPr>
                <w:webHidden/>
                <w:rStyle w:val="IndexLink"/>
                <w:rtl w:val="true"/>
              </w:rPr>
              <w:t>يحرم الوطء على المظاهر قبل تكفير</w:t>
            </w:r>
            <w:r>
              <w:rPr>
                <w:rStyle w:val="IndexLink"/>
                <w:rtl w:val="true"/>
              </w:rPr>
              <w:tab/>
            </w:r>
            <w:r>
              <w:rPr>
                <w:rStyle w:val="IndexLink"/>
              </w:rPr>
              <w:t>84</w:t>
            </w:r>
          </w:hyperlink>
        </w:p>
        <w:p>
          <w:pPr>
            <w:pStyle w:val="Contents4"/>
            <w:tabs>
              <w:tab w:val="clear" w:pos="8176"/>
              <w:tab w:val="right" w:pos="9026" w:leader="dot"/>
            </w:tabs>
            <w:rPr/>
          </w:pPr>
          <w:hyperlink w:anchor="__RefHeading___Toc3860016_1067777946">
            <w:r>
              <w:rPr>
                <w:webHidden/>
                <w:rStyle w:val="IndexLink"/>
                <w:rtl w:val="true"/>
              </w:rPr>
              <w:t>إذا عجز المظاهر عن الكفّارة</w:t>
            </w:r>
            <w:r>
              <w:rPr>
                <w:rStyle w:val="IndexLink"/>
                <w:rtl w:val="true"/>
              </w:rPr>
              <w:tab/>
            </w:r>
            <w:r>
              <w:rPr>
                <w:rStyle w:val="IndexLink"/>
              </w:rPr>
              <w:t>87</w:t>
            </w:r>
          </w:hyperlink>
        </w:p>
        <w:p>
          <w:pPr>
            <w:pStyle w:val="Contents4"/>
            <w:tabs>
              <w:tab w:val="clear" w:pos="8176"/>
              <w:tab w:val="right" w:pos="9026" w:leader="dot"/>
            </w:tabs>
            <w:rPr/>
          </w:pPr>
          <w:hyperlink w:anchor="__RefHeading___Toc3860018_1067777946">
            <w:r>
              <w:rPr>
                <w:webHidden/>
                <w:rStyle w:val="IndexLink"/>
                <w:rtl w:val="true"/>
              </w:rPr>
              <w:t>المظاهرة تصبر أو ترفع أمرها إلى الحاكم</w:t>
            </w:r>
            <w:r>
              <w:rPr>
                <w:rStyle w:val="IndexLink"/>
                <w:rtl w:val="true"/>
              </w:rPr>
              <w:tab/>
            </w:r>
            <w:r>
              <w:rPr>
                <w:rStyle w:val="IndexLink"/>
              </w:rPr>
              <w:t>91</w:t>
            </w:r>
          </w:hyperlink>
        </w:p>
        <w:p>
          <w:pPr>
            <w:pStyle w:val="Contents2"/>
            <w:tabs>
              <w:tab w:val="clear" w:pos="8743"/>
              <w:tab w:val="right" w:pos="9026" w:leader="dot"/>
            </w:tabs>
            <w:rPr/>
          </w:pPr>
          <w:hyperlink w:anchor="__RefHeading___Toc3860020_1067777946">
            <w:r>
              <w:rPr>
                <w:webHidden/>
                <w:rStyle w:val="IndexLink"/>
                <w:rtl w:val="true"/>
              </w:rPr>
              <w:t>الكفّارات</w:t>
            </w:r>
            <w:r>
              <w:rPr>
                <w:rStyle w:val="IndexLink"/>
                <w:rtl w:val="true"/>
              </w:rPr>
              <w:tab/>
            </w:r>
            <w:r>
              <w:rPr>
                <w:rStyle w:val="IndexLink"/>
              </w:rPr>
              <w:t>94</w:t>
            </w:r>
          </w:hyperlink>
        </w:p>
        <w:p>
          <w:pPr>
            <w:pStyle w:val="Contents3"/>
            <w:tabs>
              <w:tab w:val="clear" w:pos="8459"/>
              <w:tab w:val="right" w:pos="9026" w:leader="dot"/>
            </w:tabs>
            <w:rPr/>
          </w:pPr>
          <w:hyperlink w:anchor="__RefHeading___Toc3860022_1067777946">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3860024_1067777946">
            <w:r>
              <w:rPr>
                <w:webHidden/>
                <w:rStyle w:val="IndexLink"/>
                <w:rtl w:val="true"/>
              </w:rPr>
              <w:t>المقصد الأوّل في ضبط الكفّارات</w:t>
            </w:r>
            <w:r>
              <w:rPr>
                <w:rStyle w:val="IndexLink"/>
                <w:rtl w:val="true"/>
              </w:rPr>
              <w:tab/>
            </w:r>
            <w:r>
              <w:rPr>
                <w:rStyle w:val="IndexLink"/>
              </w:rPr>
              <w:t>94</w:t>
            </w:r>
          </w:hyperlink>
        </w:p>
        <w:p>
          <w:pPr>
            <w:pStyle w:val="Contents4"/>
            <w:tabs>
              <w:tab w:val="clear" w:pos="8176"/>
              <w:tab w:val="right" w:pos="9026" w:leader="dot"/>
            </w:tabs>
            <w:rPr/>
          </w:pPr>
          <w:hyperlink w:anchor="__RefHeading___Toc3860026_1067777946">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3860028_1067777946">
            <w:r>
              <w:rPr>
                <w:webHidden/>
                <w:rStyle w:val="IndexLink"/>
                <w:rtl w:val="true"/>
              </w:rPr>
              <w:t>الكفّارات المرتّبة</w:t>
            </w:r>
            <w:r>
              <w:rPr>
                <w:rStyle w:val="IndexLink"/>
                <w:rtl w:val="true"/>
              </w:rPr>
              <w:tab/>
            </w:r>
            <w:r>
              <w:rPr>
                <w:rStyle w:val="IndexLink"/>
              </w:rPr>
              <w:t>96</w:t>
            </w:r>
          </w:hyperlink>
        </w:p>
        <w:p>
          <w:pPr>
            <w:pStyle w:val="Contents4"/>
            <w:tabs>
              <w:tab w:val="clear" w:pos="8176"/>
              <w:tab w:val="right" w:pos="9026" w:leader="dot"/>
            </w:tabs>
            <w:rPr/>
          </w:pPr>
          <w:hyperlink w:anchor="__RefHeading___Toc3860030_1067777946">
            <w:r>
              <w:rPr>
                <w:webHidden/>
                <w:rStyle w:val="IndexLink"/>
                <w:rtl w:val="true"/>
              </w:rPr>
              <w:t>کفّارة الظهار و قتل الخطأ</w:t>
            </w:r>
            <w:r>
              <w:rPr>
                <w:rStyle w:val="IndexLink"/>
                <w:rtl w:val="true"/>
              </w:rPr>
              <w:tab/>
            </w:r>
            <w:r>
              <w:rPr>
                <w:rStyle w:val="IndexLink"/>
              </w:rPr>
              <w:t>96</w:t>
            </w:r>
          </w:hyperlink>
        </w:p>
        <w:p>
          <w:pPr>
            <w:pStyle w:val="Contents4"/>
            <w:tabs>
              <w:tab w:val="clear" w:pos="8176"/>
              <w:tab w:val="right" w:pos="9026" w:leader="dot"/>
            </w:tabs>
            <w:rPr/>
          </w:pPr>
          <w:hyperlink w:anchor="__RefHeading___Toc3860032_1067777946">
            <w:r>
              <w:rPr>
                <w:webHidden/>
                <w:rStyle w:val="IndexLink"/>
                <w:rtl w:val="true"/>
              </w:rPr>
              <w:t>كفّارة من أفطر يوماً من قضاء شهر رمضان</w:t>
            </w:r>
            <w:r>
              <w:rPr>
                <w:rStyle w:val="IndexLink"/>
                <w:rtl w:val="true"/>
              </w:rPr>
              <w:tab/>
            </w:r>
            <w:r>
              <w:rPr>
                <w:rStyle w:val="IndexLink"/>
              </w:rPr>
              <w:t>97</w:t>
            </w:r>
          </w:hyperlink>
        </w:p>
        <w:p>
          <w:pPr>
            <w:pStyle w:val="Contents4"/>
            <w:tabs>
              <w:tab w:val="clear" w:pos="8176"/>
              <w:tab w:val="right" w:pos="9026" w:leader="dot"/>
            </w:tabs>
            <w:rPr/>
          </w:pPr>
          <w:hyperlink w:anchor="__RefHeading___Toc3860034_1067777946">
            <w:r>
              <w:rPr>
                <w:webHidden/>
                <w:rStyle w:val="IndexLink"/>
                <w:rtl w:val="true"/>
              </w:rPr>
              <w:t>كفّارة من أفطر في يوم من شهر رمضان</w:t>
            </w:r>
            <w:r>
              <w:rPr>
                <w:rStyle w:val="IndexLink"/>
                <w:rtl w:val="true"/>
              </w:rPr>
              <w:tab/>
            </w:r>
            <w:r>
              <w:rPr>
                <w:rStyle w:val="IndexLink"/>
              </w:rPr>
              <w:t>100</w:t>
            </w:r>
          </w:hyperlink>
        </w:p>
        <w:p>
          <w:pPr>
            <w:pStyle w:val="Contents4"/>
            <w:tabs>
              <w:tab w:val="clear" w:pos="8176"/>
              <w:tab w:val="right" w:pos="9026" w:leader="dot"/>
            </w:tabs>
            <w:rPr/>
          </w:pPr>
          <w:hyperlink w:anchor="__RefHeading___Toc3860036_1067777946">
            <w:r>
              <w:rPr>
                <w:webHidden/>
                <w:rStyle w:val="IndexLink"/>
                <w:rtl w:val="true"/>
              </w:rPr>
              <w:t>كفّارة خلف النذر و كفّارة الحنث في العهد</w:t>
            </w:r>
            <w:r>
              <w:rPr>
                <w:rStyle w:val="IndexLink"/>
                <w:rtl w:val="true"/>
              </w:rPr>
              <w:tab/>
            </w:r>
            <w:r>
              <w:rPr>
                <w:rStyle w:val="IndexLink"/>
              </w:rPr>
              <w:t>103</w:t>
            </w:r>
          </w:hyperlink>
        </w:p>
        <w:p>
          <w:pPr>
            <w:pStyle w:val="Contents4"/>
            <w:tabs>
              <w:tab w:val="clear" w:pos="8176"/>
              <w:tab w:val="right" w:pos="9026" w:leader="dot"/>
            </w:tabs>
            <w:rPr/>
          </w:pPr>
          <w:hyperlink w:anchor="__RefHeading___Toc3860038_1067777946">
            <w:r>
              <w:rPr>
                <w:webHidden/>
                <w:rStyle w:val="IndexLink"/>
                <w:rtl w:val="true"/>
              </w:rPr>
              <w:t>وجوب کفّارة الجمع</w:t>
            </w:r>
            <w:r>
              <w:rPr>
                <w:rStyle w:val="IndexLink"/>
                <w:rtl w:val="true"/>
              </w:rPr>
              <w:tab/>
            </w:r>
            <w:r>
              <w:rPr>
                <w:rStyle w:val="IndexLink"/>
              </w:rPr>
              <w:t>109</w:t>
            </w:r>
          </w:hyperlink>
        </w:p>
        <w:p>
          <w:pPr>
            <w:pStyle w:val="Contents3"/>
            <w:tabs>
              <w:tab w:val="clear" w:pos="8459"/>
              <w:tab w:val="right" w:pos="9026" w:leader="dot"/>
            </w:tabs>
            <w:rPr/>
          </w:pPr>
          <w:hyperlink w:anchor="__RefHeading___Toc3860040_1067777946">
            <w:r>
              <w:rPr>
                <w:webHidden/>
                <w:rStyle w:val="IndexLink"/>
                <w:rtl w:val="true"/>
              </w:rPr>
              <w:t>المقصد الثاني فيما اختلف فيه</w:t>
            </w:r>
            <w:r>
              <w:rPr>
                <w:rStyle w:val="IndexLink"/>
                <w:rtl w:val="true"/>
              </w:rPr>
              <w:tab/>
            </w:r>
            <w:r>
              <w:rPr>
                <w:rStyle w:val="IndexLink"/>
              </w:rPr>
              <w:t>110</w:t>
            </w:r>
          </w:hyperlink>
        </w:p>
        <w:p>
          <w:pPr>
            <w:pStyle w:val="Contents4"/>
            <w:tabs>
              <w:tab w:val="clear" w:pos="8176"/>
              <w:tab w:val="right" w:pos="9026" w:leader="dot"/>
            </w:tabs>
            <w:rPr/>
          </w:pPr>
          <w:hyperlink w:anchor="__RefHeading___Toc3860042_1067777946">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3860044_1067777946">
            <w:r>
              <w:rPr>
                <w:webHidden/>
                <w:rStyle w:val="IndexLink"/>
                <w:rtl w:val="true"/>
              </w:rPr>
              <w:t>کفّارة الحلف بالبراءة</w:t>
            </w:r>
            <w:r>
              <w:rPr>
                <w:rStyle w:val="IndexLink"/>
                <w:rtl w:val="true"/>
              </w:rPr>
              <w:tab/>
            </w:r>
            <w:r>
              <w:rPr>
                <w:rStyle w:val="IndexLink"/>
              </w:rPr>
              <w:t>110</w:t>
            </w:r>
          </w:hyperlink>
        </w:p>
        <w:p>
          <w:pPr>
            <w:pStyle w:val="Contents4"/>
            <w:tabs>
              <w:tab w:val="clear" w:pos="8176"/>
              <w:tab w:val="right" w:pos="9026" w:leader="dot"/>
            </w:tabs>
            <w:rPr/>
          </w:pPr>
          <w:hyperlink w:anchor="__RefHeading___Toc3860046_1067777946">
            <w:r>
              <w:rPr>
                <w:webHidden/>
                <w:rStyle w:val="IndexLink"/>
                <w:rtl w:val="true"/>
              </w:rPr>
              <w:t>کفّارة جزّ المرأة شعرها في المصاب</w:t>
            </w:r>
            <w:r>
              <w:rPr>
                <w:rStyle w:val="IndexLink"/>
                <w:rtl w:val="true"/>
              </w:rPr>
              <w:tab/>
            </w:r>
            <w:r>
              <w:rPr>
                <w:rStyle w:val="IndexLink"/>
              </w:rPr>
              <w:t>112</w:t>
            </w:r>
          </w:hyperlink>
        </w:p>
        <w:p>
          <w:pPr>
            <w:pStyle w:val="Contents4"/>
            <w:tabs>
              <w:tab w:val="clear" w:pos="8176"/>
              <w:tab w:val="right" w:pos="9026" w:leader="dot"/>
            </w:tabs>
            <w:rPr/>
          </w:pPr>
          <w:hyperlink w:anchor="__RefHeading___Toc3860048_1067777946">
            <w:r>
              <w:rPr>
                <w:webHidden/>
                <w:rStyle w:val="IndexLink"/>
                <w:rtl w:val="true"/>
              </w:rPr>
              <w:t>کفّارة نتف المرأة شعرها في المصاب</w:t>
            </w:r>
            <w:r>
              <w:rPr>
                <w:rStyle w:val="IndexLink"/>
                <w:rtl w:val="true"/>
              </w:rPr>
              <w:tab/>
            </w:r>
            <w:r>
              <w:rPr>
                <w:rStyle w:val="IndexLink"/>
              </w:rPr>
              <w:t>113</w:t>
            </w:r>
          </w:hyperlink>
        </w:p>
        <w:p>
          <w:pPr>
            <w:pStyle w:val="Contents4"/>
            <w:tabs>
              <w:tab w:val="clear" w:pos="8176"/>
              <w:tab w:val="right" w:pos="9026" w:leader="dot"/>
            </w:tabs>
            <w:rPr/>
          </w:pPr>
          <w:hyperlink w:anchor="__RefHeading___Toc3860050_1067777946">
            <w:r>
              <w:rPr>
                <w:webHidden/>
                <w:rStyle w:val="IndexLink"/>
                <w:rtl w:val="true"/>
              </w:rPr>
              <w:t>كفّارة وطء الحيض</w:t>
            </w:r>
            <w:r>
              <w:rPr>
                <w:rStyle w:val="IndexLink"/>
                <w:rtl w:val="true"/>
              </w:rPr>
              <w:tab/>
            </w:r>
            <w:r>
              <w:rPr>
                <w:rStyle w:val="IndexLink"/>
              </w:rPr>
              <w:t>114</w:t>
            </w:r>
          </w:hyperlink>
        </w:p>
        <w:p>
          <w:pPr>
            <w:pStyle w:val="Contents4"/>
            <w:tabs>
              <w:tab w:val="clear" w:pos="8176"/>
              <w:tab w:val="right" w:pos="9026" w:leader="dot"/>
            </w:tabs>
            <w:rPr/>
          </w:pPr>
          <w:hyperlink w:anchor="__RefHeading___Toc3860052_1067777946">
            <w:r>
              <w:rPr>
                <w:webHidden/>
                <w:rStyle w:val="IndexLink"/>
                <w:rtl w:val="true"/>
              </w:rPr>
              <w:t>كفّارة الزواج بالمرأة في عدّتها</w:t>
            </w:r>
            <w:r>
              <w:rPr>
                <w:rStyle w:val="IndexLink"/>
                <w:rtl w:val="true"/>
              </w:rPr>
              <w:tab/>
            </w:r>
            <w:r>
              <w:rPr>
                <w:rStyle w:val="IndexLink"/>
              </w:rPr>
              <w:t>116</w:t>
            </w:r>
          </w:hyperlink>
        </w:p>
        <w:p>
          <w:pPr>
            <w:pStyle w:val="Contents4"/>
            <w:tabs>
              <w:tab w:val="clear" w:pos="8176"/>
              <w:tab w:val="right" w:pos="9026" w:leader="dot"/>
            </w:tabs>
            <w:rPr/>
          </w:pPr>
          <w:hyperlink w:anchor="__RefHeading___Toc3860054_1067777946">
            <w:r>
              <w:rPr>
                <w:webHidden/>
                <w:rStyle w:val="IndexLink"/>
                <w:rtl w:val="true"/>
              </w:rPr>
              <w:t>کفّارة من نام عن صلاة العشاء حتّى جاوز نصف الليل</w:t>
            </w:r>
            <w:r>
              <w:rPr>
                <w:rStyle w:val="IndexLink"/>
                <w:rtl w:val="true"/>
              </w:rPr>
              <w:tab/>
            </w:r>
            <w:r>
              <w:rPr>
                <w:rStyle w:val="IndexLink"/>
              </w:rPr>
              <w:t>118</w:t>
            </w:r>
          </w:hyperlink>
        </w:p>
        <w:p>
          <w:pPr>
            <w:pStyle w:val="Contents4"/>
            <w:tabs>
              <w:tab w:val="clear" w:pos="8176"/>
              <w:tab w:val="right" w:pos="9026" w:leader="dot"/>
            </w:tabs>
            <w:rPr/>
          </w:pPr>
          <w:hyperlink w:anchor="__RefHeading___Toc3860056_1067777946">
            <w:r>
              <w:rPr>
                <w:webHidden/>
                <w:rStyle w:val="IndexLink"/>
                <w:rtl w:val="true"/>
              </w:rPr>
              <w:t>کفّارة من نذر صوم يوم فعجز عنه</w:t>
            </w:r>
            <w:r>
              <w:rPr>
                <w:rStyle w:val="IndexLink"/>
                <w:rtl w:val="true"/>
              </w:rPr>
              <w:tab/>
            </w:r>
            <w:r>
              <w:rPr>
                <w:rStyle w:val="IndexLink"/>
              </w:rPr>
              <w:t>119</w:t>
            </w:r>
          </w:hyperlink>
        </w:p>
        <w:p>
          <w:pPr>
            <w:pStyle w:val="Contents3"/>
            <w:tabs>
              <w:tab w:val="clear" w:pos="8459"/>
              <w:tab w:val="right" w:pos="9026" w:leader="dot"/>
            </w:tabs>
            <w:rPr/>
          </w:pPr>
          <w:hyperlink w:anchor="__RefHeading___Toc3860058_1067777946">
            <w:r>
              <w:rPr>
                <w:webHidden/>
                <w:rStyle w:val="IndexLink"/>
                <w:rtl w:val="true"/>
              </w:rPr>
              <w:t>المقصد الثالث في خصال الکفّارة</w:t>
            </w:r>
            <w:r>
              <w:rPr>
                <w:rStyle w:val="IndexLink"/>
                <w:rtl w:val="true"/>
              </w:rPr>
              <w:tab/>
            </w:r>
            <w:r>
              <w:rPr>
                <w:rStyle w:val="IndexLink"/>
              </w:rPr>
              <w:t>120</w:t>
            </w:r>
          </w:hyperlink>
        </w:p>
        <w:p>
          <w:pPr>
            <w:pStyle w:val="Contents4"/>
            <w:tabs>
              <w:tab w:val="clear" w:pos="8176"/>
              <w:tab w:val="right" w:pos="9026" w:leader="dot"/>
            </w:tabs>
            <w:rPr/>
          </w:pPr>
          <w:hyperlink w:anchor="__RefHeading___Toc3860060_1067777946">
            <w:r>
              <w:rPr>
                <w:webHidden/>
                <w:rStyle w:val="IndexLink"/>
                <w:rtl w:val="true"/>
              </w:rPr>
              <w:t>القول في العتق</w:t>
            </w:r>
            <w:r>
              <w:rPr>
                <w:rStyle w:val="IndexLink"/>
                <w:rtl w:val="true"/>
              </w:rPr>
              <w:tab/>
            </w:r>
            <w:r>
              <w:rPr>
                <w:rStyle w:val="IndexLink"/>
              </w:rPr>
              <w:t>120</w:t>
            </w:r>
          </w:hyperlink>
        </w:p>
        <w:p>
          <w:pPr>
            <w:pStyle w:val="Contents5"/>
            <w:tabs>
              <w:tab w:val="clear" w:pos="7892"/>
              <w:tab w:val="right" w:pos="9026" w:leader="dot"/>
            </w:tabs>
            <w:rPr/>
          </w:pPr>
          <w:hyperlink w:anchor="__RefHeading___Toc3860062_1067777946">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3860064_1067777946">
            <w:r>
              <w:rPr>
                <w:webHidden/>
                <w:rStyle w:val="IndexLink"/>
                <w:rtl w:val="true"/>
              </w:rPr>
              <w:t>الوصف الأوّل</w:t>
            </w:r>
            <w:r>
              <w:rPr>
                <w:rStyle w:val="IndexLink"/>
                <w:rtl w:val="true"/>
              </w:rPr>
              <w:t xml:space="preserve">: </w:t>
            </w:r>
            <w:r>
              <w:rPr>
                <w:rStyle w:val="IndexLink"/>
                <w:rtl w:val="true"/>
              </w:rPr>
              <w:t>الإيمان</w:t>
            </w:r>
            <w:r>
              <w:rPr>
                <w:rStyle w:val="IndexLink"/>
                <w:rtl w:val="true"/>
              </w:rPr>
              <w:tab/>
            </w:r>
            <w:r>
              <w:rPr>
                <w:rStyle w:val="IndexLink"/>
              </w:rPr>
              <w:t>121</w:t>
            </w:r>
          </w:hyperlink>
        </w:p>
        <w:p>
          <w:pPr>
            <w:pStyle w:val="Contents6"/>
            <w:tabs>
              <w:tab w:val="clear" w:pos="7609"/>
              <w:tab w:val="right" w:pos="9026" w:leader="dot"/>
            </w:tabs>
            <w:rPr/>
          </w:pPr>
          <w:hyperlink w:anchor="__RefHeading___Toc3860066_1067777946">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3860068_1067777946">
            <w:r>
              <w:rPr>
                <w:webHidden/>
                <w:rStyle w:val="IndexLink"/>
                <w:rtl w:val="true"/>
              </w:rPr>
              <w:t>إجزاء عتق الصغیر و الأخرس لو کانا مسلمین</w:t>
            </w:r>
            <w:r>
              <w:rPr>
                <w:rStyle w:val="IndexLink"/>
                <w:rtl w:val="true"/>
              </w:rPr>
              <w:tab/>
            </w:r>
            <w:r>
              <w:rPr>
                <w:rStyle w:val="IndexLink"/>
              </w:rPr>
              <w:t>124</w:t>
            </w:r>
          </w:hyperlink>
        </w:p>
        <w:p>
          <w:pPr>
            <w:pStyle w:val="Contents5"/>
            <w:tabs>
              <w:tab w:val="clear" w:pos="7892"/>
              <w:tab w:val="right" w:pos="9026" w:leader="dot"/>
            </w:tabs>
            <w:rPr/>
          </w:pPr>
          <w:hyperlink w:anchor="__RefHeading___Toc3860070_1067777946">
            <w:r>
              <w:rPr>
                <w:webHidden/>
                <w:rStyle w:val="IndexLink"/>
                <w:rtl w:val="true"/>
              </w:rPr>
              <w:t xml:space="preserve">الوصف الثاني </w:t>
            </w:r>
            <w:r>
              <w:rPr>
                <w:rStyle w:val="IndexLink"/>
                <w:rtl w:val="true"/>
              </w:rPr>
              <w:t>:</w:t>
            </w:r>
            <w:r>
              <w:rPr>
                <w:rStyle w:val="IndexLink"/>
                <w:rtl w:val="true"/>
              </w:rPr>
              <w:t>السلامة من العيوب</w:t>
            </w:r>
            <w:r>
              <w:rPr>
                <w:rStyle w:val="IndexLink"/>
                <w:rtl w:val="true"/>
              </w:rPr>
              <w:tab/>
            </w:r>
            <w:r>
              <w:rPr>
                <w:rStyle w:val="IndexLink"/>
              </w:rPr>
              <w:t>128</w:t>
            </w:r>
          </w:hyperlink>
        </w:p>
        <w:p>
          <w:pPr>
            <w:pStyle w:val="Contents5"/>
            <w:tabs>
              <w:tab w:val="clear" w:pos="7892"/>
              <w:tab w:val="right" w:pos="9026" w:leader="dot"/>
            </w:tabs>
            <w:rPr/>
          </w:pPr>
          <w:hyperlink w:anchor="__RefHeading___Toc3860072_1067777946">
            <w:r>
              <w:rPr>
                <w:webHidden/>
                <w:rStyle w:val="IndexLink"/>
                <w:rtl w:val="true"/>
              </w:rPr>
              <w:t>الوصف الثالث أن يكون تامّ الملك</w:t>
            </w:r>
            <w:r>
              <w:rPr>
                <w:rStyle w:val="IndexLink"/>
                <w:rtl w:val="true"/>
              </w:rPr>
              <w:tab/>
            </w:r>
            <w:r>
              <w:rPr>
                <w:rStyle w:val="IndexLink"/>
              </w:rPr>
              <w:t>130</w:t>
            </w:r>
          </w:hyperlink>
        </w:p>
        <w:p>
          <w:pPr>
            <w:pStyle w:val="Contents6"/>
            <w:tabs>
              <w:tab w:val="clear" w:pos="7609"/>
              <w:tab w:val="right" w:pos="9026" w:leader="dot"/>
            </w:tabs>
            <w:rPr/>
          </w:pPr>
          <w:hyperlink w:anchor="__RefHeading___Toc3860074_1067777946">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3860076_1067777946">
            <w:r>
              <w:rPr>
                <w:webHidden/>
                <w:rStyle w:val="IndexLink"/>
                <w:rtl w:val="true"/>
              </w:rPr>
              <w:t>یجزئ الآبق و المستولد</w:t>
            </w:r>
            <w:r>
              <w:rPr>
                <w:rStyle w:val="IndexLink"/>
                <w:rtl w:val="true"/>
              </w:rPr>
              <w:tab/>
            </w:r>
            <w:r>
              <w:rPr>
                <w:rStyle w:val="IndexLink"/>
              </w:rPr>
              <w:t>132</w:t>
            </w:r>
          </w:hyperlink>
        </w:p>
        <w:p>
          <w:pPr>
            <w:pStyle w:val="Contents5"/>
            <w:tabs>
              <w:tab w:val="clear" w:pos="7892"/>
              <w:tab w:val="right" w:pos="9026" w:leader="dot"/>
            </w:tabs>
            <w:rPr/>
          </w:pPr>
          <w:hyperlink w:anchor="__RefHeading___Toc3860078_1067777946">
            <w:r>
              <w:rPr>
                <w:webHidden/>
                <w:rStyle w:val="IndexLink"/>
                <w:rtl w:val="true"/>
              </w:rPr>
              <w:t>شروط الإعتاق</w:t>
            </w:r>
            <w:r>
              <w:rPr>
                <w:rStyle w:val="IndexLink"/>
                <w:rtl w:val="true"/>
              </w:rPr>
              <w:tab/>
            </w:r>
            <w:r>
              <w:rPr>
                <w:rStyle w:val="IndexLink"/>
              </w:rPr>
              <w:t>142</w:t>
            </w:r>
          </w:hyperlink>
        </w:p>
        <w:p>
          <w:pPr>
            <w:pStyle w:val="Contents6"/>
            <w:tabs>
              <w:tab w:val="clear" w:pos="7609"/>
              <w:tab w:val="right" w:pos="9026" w:leader="dot"/>
            </w:tabs>
            <w:rPr/>
          </w:pPr>
          <w:hyperlink w:anchor="__RefHeading___Toc3860080_1067777946">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3860082_1067777946">
            <w:r>
              <w:rPr>
                <w:webHidden/>
                <w:rStyle w:val="IndexLink"/>
                <w:rtl w:val="true"/>
              </w:rPr>
              <w:t>الشرط الأوّل</w:t>
            </w:r>
            <w:r>
              <w:rPr>
                <w:rStyle w:val="IndexLink"/>
                <w:rtl w:val="true"/>
              </w:rPr>
              <w:t xml:space="preserve">: </w:t>
            </w:r>
            <w:r>
              <w:rPr>
                <w:rStyle w:val="IndexLink"/>
                <w:rtl w:val="true"/>
              </w:rPr>
              <w:t>النيّة معتبرة في الإعتاق</w:t>
            </w:r>
            <w:r>
              <w:rPr>
                <w:rStyle w:val="IndexLink"/>
                <w:rtl w:val="true"/>
              </w:rPr>
              <w:tab/>
            </w:r>
            <w:r>
              <w:rPr>
                <w:rStyle w:val="IndexLink"/>
              </w:rPr>
              <w:t>142</w:t>
            </w:r>
          </w:hyperlink>
        </w:p>
        <w:p>
          <w:pPr>
            <w:pStyle w:val="Contents6"/>
            <w:tabs>
              <w:tab w:val="clear" w:pos="7609"/>
              <w:tab w:val="right" w:pos="9026" w:leader="dot"/>
            </w:tabs>
            <w:rPr/>
          </w:pPr>
          <w:hyperlink w:anchor="__RefHeading___Toc3860084_1067777946">
            <w:r>
              <w:rPr>
                <w:webHidden/>
                <w:rStyle w:val="IndexLink"/>
                <w:rtl w:val="true"/>
              </w:rPr>
              <w:t>الشرط الثاني</w:t>
            </w:r>
            <w:r>
              <w:rPr>
                <w:rStyle w:val="IndexLink"/>
                <w:rtl w:val="true"/>
              </w:rPr>
              <w:t xml:space="preserve">: </w:t>
            </w:r>
            <w:r>
              <w:rPr>
                <w:rStyle w:val="IndexLink"/>
                <w:rtl w:val="true"/>
              </w:rPr>
              <w:t>تجريده عن العوض</w:t>
            </w:r>
            <w:r>
              <w:rPr>
                <w:rStyle w:val="IndexLink"/>
                <w:rtl w:val="true"/>
              </w:rPr>
              <w:t>.</w:t>
              <w:tab/>
            </w:r>
            <w:r>
              <w:rPr>
                <w:rStyle w:val="IndexLink"/>
              </w:rPr>
              <w:t>154</w:t>
            </w:r>
          </w:hyperlink>
        </w:p>
        <w:p>
          <w:pPr>
            <w:pStyle w:val="Contents6"/>
            <w:tabs>
              <w:tab w:val="clear" w:pos="7609"/>
              <w:tab w:val="right" w:pos="9026" w:leader="dot"/>
            </w:tabs>
            <w:rPr/>
          </w:pPr>
          <w:hyperlink w:anchor="__RefHeading___Toc3860086_1067777946">
            <w:r>
              <w:rPr>
                <w:webHidden/>
                <w:rStyle w:val="IndexLink"/>
                <w:rtl w:val="true"/>
              </w:rPr>
              <w:t>الشرط الثالث</w:t>
            </w:r>
            <w:r>
              <w:rPr>
                <w:rStyle w:val="IndexLink"/>
                <w:rtl w:val="true"/>
              </w:rPr>
              <w:t xml:space="preserve">: </w:t>
            </w:r>
            <w:r>
              <w:rPr>
                <w:rStyle w:val="IndexLink"/>
                <w:rtl w:val="true"/>
              </w:rPr>
              <w:t>أن لا يكون السبب محرّماً</w:t>
            </w:r>
            <w:r>
              <w:rPr>
                <w:rStyle w:val="IndexLink"/>
                <w:rtl w:val="true"/>
              </w:rPr>
              <w:t>.</w:t>
              <w:tab/>
            </w:r>
            <w:r>
              <w:rPr>
                <w:rStyle w:val="IndexLink"/>
              </w:rPr>
              <w:t>157</w:t>
            </w:r>
          </w:hyperlink>
        </w:p>
        <w:p>
          <w:pPr>
            <w:pStyle w:val="Contents4"/>
            <w:tabs>
              <w:tab w:val="clear" w:pos="8176"/>
              <w:tab w:val="right" w:pos="9026" w:leader="dot"/>
            </w:tabs>
            <w:rPr/>
          </w:pPr>
          <w:hyperlink w:anchor="__RefHeading___Toc3860088_1067777946">
            <w:r>
              <w:rPr>
                <w:webHidden/>
                <w:rStyle w:val="IndexLink"/>
                <w:rtl w:val="true"/>
              </w:rPr>
              <w:t>القول في الصيام</w:t>
            </w:r>
            <w:r>
              <w:rPr>
                <w:rStyle w:val="IndexLink"/>
                <w:rtl w:val="true"/>
              </w:rPr>
              <w:tab/>
            </w:r>
            <w:r>
              <w:rPr>
                <w:rStyle w:val="IndexLink"/>
              </w:rPr>
              <w:t>158</w:t>
            </w:r>
          </w:hyperlink>
        </w:p>
        <w:p>
          <w:pPr>
            <w:pStyle w:val="Contents5"/>
            <w:tabs>
              <w:tab w:val="clear" w:pos="7892"/>
              <w:tab w:val="right" w:pos="9026" w:leader="dot"/>
            </w:tabs>
            <w:rPr/>
          </w:pPr>
          <w:hyperlink w:anchor="__RefHeading___Toc3860090_1067777946">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3860092_1067777946">
            <w:r>
              <w:rPr>
                <w:webHidden/>
                <w:rStyle w:val="IndexLink"/>
                <w:rtl w:val="true"/>
              </w:rPr>
              <w:t>حدّ العجز عن العتق و انتقال الفرض إلی الصوم</w:t>
            </w:r>
            <w:r>
              <w:rPr>
                <w:rStyle w:val="IndexLink"/>
                <w:rtl w:val="true"/>
              </w:rPr>
              <w:tab/>
            </w:r>
            <w:r>
              <w:rPr>
                <w:rStyle w:val="IndexLink"/>
              </w:rPr>
              <w:t>158</w:t>
            </w:r>
          </w:hyperlink>
        </w:p>
        <w:p>
          <w:pPr>
            <w:pStyle w:val="Contents5"/>
            <w:tabs>
              <w:tab w:val="clear" w:pos="7892"/>
              <w:tab w:val="right" w:pos="9026" w:leader="dot"/>
            </w:tabs>
            <w:rPr/>
          </w:pPr>
          <w:hyperlink w:anchor="__RefHeading___Toc3860094_1067777946">
            <w:r>
              <w:rPr>
                <w:webHidden/>
                <w:rStyle w:val="IndexLink"/>
                <w:rtl w:val="true"/>
              </w:rPr>
              <w:t>يتحقّق التتابع في الشهرين</w:t>
            </w:r>
            <w:r>
              <w:rPr>
                <w:rStyle w:val="IndexLink"/>
                <w:rtl w:val="true"/>
              </w:rPr>
              <w:tab/>
            </w:r>
            <w:r>
              <w:rPr>
                <w:rStyle w:val="IndexLink"/>
              </w:rPr>
              <w:t>162</w:t>
            </w:r>
          </w:hyperlink>
        </w:p>
        <w:p>
          <w:pPr>
            <w:pStyle w:val="Contents5"/>
            <w:tabs>
              <w:tab w:val="clear" w:pos="7892"/>
              <w:tab w:val="right" w:pos="9026" w:leader="dot"/>
            </w:tabs>
            <w:rPr/>
          </w:pPr>
          <w:hyperlink w:anchor="__RefHeading___Toc3860096_1067777946">
            <w:r>
              <w:rPr>
                <w:webHidden/>
                <w:rStyle w:val="IndexLink"/>
                <w:rtl w:val="true"/>
              </w:rPr>
              <w:t>لو عرض في أثناء الشهر الأوّل زمان لا یصحّ صومه</w:t>
            </w:r>
            <w:r>
              <w:rPr>
                <w:rStyle w:val="IndexLink"/>
                <w:rtl w:val="true"/>
              </w:rPr>
              <w:tab/>
            </w:r>
            <w:r>
              <w:rPr>
                <w:rStyle w:val="IndexLink"/>
              </w:rPr>
              <w:t>166</w:t>
            </w:r>
          </w:hyperlink>
        </w:p>
        <w:p>
          <w:pPr>
            <w:pStyle w:val="Contents4"/>
            <w:tabs>
              <w:tab w:val="clear" w:pos="8176"/>
              <w:tab w:val="right" w:pos="9026" w:leader="dot"/>
            </w:tabs>
            <w:rPr/>
          </w:pPr>
          <w:hyperlink w:anchor="__RefHeading___Toc3860098_1067777946">
            <w:r>
              <w:rPr>
                <w:webHidden/>
                <w:rStyle w:val="IndexLink"/>
                <w:rtl w:val="true"/>
              </w:rPr>
              <w:t>القول في الإطعام</w:t>
            </w:r>
            <w:r>
              <w:rPr>
                <w:rStyle w:val="IndexLink"/>
                <w:rtl w:val="true"/>
              </w:rPr>
              <w:tab/>
            </w:r>
            <w:r>
              <w:rPr>
                <w:rStyle w:val="IndexLink"/>
              </w:rPr>
              <w:t>167</w:t>
            </w:r>
          </w:hyperlink>
        </w:p>
        <w:p>
          <w:pPr>
            <w:pStyle w:val="Contents5"/>
            <w:tabs>
              <w:tab w:val="clear" w:pos="7892"/>
              <w:tab w:val="right" w:pos="9026" w:leader="dot"/>
            </w:tabs>
            <w:rPr/>
          </w:pPr>
          <w:hyperlink w:anchor="__RefHeading___Toc3860100_1067777946">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3860102_1067777946">
            <w:r>
              <w:rPr>
                <w:webHidden/>
                <w:rStyle w:val="IndexLink"/>
                <w:rtl w:val="true"/>
              </w:rPr>
              <w:t>قدر الطعام، عدد المصروف إلیه و جنس الطعام</w:t>
            </w:r>
            <w:r>
              <w:rPr>
                <w:rStyle w:val="IndexLink"/>
                <w:rtl w:val="true"/>
              </w:rPr>
              <w:tab/>
            </w:r>
            <w:r>
              <w:rPr>
                <w:rStyle w:val="IndexLink"/>
              </w:rPr>
              <w:t>168</w:t>
            </w:r>
          </w:hyperlink>
        </w:p>
        <w:p>
          <w:pPr>
            <w:pStyle w:val="Contents5"/>
            <w:tabs>
              <w:tab w:val="clear" w:pos="7892"/>
              <w:tab w:val="right" w:pos="9026" w:leader="dot"/>
            </w:tabs>
            <w:rPr/>
          </w:pPr>
          <w:hyperlink w:anchor="__RefHeading___Toc3860104_1067777946">
            <w:r>
              <w:rPr>
                <w:webHidden/>
                <w:rStyle w:val="IndexLink"/>
                <w:rtl w:val="true"/>
              </w:rPr>
              <w:t>هل يشترط الإیمان في مستحقّ للکفّارة؟</w:t>
            </w:r>
            <w:r>
              <w:rPr>
                <w:rStyle w:val="IndexLink"/>
                <w:rtl w:val="true"/>
              </w:rPr>
              <w:tab/>
            </w:r>
            <w:r>
              <w:rPr>
                <w:rStyle w:val="IndexLink"/>
              </w:rPr>
              <w:t>174</w:t>
            </w:r>
          </w:hyperlink>
        </w:p>
        <w:p>
          <w:pPr>
            <w:pStyle w:val="Contents5"/>
            <w:tabs>
              <w:tab w:val="clear" w:pos="7892"/>
              <w:tab w:val="right" w:pos="9026" w:leader="dot"/>
            </w:tabs>
            <w:rPr/>
          </w:pPr>
          <w:hyperlink w:anchor="__RefHeading___Toc3860106_1067777946">
            <w:r>
              <w:rPr>
                <w:webHidden/>
                <w:rStyle w:val="IndexLink"/>
                <w:rtl w:val="true"/>
              </w:rPr>
              <w:t>كفّارة اليمين و تقدیر الكسوة و الإطعام</w:t>
            </w:r>
            <w:r>
              <w:rPr>
                <w:rStyle w:val="IndexLink"/>
                <w:rtl w:val="true"/>
              </w:rPr>
              <w:tab/>
            </w:r>
            <w:r>
              <w:rPr>
                <w:rStyle w:val="IndexLink"/>
              </w:rPr>
              <w:t>177</w:t>
            </w:r>
          </w:hyperlink>
        </w:p>
        <w:p>
          <w:pPr>
            <w:pStyle w:val="Contents3"/>
            <w:tabs>
              <w:tab w:val="clear" w:pos="8459"/>
              <w:tab w:val="right" w:pos="9026" w:leader="dot"/>
            </w:tabs>
            <w:rPr/>
          </w:pPr>
          <w:hyperlink w:anchor="__RefHeading___Toc3860108_1067777946">
            <w:r>
              <w:rPr>
                <w:webHidden/>
                <w:rStyle w:val="IndexLink"/>
                <w:rtl w:val="true"/>
              </w:rPr>
              <w:t>المقصد الرابع في أحكام الکفّارات</w:t>
            </w:r>
            <w:r>
              <w:rPr>
                <w:rStyle w:val="IndexLink"/>
                <w:rtl w:val="true"/>
              </w:rPr>
              <w:tab/>
            </w:r>
            <w:r>
              <w:rPr>
                <w:rStyle w:val="IndexLink"/>
              </w:rPr>
              <w:t>181</w:t>
            </w:r>
          </w:hyperlink>
        </w:p>
        <w:p>
          <w:pPr>
            <w:pStyle w:val="Contents4"/>
            <w:tabs>
              <w:tab w:val="clear" w:pos="8176"/>
              <w:tab w:val="right" w:pos="9026" w:leader="dot"/>
            </w:tabs>
            <w:rPr/>
          </w:pPr>
          <w:hyperlink w:anchor="__RefHeading___Toc3860110_1067777946">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3860112_1067777946">
            <w:r>
              <w:rPr>
                <w:webHidden/>
                <w:rStyle w:val="IndexLink"/>
                <w:rtl w:val="true"/>
              </w:rPr>
              <w:t>کیفيّة صيام شهرین متتابعین</w:t>
            </w:r>
            <w:r>
              <w:rPr>
                <w:rStyle w:val="IndexLink"/>
                <w:rtl w:val="true"/>
              </w:rPr>
              <w:tab/>
            </w:r>
            <w:r>
              <w:rPr>
                <w:rStyle w:val="IndexLink"/>
              </w:rPr>
              <w:t>181</w:t>
            </w:r>
          </w:hyperlink>
        </w:p>
        <w:p>
          <w:pPr>
            <w:pStyle w:val="Contents4"/>
            <w:tabs>
              <w:tab w:val="clear" w:pos="8176"/>
              <w:tab w:val="right" w:pos="9026" w:leader="dot"/>
            </w:tabs>
            <w:rPr/>
          </w:pPr>
          <w:hyperlink w:anchor="__RefHeading___Toc3860114_1067777946">
            <w:r>
              <w:rPr>
                <w:webHidden/>
                <w:rStyle w:val="IndexLink"/>
                <w:rtl w:val="true"/>
              </w:rPr>
              <w:t>إذا عجز عن العتق فدخل في الصوم ثم وجد ما يعتق</w:t>
            </w:r>
            <w:r>
              <w:rPr>
                <w:rStyle w:val="IndexLink"/>
                <w:rtl w:val="true"/>
              </w:rPr>
              <w:tab/>
            </w:r>
            <w:r>
              <w:rPr>
                <w:rStyle w:val="IndexLink"/>
              </w:rPr>
              <w:t>185</w:t>
            </w:r>
          </w:hyperlink>
        </w:p>
        <w:p>
          <w:pPr>
            <w:pStyle w:val="Contents4"/>
            <w:tabs>
              <w:tab w:val="clear" w:pos="8176"/>
              <w:tab w:val="right" w:pos="9026" w:leader="dot"/>
            </w:tabs>
            <w:rPr/>
          </w:pPr>
          <w:hyperlink w:anchor="__RefHeading___Toc3860116_1067777946">
            <w:r>
              <w:rPr>
                <w:webHidden/>
                <w:rStyle w:val="IndexLink"/>
                <w:rtl w:val="true"/>
              </w:rPr>
              <w:t>لا تُصرف الكفّارة إلى من تجب نفقته على الدافع</w:t>
            </w:r>
            <w:r>
              <w:rPr>
                <w:rStyle w:val="IndexLink"/>
                <w:rtl w:val="true"/>
              </w:rPr>
              <w:tab/>
            </w:r>
            <w:r>
              <w:rPr>
                <w:rStyle w:val="IndexLink"/>
              </w:rPr>
              <w:t>188</w:t>
            </w:r>
          </w:hyperlink>
        </w:p>
        <w:p>
          <w:pPr>
            <w:pStyle w:val="Contents4"/>
            <w:tabs>
              <w:tab w:val="clear" w:pos="8176"/>
              <w:tab w:val="right" w:pos="9026" w:leader="dot"/>
            </w:tabs>
            <w:rPr/>
          </w:pPr>
          <w:hyperlink w:anchor="__RefHeading___Toc3860118_1067777946">
            <w:r>
              <w:rPr>
                <w:webHidden/>
                <w:rStyle w:val="IndexLink"/>
                <w:rtl w:val="true"/>
              </w:rPr>
              <w:t>من وجب عليه صوم شهرين فعجز صام ثمانیّة عشر يوماً</w:t>
            </w:r>
            <w:r>
              <w:rPr>
                <w:rStyle w:val="IndexLink"/>
                <w:rtl w:val="true"/>
              </w:rPr>
              <w:tab/>
            </w:r>
            <w:r>
              <w:rPr>
                <w:rStyle w:val="IndexLink"/>
              </w:rPr>
              <w:t>192</w:t>
            </w:r>
          </w:hyperlink>
        </w:p>
        <w:p>
          <w:pPr>
            <w:pStyle w:val="Contents2"/>
            <w:tabs>
              <w:tab w:val="clear" w:pos="8743"/>
              <w:tab w:val="right" w:pos="9026" w:leader="dot"/>
            </w:tabs>
            <w:rPr/>
          </w:pPr>
          <w:hyperlink w:anchor="__RefHeading___Toc3860120_1067777946">
            <w:r>
              <w:rPr>
                <w:webHidden/>
                <w:rStyle w:val="IndexLink"/>
                <w:rtl w:val="true"/>
              </w:rPr>
              <w:t>كتاب الإيلاء</w:t>
            </w:r>
            <w:r>
              <w:rPr>
                <w:rStyle w:val="IndexLink"/>
                <w:rtl w:val="true"/>
              </w:rPr>
              <w:tab/>
            </w:r>
            <w:r>
              <w:rPr>
                <w:rStyle w:val="IndexLink"/>
              </w:rPr>
              <w:t>196</w:t>
            </w:r>
          </w:hyperlink>
        </w:p>
        <w:p>
          <w:pPr>
            <w:pStyle w:val="Contents3"/>
            <w:tabs>
              <w:tab w:val="clear" w:pos="8459"/>
              <w:tab w:val="right" w:pos="9026" w:leader="dot"/>
            </w:tabs>
            <w:rPr/>
          </w:pPr>
          <w:hyperlink w:anchor="__RefHeading___Toc3860122_1067777946">
            <w:r>
              <w:rPr>
                <w:webHidden/>
                <w:rStyle w:val="IndexLink"/>
                <w:rtl w:val="true"/>
              </w:rPr>
              <w:t>الأمر الأوّل في الصیغة</w:t>
            </w:r>
            <w:r>
              <w:rPr>
                <w:rStyle w:val="IndexLink"/>
                <w:rtl w:val="true"/>
              </w:rPr>
              <w:tab/>
            </w:r>
            <w:r>
              <w:rPr>
                <w:rStyle w:val="IndexLink"/>
              </w:rPr>
              <w:t>196</w:t>
            </w:r>
          </w:hyperlink>
        </w:p>
        <w:p>
          <w:pPr>
            <w:pStyle w:val="Contents3"/>
            <w:tabs>
              <w:tab w:val="clear" w:pos="8459"/>
              <w:tab w:val="right" w:pos="9026" w:leader="dot"/>
            </w:tabs>
            <w:rPr/>
          </w:pPr>
          <w:hyperlink w:anchor="__RefHeading___Toc3860124_1067777946">
            <w:r>
              <w:rPr>
                <w:webHidden/>
                <w:rStyle w:val="IndexLink"/>
                <w:rtl w:val="true"/>
              </w:rPr>
              <w:t>الأمر الثاني في المؤلي و من یصحّ منه</w:t>
            </w:r>
            <w:r>
              <w:rPr>
                <w:rStyle w:val="IndexLink"/>
                <w:rtl w:val="true"/>
              </w:rPr>
              <w:tab/>
            </w:r>
            <w:r>
              <w:rPr>
                <w:rStyle w:val="IndexLink"/>
              </w:rPr>
              <w:t>202</w:t>
            </w:r>
          </w:hyperlink>
        </w:p>
        <w:p>
          <w:pPr>
            <w:pStyle w:val="Contents3"/>
            <w:tabs>
              <w:tab w:val="clear" w:pos="8459"/>
              <w:tab w:val="right" w:pos="9026" w:leader="dot"/>
            </w:tabs>
            <w:rPr/>
          </w:pPr>
          <w:hyperlink w:anchor="__RefHeading___Toc3860126_1067777946">
            <w:r>
              <w:rPr>
                <w:webHidden/>
                <w:rStyle w:val="IndexLink"/>
                <w:rtl w:val="true"/>
              </w:rPr>
              <w:t>الأمر الثالث في المؤلى منها و من یقع علیها</w:t>
            </w:r>
            <w:r>
              <w:rPr>
                <w:rStyle w:val="IndexLink"/>
                <w:rtl w:val="true"/>
              </w:rPr>
              <w:tab/>
            </w:r>
            <w:r>
              <w:rPr>
                <w:rStyle w:val="IndexLink"/>
              </w:rPr>
              <w:t>204</w:t>
            </w:r>
          </w:hyperlink>
        </w:p>
        <w:p>
          <w:pPr>
            <w:pStyle w:val="Contents3"/>
            <w:tabs>
              <w:tab w:val="clear" w:pos="8459"/>
              <w:tab w:val="right" w:pos="9026" w:leader="dot"/>
            </w:tabs>
            <w:rPr/>
          </w:pPr>
          <w:hyperlink w:anchor="__RefHeading___Toc3860128_1067777946">
            <w:r>
              <w:rPr>
                <w:webHidden/>
                <w:rStyle w:val="IndexLink"/>
                <w:rtl w:val="true"/>
              </w:rPr>
              <w:t>الأمر الرابع في أحكامه</w:t>
            </w:r>
            <w:r>
              <w:rPr>
                <w:rStyle w:val="IndexLink"/>
                <w:rtl w:val="true"/>
              </w:rPr>
              <w:tab/>
            </w:r>
            <w:r>
              <w:rPr>
                <w:rStyle w:val="IndexLink"/>
              </w:rPr>
              <w:t>207</w:t>
            </w:r>
          </w:hyperlink>
        </w:p>
        <w:p>
          <w:pPr>
            <w:pStyle w:val="Contents4"/>
            <w:tabs>
              <w:tab w:val="clear" w:pos="8176"/>
              <w:tab w:val="right" w:pos="9026" w:leader="dot"/>
            </w:tabs>
            <w:rPr/>
          </w:pPr>
          <w:hyperlink w:anchor="__RefHeading___Toc3860130_1067777946">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3860132_1067777946">
            <w:r>
              <w:rPr>
                <w:webHidden/>
                <w:rStyle w:val="IndexLink"/>
                <w:rtl w:val="true"/>
              </w:rPr>
              <w:t>المدّة اللازمة لانعقاد الإیلاء</w:t>
            </w:r>
            <w:r>
              <w:rPr>
                <w:rStyle w:val="IndexLink"/>
                <w:rtl w:val="true"/>
              </w:rPr>
              <w:tab/>
            </w:r>
            <w:r>
              <w:rPr>
                <w:rStyle w:val="IndexLink"/>
              </w:rPr>
              <w:t>207</w:t>
            </w:r>
          </w:hyperlink>
        </w:p>
        <w:p>
          <w:pPr>
            <w:pStyle w:val="Contents4"/>
            <w:tabs>
              <w:tab w:val="clear" w:pos="8176"/>
              <w:tab w:val="right" w:pos="9026" w:leader="dot"/>
            </w:tabs>
            <w:rPr/>
          </w:pPr>
          <w:hyperlink w:anchor="__RefHeading___Toc3860134_1067777946">
            <w:r>
              <w:rPr>
                <w:webHidden/>
                <w:rStyle w:val="IndexLink"/>
                <w:rtl w:val="true"/>
              </w:rPr>
              <w:t>مدّة التربّص أربعة أشهر</w:t>
            </w:r>
            <w:r>
              <w:rPr>
                <w:rStyle w:val="IndexLink"/>
                <w:rtl w:val="true"/>
              </w:rPr>
              <w:tab/>
            </w:r>
            <w:r>
              <w:rPr>
                <w:rStyle w:val="IndexLink"/>
              </w:rPr>
              <w:t>210</w:t>
            </w:r>
          </w:hyperlink>
        </w:p>
        <w:p>
          <w:pPr>
            <w:pStyle w:val="Contents4"/>
            <w:tabs>
              <w:tab w:val="clear" w:pos="8176"/>
              <w:tab w:val="right" w:pos="9026" w:leader="dot"/>
            </w:tabs>
            <w:rPr/>
          </w:pPr>
          <w:hyperlink w:anchor="__RefHeading___Toc3860136_1067777946">
            <w:r>
              <w:rPr>
                <w:webHidden/>
                <w:rStyle w:val="IndexLink"/>
                <w:rtl w:val="true"/>
              </w:rPr>
              <w:t>لو انقضت مدّة التربّص و وجد مانع من الجماع</w:t>
            </w:r>
            <w:r>
              <w:rPr>
                <w:rStyle w:val="IndexLink"/>
                <w:rtl w:val="true"/>
              </w:rPr>
              <w:tab/>
            </w:r>
            <w:r>
              <w:rPr>
                <w:rStyle w:val="IndexLink"/>
              </w:rPr>
              <w:t>214</w:t>
            </w:r>
          </w:hyperlink>
        </w:p>
        <w:p>
          <w:pPr>
            <w:pStyle w:val="Contents4"/>
            <w:tabs>
              <w:tab w:val="clear" w:pos="8176"/>
              <w:tab w:val="right" w:pos="9026" w:leader="dot"/>
            </w:tabs>
            <w:rPr/>
          </w:pPr>
          <w:hyperlink w:anchor="__RefHeading___Toc3860138_1067777946">
            <w:r>
              <w:rPr>
                <w:webHidden/>
                <w:rStyle w:val="IndexLink"/>
                <w:rtl w:val="true"/>
              </w:rPr>
              <w:t>إذا جمع بیت الظهار و الإیلاء</w:t>
            </w:r>
            <w:r>
              <w:rPr>
                <w:rStyle w:val="IndexLink"/>
                <w:rtl w:val="true"/>
              </w:rPr>
              <w:tab/>
            </w:r>
            <w:r>
              <w:rPr>
                <w:rStyle w:val="IndexLink"/>
              </w:rPr>
              <w:t>217</w:t>
            </w:r>
          </w:hyperlink>
        </w:p>
        <w:p>
          <w:pPr>
            <w:pStyle w:val="Contents4"/>
            <w:tabs>
              <w:tab w:val="clear" w:pos="8176"/>
              <w:tab w:val="right" w:pos="9026" w:leader="dot"/>
            </w:tabs>
            <w:rPr/>
          </w:pPr>
          <w:hyperlink w:anchor="__RefHeading___Toc3860140_1067777946">
            <w:r>
              <w:rPr>
                <w:webHidden/>
                <w:rStyle w:val="IndexLink"/>
                <w:rtl w:val="true"/>
              </w:rPr>
              <w:t>إذا وطئ في مدّة التربّص</w:t>
            </w:r>
            <w:r>
              <w:rPr>
                <w:rStyle w:val="IndexLink"/>
                <w:rtl w:val="true"/>
              </w:rPr>
              <w:tab/>
            </w:r>
            <w:r>
              <w:rPr>
                <w:rStyle w:val="IndexLink"/>
              </w:rPr>
              <w:t>218</w:t>
            </w:r>
          </w:hyperlink>
        </w:p>
        <w:p>
          <w:pPr>
            <w:pStyle w:val="Contents4"/>
            <w:tabs>
              <w:tab w:val="clear" w:pos="8176"/>
              <w:tab w:val="right" w:pos="9026" w:leader="dot"/>
            </w:tabs>
            <w:rPr/>
          </w:pPr>
          <w:hyperlink w:anchor="__RefHeading___Toc3860142_1067777946">
            <w:r>
              <w:rPr>
                <w:webHidden/>
                <w:rStyle w:val="IndexLink"/>
                <w:rtl w:val="true"/>
              </w:rPr>
              <w:t>إذا وطئ المؤلى ساهياً أو مجنوناً</w:t>
            </w:r>
            <w:r>
              <w:rPr>
                <w:rStyle w:val="IndexLink"/>
                <w:rtl w:val="true"/>
              </w:rPr>
              <w:tab/>
            </w:r>
            <w:r>
              <w:rPr>
                <w:rStyle w:val="IndexLink"/>
              </w:rPr>
              <w:t>220</w:t>
            </w:r>
          </w:hyperlink>
        </w:p>
        <w:p>
          <w:pPr>
            <w:pStyle w:val="Contents4"/>
            <w:tabs>
              <w:tab w:val="clear" w:pos="8176"/>
              <w:tab w:val="right" w:pos="9026" w:leader="dot"/>
            </w:tabs>
            <w:rPr/>
          </w:pPr>
          <w:hyperlink w:anchor="__RefHeading___Toc3860144_1067777946">
            <w:r>
              <w:rPr>
                <w:webHidden/>
                <w:rStyle w:val="IndexLink"/>
                <w:rtl w:val="true"/>
              </w:rPr>
              <w:t>إذا کان تحت رجل أربع فقال</w:t>
            </w:r>
            <w:r>
              <w:rPr>
                <w:rStyle w:val="IndexLink"/>
                <w:rtl w:val="true"/>
              </w:rPr>
              <w:t>:</w:t>
            </w:r>
            <w:r>
              <w:rPr>
                <w:rStyle w:val="IndexLink"/>
                <w:rtl w:val="true"/>
              </w:rPr>
              <w:t>والله لا وطئتكنّ</w:t>
            </w:r>
            <w:r>
              <w:rPr>
                <w:rStyle w:val="IndexLink"/>
                <w:rtl w:val="true"/>
              </w:rPr>
              <w:tab/>
            </w:r>
            <w:r>
              <w:rPr>
                <w:rStyle w:val="IndexLink"/>
              </w:rPr>
              <w:t>227</w:t>
            </w:r>
          </w:hyperlink>
        </w:p>
        <w:p>
          <w:pPr>
            <w:pStyle w:val="Contents4"/>
            <w:tabs>
              <w:tab w:val="clear" w:pos="8176"/>
              <w:tab w:val="right" w:pos="9026" w:leader="dot"/>
            </w:tabs>
            <w:rPr/>
          </w:pPr>
          <w:hyperlink w:anchor="__RefHeading___Toc3860146_1067777946">
            <w:r>
              <w:rPr>
                <w:webHidden/>
                <w:rStyle w:val="IndexLink"/>
                <w:rtl w:val="true"/>
              </w:rPr>
              <w:t>و لو قال</w:t>
            </w:r>
            <w:r>
              <w:rPr>
                <w:rStyle w:val="IndexLink"/>
                <w:rtl w:val="true"/>
              </w:rPr>
              <w:t>:</w:t>
            </w:r>
            <w:r>
              <w:rPr>
                <w:rStyle w:val="IndexLink"/>
                <w:rtl w:val="true"/>
              </w:rPr>
              <w:t>لا وطئت واحدةً منكنّ، أو لا وطئت کلّ واحدةٍ منكنّ</w:t>
            </w:r>
            <w:r>
              <w:rPr>
                <w:rStyle w:val="IndexLink"/>
                <w:rtl w:val="true"/>
              </w:rPr>
              <w:tab/>
            </w:r>
            <w:r>
              <w:rPr>
                <w:rStyle w:val="IndexLink"/>
              </w:rPr>
              <w:t>229</w:t>
            </w:r>
          </w:hyperlink>
        </w:p>
        <w:p>
          <w:pPr>
            <w:pStyle w:val="Contents4"/>
            <w:tabs>
              <w:tab w:val="clear" w:pos="8176"/>
              <w:tab w:val="right" w:pos="9026" w:leader="dot"/>
            </w:tabs>
            <w:rPr/>
          </w:pPr>
          <w:hyperlink w:anchor="__RefHeading___Toc3860148_1067777946">
            <w:r>
              <w:rPr>
                <w:webHidden/>
                <w:rStyle w:val="IndexLink"/>
                <w:rtl w:val="true"/>
              </w:rPr>
              <w:t>هل يتکرّر الکفّارة بتکرّر اليمین؟</w:t>
            </w:r>
            <w:r>
              <w:rPr>
                <w:rStyle w:val="IndexLink"/>
                <w:rtl w:val="true"/>
              </w:rPr>
              <w:tab/>
            </w:r>
            <w:r>
              <w:rPr>
                <w:rStyle w:val="IndexLink"/>
              </w:rPr>
              <w:t>233</w:t>
            </w:r>
          </w:hyperlink>
        </w:p>
        <w:p>
          <w:pPr>
            <w:pStyle w:val="Contents2"/>
            <w:tabs>
              <w:tab w:val="clear" w:pos="8743"/>
              <w:tab w:val="right" w:pos="9026" w:leader="dot"/>
            </w:tabs>
            <w:rPr/>
          </w:pPr>
          <w:hyperlink w:anchor="__RefHeading___Toc3860150_1067777946">
            <w:r>
              <w:rPr>
                <w:webHidden/>
                <w:rStyle w:val="IndexLink"/>
                <w:rtl w:val="true"/>
              </w:rPr>
              <w:t>كتاب اللعان</w:t>
            </w:r>
            <w:r>
              <w:rPr>
                <w:rStyle w:val="IndexLink"/>
                <w:rtl w:val="true"/>
              </w:rPr>
              <w:tab/>
            </w:r>
            <w:r>
              <w:rPr>
                <w:rStyle w:val="IndexLink"/>
              </w:rPr>
              <w:t>236</w:t>
            </w:r>
          </w:hyperlink>
        </w:p>
        <w:p>
          <w:pPr>
            <w:pStyle w:val="Contents3"/>
            <w:tabs>
              <w:tab w:val="clear" w:pos="8459"/>
              <w:tab w:val="right" w:pos="9026" w:leader="dot"/>
            </w:tabs>
            <w:rPr/>
          </w:pPr>
          <w:hyperlink w:anchor="__RefHeading___Toc3860152_1067777946">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3860154_1067777946">
            <w:r>
              <w:rPr>
                <w:webHidden/>
                <w:rStyle w:val="IndexLink"/>
                <w:rtl w:val="true"/>
              </w:rPr>
              <w:t>تعریف اللعان</w:t>
            </w:r>
            <w:r>
              <w:rPr>
                <w:rStyle w:val="IndexLink"/>
                <w:rtl w:val="true"/>
              </w:rPr>
              <w:tab/>
            </w:r>
            <w:r>
              <w:rPr>
                <w:rStyle w:val="IndexLink"/>
              </w:rPr>
              <w:t>236</w:t>
            </w:r>
          </w:hyperlink>
        </w:p>
        <w:p>
          <w:pPr>
            <w:pStyle w:val="Contents3"/>
            <w:tabs>
              <w:tab w:val="clear" w:pos="8459"/>
              <w:tab w:val="right" w:pos="9026" w:leader="dot"/>
            </w:tabs>
            <w:rPr/>
          </w:pPr>
          <w:hyperlink w:anchor="__RefHeading___Toc3860156_1067777946">
            <w:r>
              <w:rPr>
                <w:webHidden/>
                <w:rStyle w:val="IndexLink"/>
                <w:rtl w:val="true"/>
              </w:rPr>
              <w:t>النظر الأوّل في أرکانه</w:t>
            </w:r>
            <w:r>
              <w:rPr>
                <w:rStyle w:val="IndexLink"/>
                <w:rtl w:val="true"/>
              </w:rPr>
              <w:tab/>
            </w:r>
            <w:r>
              <w:rPr>
                <w:rStyle w:val="IndexLink"/>
              </w:rPr>
              <w:t>238</w:t>
            </w:r>
          </w:hyperlink>
        </w:p>
        <w:p>
          <w:pPr>
            <w:pStyle w:val="Contents4"/>
            <w:tabs>
              <w:tab w:val="clear" w:pos="8176"/>
              <w:tab w:val="right" w:pos="9026" w:leader="dot"/>
            </w:tabs>
            <w:rPr/>
          </w:pPr>
          <w:hyperlink w:anchor="__RefHeading___Toc3860158_1067777946">
            <w:r>
              <w:rPr>
                <w:webHidden/>
                <w:rStyle w:val="IndexLink"/>
                <w:rtl w:val="true"/>
              </w:rPr>
              <w:t>الرکن الأوّل فی سبب اللعان</w:t>
            </w:r>
            <w:r>
              <w:rPr>
                <w:rStyle w:val="IndexLink"/>
                <w:rtl w:val="true"/>
              </w:rPr>
              <w:tab/>
            </w:r>
            <w:r>
              <w:rPr>
                <w:rStyle w:val="IndexLink"/>
              </w:rPr>
              <w:t>238</w:t>
            </w:r>
          </w:hyperlink>
        </w:p>
        <w:p>
          <w:pPr>
            <w:pStyle w:val="Contents5"/>
            <w:tabs>
              <w:tab w:val="clear" w:pos="7892"/>
              <w:tab w:val="right" w:pos="9026" w:leader="dot"/>
            </w:tabs>
            <w:rPr/>
          </w:pPr>
          <w:hyperlink w:anchor="__RefHeading___Toc3860160_1067777946">
            <w:r>
              <w:rPr>
                <w:webHidden/>
                <w:rStyle w:val="IndexLink"/>
                <w:rtl w:val="true"/>
              </w:rPr>
              <w:t>السبب الأوّل</w:t>
            </w:r>
            <w:r>
              <w:rPr>
                <w:rStyle w:val="IndexLink"/>
                <w:rtl w:val="true"/>
              </w:rPr>
              <w:t xml:space="preserve">: </w:t>
            </w:r>
            <w:r>
              <w:rPr>
                <w:rStyle w:val="IndexLink"/>
                <w:rtl w:val="true"/>
              </w:rPr>
              <w:t>القذف</w:t>
            </w:r>
            <w:r>
              <w:rPr>
                <w:rStyle w:val="IndexLink"/>
                <w:rtl w:val="true"/>
              </w:rPr>
              <w:tab/>
            </w:r>
            <w:r>
              <w:rPr>
                <w:rStyle w:val="IndexLink"/>
              </w:rPr>
              <w:t>238</w:t>
            </w:r>
          </w:hyperlink>
        </w:p>
        <w:p>
          <w:pPr>
            <w:pStyle w:val="Contents5"/>
            <w:tabs>
              <w:tab w:val="clear" w:pos="7892"/>
              <w:tab w:val="right" w:pos="9026" w:leader="dot"/>
            </w:tabs>
            <w:rPr/>
          </w:pPr>
          <w:hyperlink w:anchor="__RefHeading___Toc3860162_1067777946">
            <w:r>
              <w:rPr>
                <w:webHidden/>
                <w:rStyle w:val="IndexLink"/>
                <w:rtl w:val="true"/>
              </w:rPr>
              <w:t>السبب الثاني</w:t>
            </w:r>
            <w:r>
              <w:rPr>
                <w:rStyle w:val="IndexLink"/>
                <w:rtl w:val="true"/>
              </w:rPr>
              <w:t xml:space="preserve">: </w:t>
            </w:r>
            <w:r>
              <w:rPr>
                <w:rStyle w:val="IndexLink"/>
                <w:rtl w:val="true"/>
              </w:rPr>
              <w:t>إنكار الولد</w:t>
            </w:r>
            <w:r>
              <w:rPr>
                <w:rStyle w:val="IndexLink"/>
                <w:rtl w:val="true"/>
              </w:rPr>
              <w:tab/>
            </w:r>
            <w:r>
              <w:rPr>
                <w:rStyle w:val="IndexLink"/>
              </w:rPr>
              <w:t>246</w:t>
            </w:r>
          </w:hyperlink>
        </w:p>
        <w:p>
          <w:pPr>
            <w:pStyle w:val="Contents4"/>
            <w:tabs>
              <w:tab w:val="clear" w:pos="8176"/>
              <w:tab w:val="right" w:pos="9026" w:leader="dot"/>
            </w:tabs>
            <w:rPr/>
          </w:pPr>
          <w:hyperlink w:anchor="__RefHeading___Toc3860164_1067777946">
            <w:r>
              <w:rPr>
                <w:webHidden/>
                <w:rStyle w:val="IndexLink"/>
                <w:rtl w:val="true"/>
              </w:rPr>
              <w:t>الركن الثاني في الملاعن</w:t>
            </w:r>
            <w:r>
              <w:rPr>
                <w:rStyle w:val="IndexLink"/>
                <w:rtl w:val="true"/>
              </w:rPr>
              <w:tab/>
            </w:r>
            <w:r>
              <w:rPr>
                <w:rStyle w:val="IndexLink"/>
              </w:rPr>
              <w:t>257</w:t>
            </w:r>
          </w:hyperlink>
        </w:p>
        <w:p>
          <w:pPr>
            <w:pStyle w:val="Contents5"/>
            <w:tabs>
              <w:tab w:val="clear" w:pos="7892"/>
              <w:tab w:val="right" w:pos="9026" w:leader="dot"/>
            </w:tabs>
            <w:rPr/>
          </w:pPr>
          <w:hyperlink w:anchor="__RefHeading___Toc3860166_1067777946">
            <w:r>
              <w:rPr>
                <w:webHidden/>
                <w:rStyle w:val="IndexLink"/>
                <w:rtl w:val="true"/>
              </w:rPr>
              <w:t>شروط المتلاعن</w:t>
            </w:r>
            <w:r>
              <w:rPr>
                <w:rStyle w:val="IndexLink"/>
                <w:rtl w:val="true"/>
              </w:rPr>
              <w:tab/>
            </w:r>
            <w:r>
              <w:rPr>
                <w:rStyle w:val="IndexLink"/>
              </w:rPr>
              <w:t>257</w:t>
            </w:r>
          </w:hyperlink>
        </w:p>
        <w:p>
          <w:pPr>
            <w:pStyle w:val="Contents5"/>
            <w:tabs>
              <w:tab w:val="clear" w:pos="7892"/>
              <w:tab w:val="right" w:pos="9026" w:leader="dot"/>
            </w:tabs>
            <w:rPr/>
          </w:pPr>
          <w:hyperlink w:anchor="__RefHeading___Toc3860168_1067777946">
            <w:r>
              <w:rPr>
                <w:webHidden/>
                <w:rStyle w:val="IndexLink"/>
                <w:rtl w:val="true"/>
              </w:rPr>
              <w:t>یصحّ لعان الأخرس</w:t>
            </w:r>
            <w:r>
              <w:rPr>
                <w:rStyle w:val="IndexLink"/>
                <w:rtl w:val="true"/>
              </w:rPr>
              <w:tab/>
            </w:r>
            <w:r>
              <w:rPr>
                <w:rStyle w:val="IndexLink"/>
              </w:rPr>
              <w:t>259</w:t>
            </w:r>
          </w:hyperlink>
        </w:p>
        <w:p>
          <w:pPr>
            <w:pStyle w:val="Contents4"/>
            <w:tabs>
              <w:tab w:val="clear" w:pos="8176"/>
              <w:tab w:val="right" w:pos="9026" w:leader="dot"/>
            </w:tabs>
            <w:rPr/>
          </w:pPr>
          <w:hyperlink w:anchor="__RefHeading___Toc3860170_1067777946">
            <w:r>
              <w:rPr>
                <w:webHidden/>
                <w:rStyle w:val="IndexLink"/>
                <w:rtl w:val="true"/>
              </w:rPr>
              <w:t>الركن الثالث في الملاعنة</w:t>
            </w:r>
            <w:r>
              <w:rPr>
                <w:rStyle w:val="IndexLink"/>
                <w:rtl w:val="true"/>
              </w:rPr>
              <w:tab/>
            </w:r>
            <w:r>
              <w:rPr>
                <w:rStyle w:val="IndexLink"/>
              </w:rPr>
              <w:t>265</w:t>
            </w:r>
          </w:hyperlink>
        </w:p>
        <w:p>
          <w:pPr>
            <w:pStyle w:val="Contents5"/>
            <w:tabs>
              <w:tab w:val="clear" w:pos="7892"/>
              <w:tab w:val="right" w:pos="9026" w:leader="dot"/>
            </w:tabs>
            <w:rPr/>
          </w:pPr>
          <w:hyperlink w:anchor="__RefHeading___Toc3860172_1067777946">
            <w:r>
              <w:rPr>
                <w:webHidden/>
                <w:rStyle w:val="IndexLink"/>
                <w:rtl w:val="true"/>
              </w:rPr>
              <w:t>من شروط الملاعنة السلامة من الصمم والخرس</w:t>
            </w:r>
            <w:r>
              <w:rPr>
                <w:rStyle w:val="IndexLink"/>
                <w:rtl w:val="true"/>
              </w:rPr>
              <w:tab/>
            </w:r>
            <w:r>
              <w:rPr>
                <w:rStyle w:val="IndexLink"/>
              </w:rPr>
              <w:t>265</w:t>
            </w:r>
          </w:hyperlink>
        </w:p>
        <w:p>
          <w:pPr>
            <w:pStyle w:val="Contents5"/>
            <w:tabs>
              <w:tab w:val="clear" w:pos="7892"/>
              <w:tab w:val="right" w:pos="9026" w:leader="dot"/>
            </w:tabs>
            <w:rPr/>
          </w:pPr>
          <w:hyperlink w:anchor="__RefHeading___Toc3860174_1067777946">
            <w:r>
              <w:rPr>
                <w:webHidden/>
                <w:rStyle w:val="IndexLink"/>
                <w:rtl w:val="true"/>
              </w:rPr>
              <w:t>يشترط أن تكون منكوحةً بالعقد الدائم</w:t>
            </w:r>
            <w:r>
              <w:rPr>
                <w:rStyle w:val="IndexLink"/>
                <w:rtl w:val="true"/>
              </w:rPr>
              <w:tab/>
            </w:r>
            <w:r>
              <w:rPr>
                <w:rStyle w:val="IndexLink"/>
              </w:rPr>
              <w:t>267</w:t>
            </w:r>
          </w:hyperlink>
        </w:p>
        <w:p>
          <w:pPr>
            <w:pStyle w:val="Contents5"/>
            <w:tabs>
              <w:tab w:val="clear" w:pos="7892"/>
              <w:tab w:val="right" w:pos="9026" w:leader="dot"/>
            </w:tabs>
            <w:rPr/>
          </w:pPr>
          <w:hyperlink w:anchor="__RefHeading___Toc3860176_1067777946">
            <w:r>
              <w:rPr>
                <w:webHidden/>
                <w:rStyle w:val="IndexLink"/>
                <w:rtl w:val="true"/>
              </w:rPr>
              <w:t>يثبت اللعان بين الحرّ والمملوكة</w:t>
            </w:r>
            <w:r>
              <w:rPr>
                <w:rStyle w:val="IndexLink"/>
                <w:rtl w:val="true"/>
              </w:rPr>
              <w:tab/>
            </w:r>
            <w:r>
              <w:rPr>
                <w:rStyle w:val="IndexLink"/>
              </w:rPr>
              <w:t>270</w:t>
            </w:r>
          </w:hyperlink>
        </w:p>
        <w:p>
          <w:pPr>
            <w:pStyle w:val="Contents5"/>
            <w:tabs>
              <w:tab w:val="clear" w:pos="7892"/>
              <w:tab w:val="right" w:pos="9026" w:leader="dot"/>
            </w:tabs>
            <w:rPr/>
          </w:pPr>
          <w:hyperlink w:anchor="__RefHeading___Toc3860178_1067777946">
            <w:r>
              <w:rPr>
                <w:webHidden/>
                <w:rStyle w:val="IndexLink"/>
                <w:rtl w:val="true"/>
              </w:rPr>
              <w:t>یصحّ لعان الحامل</w:t>
            </w:r>
            <w:r>
              <w:rPr>
                <w:rStyle w:val="IndexLink"/>
                <w:rtl w:val="true"/>
              </w:rPr>
              <w:tab/>
            </w:r>
            <w:r>
              <w:rPr>
                <w:rStyle w:val="IndexLink"/>
              </w:rPr>
              <w:t>272</w:t>
            </w:r>
          </w:hyperlink>
        </w:p>
        <w:p>
          <w:pPr>
            <w:pStyle w:val="Contents5"/>
            <w:tabs>
              <w:tab w:val="clear" w:pos="7892"/>
              <w:tab w:val="right" w:pos="9026" w:leader="dot"/>
            </w:tabs>
            <w:rPr/>
          </w:pPr>
          <w:hyperlink w:anchor="__RefHeading___Toc3860180_1067777946">
            <w:r>
              <w:rPr>
                <w:webHidden/>
                <w:rStyle w:val="IndexLink"/>
                <w:rtl w:val="true"/>
              </w:rPr>
              <w:t>هل تصير الأمة بالوطء فراشاً؟</w:t>
            </w:r>
            <w:r>
              <w:rPr>
                <w:rStyle w:val="IndexLink"/>
                <w:rtl w:val="true"/>
              </w:rPr>
              <w:tab/>
            </w:r>
            <w:r>
              <w:rPr>
                <w:rStyle w:val="IndexLink"/>
              </w:rPr>
              <w:t>274</w:t>
            </w:r>
          </w:hyperlink>
        </w:p>
        <w:p>
          <w:pPr>
            <w:pStyle w:val="Contents5"/>
            <w:tabs>
              <w:tab w:val="clear" w:pos="7892"/>
              <w:tab w:val="right" w:pos="9026" w:leader="dot"/>
            </w:tabs>
            <w:rPr/>
          </w:pPr>
          <w:hyperlink w:anchor="__RefHeading___Toc3860182_1067777946">
            <w:r>
              <w:rPr>
                <w:webHidden/>
                <w:rStyle w:val="IndexLink"/>
                <w:rtl w:val="true"/>
              </w:rPr>
              <w:t>أحکام تترتّب علی کون الموطوءة فراشاً</w:t>
            </w:r>
            <w:r>
              <w:rPr>
                <w:rStyle w:val="IndexLink"/>
                <w:rtl w:val="true"/>
              </w:rPr>
              <w:tab/>
            </w:r>
            <w:r>
              <w:rPr>
                <w:rStyle w:val="IndexLink"/>
              </w:rPr>
              <w:t>277</w:t>
            </w:r>
          </w:hyperlink>
        </w:p>
        <w:p>
          <w:pPr>
            <w:pStyle w:val="Contents4"/>
            <w:tabs>
              <w:tab w:val="clear" w:pos="8176"/>
              <w:tab w:val="right" w:pos="9026" w:leader="dot"/>
            </w:tabs>
            <w:rPr/>
          </w:pPr>
          <w:hyperlink w:anchor="__RefHeading___Toc3860184_1067777946">
            <w:r>
              <w:rPr>
                <w:webHidden/>
                <w:rStyle w:val="IndexLink"/>
                <w:rtl w:val="true"/>
              </w:rPr>
              <w:t>الركن الرابع في كيفيّة اللعان</w:t>
            </w:r>
            <w:r>
              <w:rPr>
                <w:rStyle w:val="IndexLink"/>
                <w:rtl w:val="true"/>
              </w:rPr>
              <w:tab/>
            </w:r>
            <w:r>
              <w:rPr>
                <w:rStyle w:val="IndexLink"/>
              </w:rPr>
              <w:t>282</w:t>
            </w:r>
          </w:hyperlink>
        </w:p>
        <w:p>
          <w:pPr>
            <w:pStyle w:val="Contents5"/>
            <w:tabs>
              <w:tab w:val="clear" w:pos="7892"/>
              <w:tab w:val="right" w:pos="9026" w:leader="dot"/>
            </w:tabs>
            <w:rPr/>
          </w:pPr>
          <w:hyperlink w:anchor="__RefHeading___Toc3860186_1067777946">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3860188_1067777946">
            <w:r>
              <w:rPr>
                <w:webHidden/>
                <w:rStyle w:val="IndexLink"/>
                <w:rtl w:val="true"/>
              </w:rPr>
              <w:t>صورة اللعان</w:t>
            </w:r>
            <w:r>
              <w:rPr>
                <w:rStyle w:val="IndexLink"/>
                <w:rtl w:val="true"/>
              </w:rPr>
              <w:tab/>
            </w:r>
            <w:r>
              <w:rPr>
                <w:rStyle w:val="IndexLink"/>
              </w:rPr>
              <w:t>283</w:t>
            </w:r>
          </w:hyperlink>
        </w:p>
        <w:p>
          <w:pPr>
            <w:pStyle w:val="Contents5"/>
            <w:tabs>
              <w:tab w:val="clear" w:pos="7892"/>
              <w:tab w:val="right" w:pos="9026" w:leader="dot"/>
            </w:tabs>
            <w:rPr/>
          </w:pPr>
          <w:hyperlink w:anchor="__RefHeading___Toc3860190_1067777946">
            <w:r>
              <w:rPr>
                <w:webHidden/>
                <w:rStyle w:val="IndexLink"/>
                <w:rtl w:val="true"/>
              </w:rPr>
              <w:t>الواجب في اللعان</w:t>
            </w:r>
            <w:r>
              <w:rPr>
                <w:rStyle w:val="IndexLink"/>
                <w:rtl w:val="true"/>
              </w:rPr>
              <w:tab/>
            </w:r>
            <w:r>
              <w:rPr>
                <w:rStyle w:val="IndexLink"/>
              </w:rPr>
              <w:t>284</w:t>
            </w:r>
          </w:hyperlink>
        </w:p>
        <w:p>
          <w:pPr>
            <w:pStyle w:val="Contents5"/>
            <w:tabs>
              <w:tab w:val="clear" w:pos="7892"/>
              <w:tab w:val="right" w:pos="9026" w:leader="dot"/>
            </w:tabs>
            <w:rPr/>
          </w:pPr>
          <w:hyperlink w:anchor="__RefHeading___Toc3860192_1067777946">
            <w:r>
              <w:rPr>
                <w:webHidden/>
                <w:rStyle w:val="IndexLink"/>
                <w:rtl w:val="true"/>
              </w:rPr>
              <w:t>المندوب في اللعان</w:t>
            </w:r>
            <w:r>
              <w:rPr>
                <w:rStyle w:val="IndexLink"/>
                <w:rtl w:val="true"/>
              </w:rPr>
              <w:tab/>
            </w:r>
            <w:r>
              <w:rPr>
                <w:rStyle w:val="IndexLink"/>
              </w:rPr>
              <w:t>287</w:t>
            </w:r>
          </w:hyperlink>
        </w:p>
        <w:p>
          <w:pPr>
            <w:pStyle w:val="Contents5"/>
            <w:tabs>
              <w:tab w:val="clear" w:pos="7892"/>
              <w:tab w:val="right" w:pos="9026" w:leader="dot"/>
            </w:tabs>
            <w:rPr/>
          </w:pPr>
          <w:hyperlink w:anchor="__RefHeading___Toc3860194_1067777946">
            <w:r>
              <w:rPr>
                <w:webHidden/>
                <w:rStyle w:val="IndexLink"/>
                <w:rtl w:val="true"/>
              </w:rPr>
              <w:t>تغليظ اللعان بالقول والمكان والزمان</w:t>
            </w:r>
            <w:r>
              <w:rPr>
                <w:rStyle w:val="IndexLink"/>
                <w:rtl w:val="true"/>
              </w:rPr>
              <w:tab/>
            </w:r>
            <w:r>
              <w:rPr>
                <w:rStyle w:val="IndexLink"/>
              </w:rPr>
              <w:t>288</w:t>
            </w:r>
          </w:hyperlink>
        </w:p>
        <w:p>
          <w:pPr>
            <w:pStyle w:val="Contents5"/>
            <w:tabs>
              <w:tab w:val="clear" w:pos="7892"/>
              <w:tab w:val="right" w:pos="9026" w:leader="dot"/>
            </w:tabs>
            <w:rPr/>
          </w:pPr>
          <w:hyperlink w:anchor="__RefHeading___Toc3860196_1067777946">
            <w:r>
              <w:rPr>
                <w:webHidden/>
                <w:rStyle w:val="IndexLink"/>
                <w:rtl w:val="true"/>
              </w:rPr>
              <w:t>هل اللعان أيمان أو شهادات؟</w:t>
            </w:r>
            <w:r>
              <w:rPr>
                <w:rStyle w:val="IndexLink"/>
                <w:rtl w:val="true"/>
              </w:rPr>
              <w:tab/>
            </w:r>
            <w:r>
              <w:rPr>
                <w:rStyle w:val="IndexLink"/>
              </w:rPr>
              <w:t>290</w:t>
            </w:r>
          </w:hyperlink>
        </w:p>
        <w:p>
          <w:pPr>
            <w:pStyle w:val="Contents3"/>
            <w:tabs>
              <w:tab w:val="clear" w:pos="8459"/>
              <w:tab w:val="right" w:pos="9026" w:leader="dot"/>
            </w:tabs>
            <w:rPr/>
          </w:pPr>
          <w:hyperlink w:anchor="__RefHeading___Toc3860198_1067777946">
            <w:r>
              <w:rPr>
                <w:webHidden/>
                <w:rStyle w:val="IndexLink"/>
                <w:rtl w:val="true"/>
              </w:rPr>
              <w:t>النظر في الأحکام</w:t>
            </w:r>
            <w:r>
              <w:rPr>
                <w:rStyle w:val="IndexLink"/>
                <w:rtl w:val="true"/>
              </w:rPr>
              <w:tab/>
            </w:r>
            <w:r>
              <w:rPr>
                <w:rStyle w:val="IndexLink"/>
              </w:rPr>
              <w:t>293</w:t>
            </w:r>
          </w:hyperlink>
        </w:p>
        <w:p>
          <w:pPr>
            <w:pStyle w:val="Contents4"/>
            <w:tabs>
              <w:tab w:val="clear" w:pos="8176"/>
              <w:tab w:val="right" w:pos="9026" w:leader="dot"/>
            </w:tabs>
            <w:rPr/>
          </w:pPr>
          <w:hyperlink w:anchor="__RefHeading___Toc3860200_1067777946">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3860202_1067777946">
            <w:r>
              <w:rPr>
                <w:webHidden/>
                <w:rStyle w:val="IndexLink"/>
                <w:rtl w:val="true"/>
              </w:rPr>
              <w:t>الأحکام التي یتعلّق بلعانهما معاً</w:t>
            </w:r>
            <w:r>
              <w:rPr>
                <w:rStyle w:val="IndexLink"/>
                <w:rtl w:val="true"/>
              </w:rPr>
              <w:tab/>
            </w:r>
            <w:r>
              <w:rPr>
                <w:rStyle w:val="IndexLink"/>
              </w:rPr>
              <w:t>294</w:t>
            </w:r>
          </w:hyperlink>
        </w:p>
        <w:p>
          <w:pPr>
            <w:pStyle w:val="Contents4"/>
            <w:tabs>
              <w:tab w:val="clear" w:pos="8176"/>
              <w:tab w:val="right" w:pos="9026" w:leader="dot"/>
            </w:tabs>
            <w:rPr/>
          </w:pPr>
          <w:hyperlink w:anchor="__RefHeading___Toc3860204_1067777946">
            <w:r>
              <w:rPr>
                <w:webHidden/>
                <w:rStyle w:val="IndexLink"/>
                <w:rtl w:val="true"/>
              </w:rPr>
              <w:t>لو أكذب الزوج نفسه في أثناء اللعان</w:t>
            </w:r>
            <w:r>
              <w:rPr>
                <w:rStyle w:val="IndexLink"/>
                <w:rtl w:val="true"/>
              </w:rPr>
              <w:t xml:space="preserve">... </w:t>
            </w:r>
            <w:r>
              <w:rPr>
                <w:rStyle w:val="IndexLink"/>
                <w:rtl w:val="true"/>
              </w:rPr>
              <w:t>أو نكلت الزوجة</w:t>
            </w:r>
            <w:r>
              <w:rPr>
                <w:rStyle w:val="IndexLink"/>
                <w:rtl w:val="true"/>
              </w:rPr>
              <w:tab/>
            </w:r>
            <w:r>
              <w:rPr>
                <w:rStyle w:val="IndexLink"/>
              </w:rPr>
              <w:t>295</w:t>
            </w:r>
          </w:hyperlink>
        </w:p>
        <w:p>
          <w:pPr>
            <w:pStyle w:val="Contents4"/>
            <w:tabs>
              <w:tab w:val="clear" w:pos="8176"/>
              <w:tab w:val="right" w:pos="9026" w:leader="dot"/>
            </w:tabs>
            <w:rPr/>
          </w:pPr>
          <w:hyperlink w:anchor="__RefHeading___Toc3860206_1067777946">
            <w:r>
              <w:rPr>
                <w:webHidden/>
                <w:rStyle w:val="IndexLink"/>
                <w:rtl w:val="true"/>
              </w:rPr>
              <w:t>و لو أكذب نفسه بعد اللعان،وهل يثبت عليه الحدّبذالك؟</w:t>
            </w:r>
            <w:r>
              <w:rPr>
                <w:rStyle w:val="IndexLink"/>
                <w:rtl w:val="true"/>
              </w:rPr>
              <w:tab/>
            </w:r>
            <w:r>
              <w:rPr>
                <w:rStyle w:val="IndexLink"/>
              </w:rPr>
              <w:t>296</w:t>
            </w:r>
          </w:hyperlink>
        </w:p>
        <w:p>
          <w:pPr>
            <w:pStyle w:val="Contents4"/>
            <w:tabs>
              <w:tab w:val="clear" w:pos="8176"/>
              <w:tab w:val="right" w:pos="9026" w:leader="dot"/>
            </w:tabs>
            <w:rPr/>
          </w:pPr>
          <w:hyperlink w:anchor="__RefHeading___Toc3860208_1067777946">
            <w:r>
              <w:rPr>
                <w:webHidden/>
                <w:rStyle w:val="IndexLink"/>
                <w:rtl w:val="true"/>
              </w:rPr>
              <w:t>إذا ادّعت الزوجة القذف فأنكر الزوج</w:t>
            </w:r>
            <w:r>
              <w:rPr>
                <w:rStyle w:val="IndexLink"/>
                <w:rtl w:val="true"/>
              </w:rPr>
              <w:tab/>
            </w:r>
            <w:r>
              <w:rPr>
                <w:rStyle w:val="IndexLink"/>
              </w:rPr>
              <w:t>299</w:t>
            </w:r>
          </w:hyperlink>
        </w:p>
        <w:p>
          <w:pPr>
            <w:pStyle w:val="Contents4"/>
            <w:tabs>
              <w:tab w:val="clear" w:pos="8176"/>
              <w:tab w:val="right" w:pos="9026" w:leader="dot"/>
            </w:tabs>
            <w:rPr/>
          </w:pPr>
          <w:hyperlink w:anchor="__RefHeading___Toc3860210_1067777946">
            <w:r>
              <w:rPr>
                <w:webHidden/>
                <w:rStyle w:val="IndexLink"/>
                <w:rtl w:val="true"/>
              </w:rPr>
              <w:t>إذا قذف امرأته بالزنی برجلٍ معیّن</w:t>
            </w:r>
            <w:r>
              <w:rPr>
                <w:rStyle w:val="IndexLink"/>
                <w:rtl w:val="true"/>
              </w:rPr>
              <w:tab/>
            </w:r>
            <w:r>
              <w:rPr>
                <w:rStyle w:val="IndexLink"/>
              </w:rPr>
              <w:t>300</w:t>
            </w:r>
          </w:hyperlink>
        </w:p>
        <w:p>
          <w:pPr>
            <w:pStyle w:val="Contents4"/>
            <w:tabs>
              <w:tab w:val="clear" w:pos="8176"/>
              <w:tab w:val="right" w:pos="9026" w:leader="dot"/>
            </w:tabs>
            <w:rPr/>
          </w:pPr>
          <w:hyperlink w:anchor="__RefHeading___Toc3860212_1067777946">
            <w:r>
              <w:rPr>
                <w:webHidden/>
                <w:rStyle w:val="IndexLink"/>
                <w:rtl w:val="true"/>
              </w:rPr>
              <w:t>إذا قذف زوجته فماتت قبل اللعان</w:t>
            </w:r>
            <w:r>
              <w:rPr>
                <w:rStyle w:val="IndexLink"/>
                <w:rtl w:val="true"/>
              </w:rPr>
              <w:tab/>
            </w:r>
            <w:r>
              <w:rPr>
                <w:rStyle w:val="IndexLink"/>
              </w:rPr>
              <w:t>303</w:t>
            </w:r>
          </w:hyperlink>
        </w:p>
        <w:p>
          <w:pPr>
            <w:pStyle w:val="Contents4"/>
            <w:tabs>
              <w:tab w:val="clear" w:pos="8176"/>
              <w:tab w:val="right" w:pos="9026" w:leader="dot"/>
            </w:tabs>
            <w:rPr/>
          </w:pPr>
          <w:hyperlink w:anchor="__RefHeading___Toc3860214_1067777946">
            <w:r>
              <w:rPr>
                <w:webHidden/>
                <w:rStyle w:val="IndexLink"/>
                <w:rtl w:val="true"/>
              </w:rPr>
              <w:t>إذا قذفها ولم يلاعن فحدّ ثمّ قذفها</w:t>
            </w:r>
            <w:r>
              <w:rPr>
                <w:rStyle w:val="IndexLink"/>
                <w:rtl w:val="true"/>
              </w:rPr>
              <w:tab/>
            </w:r>
            <w:r>
              <w:rPr>
                <w:rStyle w:val="IndexLink"/>
              </w:rPr>
              <w:t>305</w:t>
            </w:r>
          </w:hyperlink>
        </w:p>
        <w:p>
          <w:pPr>
            <w:pStyle w:val="Contents4"/>
            <w:tabs>
              <w:tab w:val="clear" w:pos="8176"/>
              <w:tab w:val="right" w:pos="9026" w:leader="dot"/>
            </w:tabs>
            <w:rPr/>
          </w:pPr>
          <w:hyperlink w:anchor="__RefHeading___Toc3860216_1067777946">
            <w:r>
              <w:rPr>
                <w:webHidden/>
                <w:rStyle w:val="IndexLink"/>
                <w:rtl w:val="true"/>
              </w:rPr>
              <w:t>إذا شهد على المرأة بالزنى أربعة رجالٍ أحدهم الزوج</w:t>
            </w:r>
            <w:r>
              <w:rPr>
                <w:rStyle w:val="IndexLink"/>
                <w:rtl w:val="true"/>
              </w:rPr>
              <w:tab/>
            </w:r>
            <w:r>
              <w:rPr>
                <w:rStyle w:val="IndexLink"/>
              </w:rPr>
              <w:t>308</w:t>
            </w:r>
          </w:hyperlink>
        </w:p>
        <w:p>
          <w:pPr>
            <w:pStyle w:val="Contents2"/>
            <w:tabs>
              <w:tab w:val="clear" w:pos="8743"/>
              <w:tab w:val="right" w:pos="9026" w:leader="dot"/>
            </w:tabs>
            <w:rPr/>
          </w:pPr>
          <w:hyperlink w:anchor="__RefHeading___Toc3860218_1067777946">
            <w:r>
              <w:rPr>
                <w:webHidden/>
                <w:rStyle w:val="IndexLink"/>
                <w:rtl w:val="true"/>
              </w:rPr>
              <w:t>كتاب العتق</w:t>
            </w:r>
            <w:r>
              <w:rPr>
                <w:rStyle w:val="IndexLink"/>
                <w:rtl w:val="true"/>
              </w:rPr>
              <w:tab/>
            </w:r>
            <w:r>
              <w:rPr>
                <w:rStyle w:val="IndexLink"/>
              </w:rPr>
              <w:t>312</w:t>
            </w:r>
          </w:hyperlink>
        </w:p>
        <w:p>
          <w:pPr>
            <w:pStyle w:val="Contents3"/>
            <w:tabs>
              <w:tab w:val="clear" w:pos="8459"/>
              <w:tab w:val="right" w:pos="9026" w:leader="dot"/>
            </w:tabs>
            <w:rPr/>
          </w:pPr>
          <w:hyperlink w:anchor="__RefHeading___Toc3860220_1067777946">
            <w:r>
              <w:rPr>
                <w:webHidden/>
                <w:rStyle w:val="IndexLink"/>
                <w:rtl w:val="true"/>
              </w:rPr>
              <w:t>فضيلة العتق</w:t>
            </w:r>
            <w:r>
              <w:rPr>
                <w:rStyle w:val="IndexLink"/>
                <w:rtl w:val="true"/>
              </w:rPr>
              <w:tab/>
            </w:r>
            <w:r>
              <w:rPr>
                <w:rStyle w:val="IndexLink"/>
              </w:rPr>
              <w:t>312</w:t>
            </w:r>
          </w:hyperlink>
        </w:p>
        <w:p>
          <w:pPr>
            <w:pStyle w:val="Contents3"/>
            <w:tabs>
              <w:tab w:val="clear" w:pos="8459"/>
              <w:tab w:val="right" w:pos="9026" w:leader="dot"/>
            </w:tabs>
            <w:rPr/>
          </w:pPr>
          <w:hyperlink w:anchor="__RefHeading___Toc3860222_1067777946">
            <w:r>
              <w:rPr>
                <w:webHidden/>
                <w:rStyle w:val="IndexLink"/>
                <w:rtl w:val="true"/>
              </w:rPr>
              <w:t>من يجوز استرقاقه</w:t>
            </w:r>
            <w:r>
              <w:rPr>
                <w:rStyle w:val="IndexLink"/>
                <w:rtl w:val="true"/>
              </w:rPr>
              <w:tab/>
            </w:r>
            <w:r>
              <w:rPr>
                <w:rStyle w:val="IndexLink"/>
              </w:rPr>
              <w:t>316</w:t>
            </w:r>
          </w:hyperlink>
        </w:p>
        <w:p>
          <w:pPr>
            <w:pStyle w:val="Contents3"/>
            <w:tabs>
              <w:tab w:val="clear" w:pos="8459"/>
              <w:tab w:val="right" w:pos="9026" w:leader="dot"/>
            </w:tabs>
            <w:rPr/>
          </w:pPr>
          <w:hyperlink w:anchor="__RefHeading___Toc3860224_1067777946">
            <w:r>
              <w:rPr>
                <w:webHidden/>
                <w:rStyle w:val="IndexLink"/>
                <w:rtl w:val="true"/>
              </w:rPr>
              <w:t>أسباب إزالة الرقّ</w:t>
            </w:r>
            <w:r>
              <w:rPr>
                <w:rStyle w:val="IndexLink"/>
                <w:rtl w:val="true"/>
              </w:rPr>
              <w:t>:</w:t>
              <w:tab/>
            </w:r>
            <w:r>
              <w:rPr>
                <w:rStyle w:val="IndexLink"/>
              </w:rPr>
              <w:t>318</w:t>
            </w:r>
          </w:hyperlink>
        </w:p>
        <w:p>
          <w:pPr>
            <w:pStyle w:val="Contents4"/>
            <w:tabs>
              <w:tab w:val="clear" w:pos="8176"/>
              <w:tab w:val="right" w:pos="9026" w:leader="dot"/>
            </w:tabs>
            <w:rPr/>
          </w:pPr>
          <w:hyperlink w:anchor="__RefHeading___Toc3860226_1067777946">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3860228_1067777946">
            <w:r>
              <w:rPr>
                <w:webHidden/>
                <w:rStyle w:val="IndexLink"/>
                <w:rtl w:val="true"/>
              </w:rPr>
              <w:t>العتق بالمباشرة</w:t>
            </w:r>
            <w:r>
              <w:rPr>
                <w:rStyle w:val="IndexLink"/>
                <w:rtl w:val="true"/>
              </w:rPr>
              <w:tab/>
            </w:r>
            <w:r>
              <w:rPr>
                <w:rStyle w:val="IndexLink"/>
              </w:rPr>
              <w:t>318</w:t>
            </w:r>
          </w:hyperlink>
        </w:p>
        <w:p>
          <w:pPr>
            <w:pStyle w:val="Contents5"/>
            <w:tabs>
              <w:tab w:val="clear" w:pos="7892"/>
              <w:tab w:val="right" w:pos="9026" w:leader="dot"/>
            </w:tabs>
            <w:rPr/>
          </w:pPr>
          <w:hyperlink w:anchor="__RefHeading___Toc3860230_1067777946">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3860232_1067777946">
            <w:r>
              <w:rPr>
                <w:webHidden/>
                <w:rStyle w:val="IndexLink"/>
                <w:rtl w:val="true"/>
              </w:rPr>
              <w:t>صيغة العتق</w:t>
            </w:r>
            <w:r>
              <w:rPr>
                <w:rStyle w:val="IndexLink"/>
                <w:rtl w:val="true"/>
              </w:rPr>
              <w:tab/>
            </w:r>
            <w:r>
              <w:rPr>
                <w:rStyle w:val="IndexLink"/>
              </w:rPr>
              <w:t>318</w:t>
            </w:r>
          </w:hyperlink>
        </w:p>
        <w:p>
          <w:pPr>
            <w:pStyle w:val="Contents5"/>
            <w:tabs>
              <w:tab w:val="clear" w:pos="7892"/>
              <w:tab w:val="right" w:pos="9026" w:leader="dot"/>
            </w:tabs>
            <w:rPr/>
          </w:pPr>
          <w:hyperlink w:anchor="__RefHeading___Toc3860234_1067777946">
            <w:r>
              <w:rPr>
                <w:webHidden/>
                <w:rStyle w:val="IndexLink"/>
                <w:rtl w:val="true"/>
              </w:rPr>
              <w:t>هل يشترط تعيين المعتَق؟</w:t>
            </w:r>
            <w:r>
              <w:rPr>
                <w:rStyle w:val="IndexLink"/>
                <w:rtl w:val="true"/>
              </w:rPr>
              <w:tab/>
            </w:r>
            <w:r>
              <w:rPr>
                <w:rStyle w:val="IndexLink"/>
              </w:rPr>
              <w:t>324</w:t>
            </w:r>
          </w:hyperlink>
        </w:p>
        <w:p>
          <w:pPr>
            <w:pStyle w:val="Contents5"/>
            <w:tabs>
              <w:tab w:val="clear" w:pos="7892"/>
              <w:tab w:val="right" w:pos="9026" w:leader="dot"/>
            </w:tabs>
            <w:rPr/>
          </w:pPr>
          <w:hyperlink w:anchor="__RefHeading___Toc3860236_1067777946">
            <w:r>
              <w:rPr>
                <w:webHidden/>
                <w:rStyle w:val="IndexLink"/>
                <w:rtl w:val="true"/>
              </w:rPr>
              <w:t>شروط المعتِق</w:t>
            </w:r>
            <w:r>
              <w:rPr>
                <w:rStyle w:val="IndexLink"/>
                <w:rtl w:val="true"/>
              </w:rPr>
              <w:tab/>
            </w:r>
            <w:r>
              <w:rPr>
                <w:rStyle w:val="IndexLink"/>
              </w:rPr>
              <w:t>327</w:t>
            </w:r>
          </w:hyperlink>
        </w:p>
        <w:p>
          <w:pPr>
            <w:pStyle w:val="Contents5"/>
            <w:tabs>
              <w:tab w:val="clear" w:pos="7892"/>
              <w:tab w:val="right" w:pos="9026" w:leader="dot"/>
            </w:tabs>
            <w:rPr/>
          </w:pPr>
          <w:hyperlink w:anchor="__RefHeading___Toc3860238_1067777946">
            <w:r>
              <w:rPr>
                <w:webHidden/>
                <w:rStyle w:val="IndexLink"/>
                <w:rtl w:val="true"/>
              </w:rPr>
              <w:t>شروط المعتَق</w:t>
            </w:r>
            <w:r>
              <w:rPr>
                <w:rStyle w:val="IndexLink"/>
                <w:rtl w:val="true"/>
              </w:rPr>
              <w:tab/>
            </w:r>
            <w:r>
              <w:rPr>
                <w:rStyle w:val="IndexLink"/>
              </w:rPr>
              <w:t>330</w:t>
            </w:r>
          </w:hyperlink>
        </w:p>
        <w:p>
          <w:pPr>
            <w:pStyle w:val="Contents5"/>
            <w:tabs>
              <w:tab w:val="clear" w:pos="7892"/>
              <w:tab w:val="right" w:pos="9026" w:leader="dot"/>
            </w:tabs>
            <w:rPr/>
          </w:pPr>
          <w:hyperlink w:anchor="__RefHeading___Toc3860240_1067777946">
            <w:r>
              <w:rPr>
                <w:webHidden/>
                <w:rStyle w:val="IndexLink"/>
                <w:rtl w:val="true"/>
              </w:rPr>
              <w:t>عتق ولد الزنى</w:t>
            </w:r>
            <w:r>
              <w:rPr>
                <w:rStyle w:val="IndexLink"/>
                <w:rtl w:val="true"/>
              </w:rPr>
              <w:tab/>
            </w:r>
            <w:r>
              <w:rPr>
                <w:rStyle w:val="IndexLink"/>
              </w:rPr>
              <w:t>332</w:t>
            </w:r>
          </w:hyperlink>
        </w:p>
        <w:p>
          <w:pPr>
            <w:pStyle w:val="Contents5"/>
            <w:tabs>
              <w:tab w:val="clear" w:pos="7892"/>
              <w:tab w:val="right" w:pos="9026" w:leader="dot"/>
            </w:tabs>
            <w:rPr/>
          </w:pPr>
          <w:hyperlink w:anchor="__RefHeading___Toc3860242_1067777946">
            <w:r>
              <w:rPr>
                <w:webHidden/>
                <w:rStyle w:val="IndexLink"/>
                <w:rtl w:val="true"/>
              </w:rPr>
              <w:t>لو شرط على المعتق شرطاً في نفس العتق</w:t>
            </w:r>
            <w:r>
              <w:rPr>
                <w:rStyle w:val="IndexLink"/>
                <w:rtl w:val="true"/>
              </w:rPr>
              <w:tab/>
            </w:r>
            <w:r>
              <w:rPr>
                <w:rStyle w:val="IndexLink"/>
              </w:rPr>
              <w:t>335</w:t>
            </w:r>
          </w:hyperlink>
        </w:p>
        <w:p>
          <w:pPr>
            <w:pStyle w:val="Contents5"/>
            <w:tabs>
              <w:tab w:val="clear" w:pos="7892"/>
              <w:tab w:val="right" w:pos="9026" w:leader="dot"/>
            </w:tabs>
            <w:rPr/>
          </w:pPr>
          <w:hyperlink w:anchor="__RefHeading___Toc3860244_1067777946">
            <w:r>
              <w:rPr>
                <w:webHidden/>
                <w:rStyle w:val="IndexLink"/>
                <w:rtl w:val="true"/>
              </w:rPr>
              <w:t>لو نذر عتق أوّل مملوك يملكه فملك جماعة</w:t>
            </w:r>
            <w:r>
              <w:rPr>
                <w:rStyle w:val="IndexLink"/>
                <w:rtl w:val="true"/>
              </w:rPr>
              <w:tab/>
            </w:r>
            <w:r>
              <w:rPr>
                <w:rStyle w:val="IndexLink"/>
              </w:rPr>
              <w:t>340</w:t>
            </w:r>
          </w:hyperlink>
        </w:p>
        <w:p>
          <w:pPr>
            <w:pStyle w:val="Contents5"/>
            <w:tabs>
              <w:tab w:val="clear" w:pos="7892"/>
              <w:tab w:val="right" w:pos="9026" w:leader="dot"/>
            </w:tabs>
            <w:rPr/>
          </w:pPr>
          <w:hyperlink w:anchor="__RefHeading___Toc3860246_1067777946">
            <w:r>
              <w:rPr>
                <w:webHidden/>
                <w:rStyle w:val="IndexLink"/>
                <w:rtl w:val="true"/>
              </w:rPr>
              <w:t>لو نذر تحرير أوّل ما تلده فولدت توأمين</w:t>
            </w:r>
            <w:r>
              <w:rPr>
                <w:rStyle w:val="IndexLink"/>
                <w:rtl w:val="true"/>
              </w:rPr>
              <w:tab/>
            </w:r>
            <w:r>
              <w:rPr>
                <w:rStyle w:val="IndexLink"/>
              </w:rPr>
              <w:t>342</w:t>
            </w:r>
          </w:hyperlink>
        </w:p>
        <w:p>
          <w:pPr>
            <w:pStyle w:val="Contents5"/>
            <w:tabs>
              <w:tab w:val="clear" w:pos="7892"/>
              <w:tab w:val="right" w:pos="9026" w:leader="dot"/>
            </w:tabs>
            <w:rPr/>
          </w:pPr>
          <w:hyperlink w:anchor="__RefHeading___Toc3860248_1067777946">
            <w:r>
              <w:rPr>
                <w:webHidden/>
                <w:rStyle w:val="IndexLink"/>
                <w:rtl w:val="true"/>
              </w:rPr>
              <w:t>لو كان له مماليك فأعتق بعضهم</w:t>
            </w:r>
            <w:r>
              <w:rPr>
                <w:rStyle w:val="IndexLink"/>
                <w:rtl w:val="true"/>
              </w:rPr>
              <w:tab/>
            </w:r>
            <w:r>
              <w:rPr>
                <w:rStyle w:val="IndexLink"/>
              </w:rPr>
              <w:t>343</w:t>
            </w:r>
          </w:hyperlink>
        </w:p>
        <w:p>
          <w:pPr>
            <w:pStyle w:val="Contents5"/>
            <w:tabs>
              <w:tab w:val="clear" w:pos="7892"/>
              <w:tab w:val="right" w:pos="9026" w:leader="dot"/>
            </w:tabs>
            <w:rPr/>
          </w:pPr>
          <w:hyperlink w:anchor="__RefHeading___Toc3860250_1067777946">
            <w:r>
              <w:rPr>
                <w:webHidden/>
                <w:rStyle w:val="IndexLink"/>
                <w:rtl w:val="true"/>
              </w:rPr>
              <w:t>لو نذر عتق أمته إن وطئها</w:t>
            </w:r>
            <w:r>
              <w:rPr>
                <w:rStyle w:val="IndexLink"/>
                <w:rtl w:val="true"/>
              </w:rPr>
              <w:tab/>
            </w:r>
            <w:r>
              <w:rPr>
                <w:rStyle w:val="IndexLink"/>
              </w:rPr>
              <w:t>347</w:t>
            </w:r>
          </w:hyperlink>
        </w:p>
        <w:p>
          <w:pPr>
            <w:pStyle w:val="Contents5"/>
            <w:tabs>
              <w:tab w:val="clear" w:pos="7892"/>
              <w:tab w:val="right" w:pos="9026" w:leader="dot"/>
            </w:tabs>
            <w:rPr/>
          </w:pPr>
          <w:hyperlink w:anchor="__RefHeading___Toc3860252_1067777946">
            <w:r>
              <w:rPr>
                <w:webHidden/>
                <w:rStyle w:val="IndexLink"/>
                <w:rtl w:val="true"/>
              </w:rPr>
              <w:t>لو نذر عتق كلّ عبد قديم</w:t>
            </w:r>
            <w:r>
              <w:rPr>
                <w:rStyle w:val="IndexLink"/>
                <w:rtl w:val="true"/>
              </w:rPr>
              <w:tab/>
            </w:r>
            <w:r>
              <w:rPr>
                <w:rStyle w:val="IndexLink"/>
              </w:rPr>
              <w:t>348</w:t>
            </w:r>
          </w:hyperlink>
        </w:p>
        <w:p>
          <w:pPr>
            <w:pStyle w:val="Contents5"/>
            <w:tabs>
              <w:tab w:val="clear" w:pos="7892"/>
              <w:tab w:val="right" w:pos="9026" w:leader="dot"/>
            </w:tabs>
            <w:rPr/>
          </w:pPr>
          <w:hyperlink w:anchor="__RefHeading___Toc3860254_1067777946">
            <w:r>
              <w:rPr>
                <w:webHidden/>
                <w:rStyle w:val="IndexLink"/>
                <w:rtl w:val="true"/>
              </w:rPr>
              <w:t>مال العبد المعتَق لمن؟</w:t>
            </w:r>
            <w:r>
              <w:rPr>
                <w:rStyle w:val="IndexLink"/>
                <w:rtl w:val="true"/>
              </w:rPr>
              <w:tab/>
            </w:r>
            <w:r>
              <w:rPr>
                <w:rStyle w:val="IndexLink"/>
              </w:rPr>
              <w:t>350</w:t>
            </w:r>
          </w:hyperlink>
        </w:p>
        <w:p>
          <w:pPr>
            <w:pStyle w:val="Contents5"/>
            <w:tabs>
              <w:tab w:val="clear" w:pos="7892"/>
              <w:tab w:val="right" w:pos="9026" w:leader="dot"/>
            </w:tabs>
            <w:rPr/>
          </w:pPr>
          <w:hyperlink w:anchor="__RefHeading___Toc3860256_1067777946">
            <w:r>
              <w:rPr>
                <w:webHidden/>
                <w:rStyle w:val="IndexLink"/>
                <w:rtl w:val="true"/>
              </w:rPr>
              <w:t>إذا أعتق ثلث عبيده</w:t>
            </w:r>
            <w:r>
              <w:rPr>
                <w:rStyle w:val="IndexLink"/>
                <w:rtl w:val="true"/>
              </w:rPr>
              <w:tab/>
            </w:r>
            <w:r>
              <w:rPr>
                <w:rStyle w:val="IndexLink"/>
              </w:rPr>
              <w:t>352</w:t>
            </w:r>
          </w:hyperlink>
        </w:p>
        <w:p>
          <w:pPr>
            <w:pStyle w:val="Contents5"/>
            <w:tabs>
              <w:tab w:val="clear" w:pos="7892"/>
              <w:tab w:val="right" w:pos="9026" w:leader="dot"/>
            </w:tabs>
            <w:rPr/>
          </w:pPr>
          <w:hyperlink w:anchor="__RefHeading___Toc3860258_1067777946">
            <w:r>
              <w:rPr>
                <w:webHidden/>
                <w:rStyle w:val="IndexLink"/>
                <w:rtl w:val="true"/>
              </w:rPr>
              <w:t>إذا أعتق مملوكه عن غيره</w:t>
            </w:r>
            <w:r>
              <w:rPr>
                <w:rStyle w:val="IndexLink"/>
                <w:rtl w:val="true"/>
              </w:rPr>
              <w:tab/>
            </w:r>
            <w:r>
              <w:rPr>
                <w:rStyle w:val="IndexLink"/>
              </w:rPr>
              <w:t>357</w:t>
            </w:r>
          </w:hyperlink>
        </w:p>
        <w:p>
          <w:pPr>
            <w:pStyle w:val="Contents5"/>
            <w:tabs>
              <w:tab w:val="clear" w:pos="7892"/>
              <w:tab w:val="right" w:pos="9026" w:leader="dot"/>
            </w:tabs>
            <w:rPr/>
          </w:pPr>
          <w:hyperlink w:anchor="__RefHeading___Toc3860260_1067777946">
            <w:r>
              <w:rPr>
                <w:webHidden/>
                <w:rStyle w:val="IndexLink"/>
                <w:rtl w:val="true"/>
              </w:rPr>
              <w:t>العتق في مرض الموت</w:t>
            </w:r>
            <w:r>
              <w:rPr>
                <w:rStyle w:val="IndexLink"/>
                <w:rtl w:val="true"/>
              </w:rPr>
              <w:tab/>
            </w:r>
            <w:r>
              <w:rPr>
                <w:rStyle w:val="IndexLink"/>
              </w:rPr>
              <w:t>359</w:t>
            </w:r>
          </w:hyperlink>
        </w:p>
        <w:p>
          <w:pPr>
            <w:pStyle w:val="Contents4"/>
            <w:tabs>
              <w:tab w:val="clear" w:pos="8176"/>
              <w:tab w:val="right" w:pos="9026" w:leader="dot"/>
            </w:tabs>
            <w:rPr/>
          </w:pPr>
          <w:hyperlink w:anchor="__RefHeading___Toc3860262_1067777946">
            <w:r>
              <w:rPr>
                <w:webHidden/>
                <w:rStyle w:val="IndexLink"/>
                <w:rtl w:val="true"/>
              </w:rPr>
              <w:t>العتق بالسراية</w:t>
            </w:r>
            <w:r>
              <w:rPr>
                <w:rStyle w:val="IndexLink"/>
                <w:rtl w:val="true"/>
              </w:rPr>
              <w:tab/>
            </w:r>
            <w:r>
              <w:rPr>
                <w:rStyle w:val="IndexLink"/>
              </w:rPr>
              <w:t>362</w:t>
            </w:r>
          </w:hyperlink>
        </w:p>
        <w:p>
          <w:pPr>
            <w:pStyle w:val="Contents5"/>
            <w:tabs>
              <w:tab w:val="clear" w:pos="7892"/>
              <w:tab w:val="right" w:pos="9026" w:leader="dot"/>
            </w:tabs>
            <w:rPr/>
          </w:pPr>
          <w:hyperlink w:anchor="__RefHeading___Toc3860264_1067777946">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3860266_1067777946">
            <w:r>
              <w:rPr>
                <w:webHidden/>
                <w:rStyle w:val="IndexLink"/>
                <w:rtl w:val="true"/>
              </w:rPr>
              <w:t>شروط العتق بالسراية</w:t>
            </w:r>
            <w:r>
              <w:rPr>
                <w:rStyle w:val="IndexLink"/>
                <w:rtl w:val="true"/>
              </w:rPr>
              <w:tab/>
            </w:r>
            <w:r>
              <w:rPr>
                <w:rStyle w:val="IndexLink"/>
              </w:rPr>
              <w:t>362</w:t>
            </w:r>
          </w:hyperlink>
        </w:p>
        <w:p>
          <w:pPr>
            <w:pStyle w:val="Contents5"/>
            <w:tabs>
              <w:tab w:val="clear" w:pos="7892"/>
              <w:tab w:val="right" w:pos="9026" w:leader="dot"/>
            </w:tabs>
            <w:rPr/>
          </w:pPr>
          <w:hyperlink w:anchor="__RefHeading___Toc3860268_1067777946">
            <w:r>
              <w:rPr>
                <w:webHidden/>
                <w:rStyle w:val="IndexLink"/>
                <w:rtl w:val="true"/>
              </w:rPr>
              <w:t>وقت انعتاق نصيب الشريك مع اجتماع شروط السراية</w:t>
            </w:r>
            <w:r>
              <w:rPr>
                <w:rStyle w:val="IndexLink"/>
                <w:rtl w:val="true"/>
              </w:rPr>
              <w:tab/>
            </w:r>
            <w:r>
              <w:rPr>
                <w:rStyle w:val="IndexLink"/>
              </w:rPr>
              <w:t>367</w:t>
            </w:r>
          </w:hyperlink>
        </w:p>
        <w:p>
          <w:pPr>
            <w:pStyle w:val="Contents5"/>
            <w:tabs>
              <w:tab w:val="clear" w:pos="7892"/>
              <w:tab w:val="right" w:pos="9026" w:leader="dot"/>
            </w:tabs>
            <w:rPr/>
          </w:pPr>
          <w:hyperlink w:anchor="__RefHeading___Toc3860270_1067777946">
            <w:r>
              <w:rPr>
                <w:webHidden/>
                <w:rStyle w:val="IndexLink"/>
                <w:rtl w:val="true"/>
              </w:rPr>
              <w:t>لو أوصى بعتق بعض عبده و ليس له غيره</w:t>
            </w:r>
            <w:r>
              <w:rPr>
                <w:rStyle w:val="IndexLink"/>
                <w:rtl w:val="true"/>
              </w:rPr>
              <w:tab/>
            </w:r>
            <w:r>
              <w:rPr>
                <w:rStyle w:val="IndexLink"/>
              </w:rPr>
              <w:t>374</w:t>
            </w:r>
          </w:hyperlink>
        </w:p>
        <w:p>
          <w:pPr>
            <w:pStyle w:val="Contents5"/>
            <w:tabs>
              <w:tab w:val="clear" w:pos="7892"/>
              <w:tab w:val="right" w:pos="9026" w:leader="dot"/>
            </w:tabs>
            <w:rPr/>
          </w:pPr>
          <w:hyperlink w:anchor="__RefHeading___Toc3860272_1067777946">
            <w:r>
              <w:rPr>
                <w:webHidden/>
                <w:rStyle w:val="IndexLink"/>
                <w:rtl w:val="true"/>
              </w:rPr>
              <w:t>إذا ادّعى كلّ واحدٍ من الشريكين على صاحبه عتق نصيبه</w:t>
            </w:r>
            <w:r>
              <w:rPr>
                <w:rStyle w:val="IndexLink"/>
                <w:rtl w:val="true"/>
              </w:rPr>
              <w:tab/>
            </w:r>
            <w:r>
              <w:rPr>
                <w:rStyle w:val="IndexLink"/>
              </w:rPr>
              <w:t>378</w:t>
            </w:r>
          </w:hyperlink>
        </w:p>
        <w:p>
          <w:pPr>
            <w:pStyle w:val="Contents4"/>
            <w:tabs>
              <w:tab w:val="clear" w:pos="8176"/>
              <w:tab w:val="right" w:pos="9026" w:leader="dot"/>
            </w:tabs>
            <w:rPr/>
          </w:pPr>
          <w:hyperlink w:anchor="__RefHeading___Toc3860274_1067777946">
            <w:r>
              <w:rPr>
                <w:webHidden/>
                <w:rStyle w:val="IndexLink"/>
                <w:rtl w:val="true"/>
              </w:rPr>
              <w:t>العتق بالملك</w:t>
            </w:r>
            <w:r>
              <w:rPr>
                <w:rStyle w:val="IndexLink"/>
                <w:rtl w:val="true"/>
              </w:rPr>
              <w:tab/>
            </w:r>
            <w:r>
              <w:rPr>
                <w:rStyle w:val="IndexLink"/>
              </w:rPr>
              <w:t>381</w:t>
            </w:r>
          </w:hyperlink>
        </w:p>
        <w:p>
          <w:pPr>
            <w:pStyle w:val="Contents5"/>
            <w:tabs>
              <w:tab w:val="clear" w:pos="7892"/>
              <w:tab w:val="right" w:pos="9026" w:leader="dot"/>
            </w:tabs>
            <w:rPr/>
          </w:pPr>
          <w:hyperlink w:anchor="__RefHeading___Toc3860276_1067777946">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3860278_1067777946">
            <w:r>
              <w:rPr>
                <w:webHidden/>
                <w:rStyle w:val="IndexLink"/>
                <w:rtl w:val="true"/>
              </w:rPr>
              <w:t>متی یتحقّق الانعتاق بالملك؟</w:t>
            </w:r>
            <w:r>
              <w:rPr>
                <w:rStyle w:val="IndexLink"/>
                <w:rtl w:val="true"/>
              </w:rPr>
              <w:tab/>
            </w:r>
            <w:r>
              <w:rPr>
                <w:rStyle w:val="IndexLink"/>
              </w:rPr>
              <w:t>386</w:t>
            </w:r>
          </w:hyperlink>
        </w:p>
        <w:p>
          <w:pPr>
            <w:pStyle w:val="Contents5"/>
            <w:tabs>
              <w:tab w:val="clear" w:pos="7892"/>
              <w:tab w:val="right" w:pos="9026" w:leader="dot"/>
            </w:tabs>
            <w:rPr/>
          </w:pPr>
          <w:hyperlink w:anchor="__RefHeading___Toc3860280_1067777946">
            <w:r>
              <w:rPr>
                <w:webHidden/>
                <w:rStyle w:val="IndexLink"/>
                <w:rtl w:val="true"/>
              </w:rPr>
              <w:t>إذا أوصى لصبيّ أو مجنون بمن ينعتق</w:t>
            </w:r>
            <w:r>
              <w:rPr>
                <w:rStyle w:val="IndexLink"/>
                <w:rtl w:val="true"/>
              </w:rPr>
              <w:tab/>
            </w:r>
            <w:r>
              <w:rPr>
                <w:rStyle w:val="IndexLink"/>
              </w:rPr>
              <w:t>387</w:t>
            </w:r>
          </w:hyperlink>
        </w:p>
        <w:p>
          <w:pPr>
            <w:pStyle w:val="Contents4"/>
            <w:tabs>
              <w:tab w:val="clear" w:pos="8176"/>
              <w:tab w:val="right" w:pos="9026" w:leader="dot"/>
            </w:tabs>
            <w:rPr/>
          </w:pPr>
          <w:hyperlink w:anchor="__RefHeading___Toc3860282_1067777946">
            <w:r>
              <w:rPr>
                <w:webHidden/>
                <w:rStyle w:val="IndexLink"/>
                <w:rtl w:val="true"/>
              </w:rPr>
              <w:t>العتق بالعوارض</w:t>
            </w:r>
            <w:r>
              <w:rPr>
                <w:rStyle w:val="IndexLink"/>
                <w:rtl w:val="true"/>
              </w:rPr>
              <w:tab/>
            </w:r>
            <w:r>
              <w:rPr>
                <w:rStyle w:val="IndexLink"/>
              </w:rPr>
              <w:t>389</w:t>
            </w:r>
          </w:hyperlink>
        </w:p>
        <w:p>
          <w:pPr>
            <w:pStyle w:val="Contents5"/>
            <w:tabs>
              <w:tab w:val="clear" w:pos="7892"/>
              <w:tab w:val="right" w:pos="9026" w:leader="dot"/>
            </w:tabs>
            <w:rPr/>
          </w:pPr>
          <w:hyperlink w:anchor="__RefHeading___Toc3860284_1067777946">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3860286_1067777946">
            <w:r>
              <w:rPr>
                <w:webHidden/>
                <w:rStyle w:val="IndexLink"/>
                <w:rtl w:val="true"/>
              </w:rPr>
              <w:t>انعتاق العبد بالعمى و الجذام و غیرهما</w:t>
            </w:r>
            <w:r>
              <w:rPr>
                <w:rStyle w:val="IndexLink"/>
                <w:rtl w:val="true"/>
              </w:rPr>
              <w:tab/>
            </w:r>
            <w:r>
              <w:rPr>
                <w:rStyle w:val="IndexLink"/>
              </w:rPr>
              <w:t>389</w:t>
            </w:r>
          </w:hyperlink>
        </w:p>
        <w:p>
          <w:pPr>
            <w:pStyle w:val="Contents5"/>
            <w:tabs>
              <w:tab w:val="clear" w:pos="7892"/>
              <w:tab w:val="right" w:pos="9026" w:leader="dot"/>
            </w:tabs>
            <w:rPr/>
          </w:pPr>
          <w:hyperlink w:anchor="__RefHeading___Toc3860288_1067777946">
            <w:r>
              <w:rPr>
                <w:webHidden/>
                <w:rStyle w:val="IndexLink"/>
                <w:rtl w:val="true"/>
              </w:rPr>
              <w:t>هل ینعتق من مثّل به مولاه</w:t>
            </w:r>
            <w:r>
              <w:rPr>
                <w:rStyle w:val="IndexLink"/>
                <w:rtl w:val="true"/>
              </w:rPr>
              <w:tab/>
            </w:r>
            <w:r>
              <w:rPr>
                <w:rStyle w:val="IndexLink"/>
              </w:rPr>
              <w:t>390</w:t>
            </w:r>
          </w:hyperlink>
        </w:p>
        <w:p>
          <w:pPr>
            <w:pStyle w:val="Contents2"/>
            <w:tabs>
              <w:tab w:val="clear" w:pos="8743"/>
              <w:tab w:val="right" w:pos="9026" w:leader="dot"/>
            </w:tabs>
            <w:rPr/>
          </w:pPr>
          <w:hyperlink w:anchor="__RefHeading___Toc3860290_1067777946">
            <w:r>
              <w:rPr>
                <w:webHidden/>
                <w:rStyle w:val="IndexLink"/>
                <w:rtl w:val="true"/>
              </w:rPr>
              <w:t>كتاب التدبير والمكاتبة والاستيلاد</w:t>
            </w:r>
            <w:r>
              <w:rPr>
                <w:rStyle w:val="IndexLink"/>
                <w:rtl w:val="true"/>
              </w:rPr>
              <w:tab/>
            </w:r>
            <w:r>
              <w:rPr>
                <w:rStyle w:val="IndexLink"/>
              </w:rPr>
              <w:t>394</w:t>
            </w:r>
          </w:hyperlink>
        </w:p>
        <w:p>
          <w:pPr>
            <w:pStyle w:val="Contents3"/>
            <w:tabs>
              <w:tab w:val="clear" w:pos="8459"/>
              <w:tab w:val="right" w:pos="9026" w:leader="dot"/>
            </w:tabs>
            <w:rPr/>
          </w:pPr>
          <w:hyperlink w:anchor="__RefHeading___Toc3860292_1067777946">
            <w:r>
              <w:rPr>
                <w:webHidden/>
                <w:rStyle w:val="IndexLink"/>
                <w:rtl w:val="true"/>
              </w:rPr>
              <w:t>التدبیر</w:t>
            </w:r>
            <w:r>
              <w:rPr>
                <w:rStyle w:val="IndexLink"/>
                <w:rtl w:val="true"/>
              </w:rPr>
              <w:tab/>
            </w:r>
            <w:r>
              <w:rPr>
                <w:rStyle w:val="IndexLink"/>
              </w:rPr>
              <w:t>394</w:t>
            </w:r>
          </w:hyperlink>
        </w:p>
        <w:p>
          <w:pPr>
            <w:pStyle w:val="Contents4"/>
            <w:tabs>
              <w:tab w:val="clear" w:pos="8176"/>
              <w:tab w:val="right" w:pos="9026" w:leader="dot"/>
            </w:tabs>
            <w:rPr/>
          </w:pPr>
          <w:hyperlink w:anchor="__RefHeading___Toc3860294_1067777946">
            <w:r>
              <w:rPr>
                <w:webHidden/>
                <w:rStyle w:val="IndexLink"/>
                <w:rtl w:val="true"/>
              </w:rPr>
              <w:t>تعریف التدبیر</w:t>
            </w:r>
            <w:r>
              <w:rPr>
                <w:rStyle w:val="IndexLink"/>
                <w:rtl w:val="true"/>
              </w:rPr>
              <w:tab/>
            </w:r>
            <w:r>
              <w:rPr>
                <w:rStyle w:val="IndexLink"/>
              </w:rPr>
              <w:t>394</w:t>
            </w:r>
          </w:hyperlink>
        </w:p>
        <w:p>
          <w:pPr>
            <w:pStyle w:val="Contents4"/>
            <w:tabs>
              <w:tab w:val="clear" w:pos="8176"/>
              <w:tab w:val="right" w:pos="9026" w:leader="dot"/>
            </w:tabs>
            <w:rPr/>
          </w:pPr>
          <w:hyperlink w:anchor="__RefHeading___Toc3860296_1067777946">
            <w:r>
              <w:rPr>
                <w:webHidden/>
                <w:rStyle w:val="IndexLink"/>
                <w:rtl w:val="true"/>
              </w:rPr>
              <w:t>هل یصحّ تعلیق التدبير علی وفاة غیر المولی؟</w:t>
            </w:r>
            <w:r>
              <w:rPr>
                <w:rStyle w:val="IndexLink"/>
                <w:rtl w:val="true"/>
              </w:rPr>
              <w:tab/>
            </w:r>
            <w:r>
              <w:rPr>
                <w:rStyle w:val="IndexLink"/>
              </w:rPr>
              <w:t>394</w:t>
            </w:r>
          </w:hyperlink>
        </w:p>
        <w:p>
          <w:pPr>
            <w:pStyle w:val="Contents3"/>
            <w:tabs>
              <w:tab w:val="clear" w:pos="8459"/>
              <w:tab w:val="right" w:pos="9026" w:leader="dot"/>
            </w:tabs>
            <w:rPr/>
          </w:pPr>
          <w:hyperlink w:anchor="__RefHeading___Toc3860298_1067777946">
            <w:r>
              <w:rPr>
                <w:webHidden/>
                <w:rStyle w:val="IndexLink"/>
                <w:rtl w:val="true"/>
              </w:rPr>
              <w:t>المقصد الأوّل في العبارة و ما يحصل به التدبير</w:t>
            </w:r>
            <w:r>
              <w:rPr>
                <w:rStyle w:val="IndexLink"/>
                <w:rtl w:val="true"/>
              </w:rPr>
              <w:tab/>
            </w:r>
            <w:r>
              <w:rPr>
                <w:rStyle w:val="IndexLink"/>
              </w:rPr>
              <w:t>398</w:t>
            </w:r>
          </w:hyperlink>
        </w:p>
        <w:p>
          <w:pPr>
            <w:pStyle w:val="Contents4"/>
            <w:tabs>
              <w:tab w:val="clear" w:pos="8176"/>
              <w:tab w:val="right" w:pos="9026" w:leader="dot"/>
            </w:tabs>
            <w:rPr/>
          </w:pPr>
          <w:hyperlink w:anchor="__RefHeading___Toc3860300_1067777946">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3860302_1067777946">
            <w:r>
              <w:rPr>
                <w:webHidden/>
                <w:rStyle w:val="IndexLink"/>
                <w:rtl w:val="true"/>
              </w:rPr>
              <w:t>أقسام التدبير</w:t>
            </w:r>
            <w:r>
              <w:rPr>
                <w:rStyle w:val="IndexLink"/>
                <w:rtl w:val="true"/>
              </w:rPr>
              <w:tab/>
            </w:r>
            <w:r>
              <w:rPr>
                <w:rStyle w:val="IndexLink"/>
              </w:rPr>
              <w:t>398</w:t>
            </w:r>
          </w:hyperlink>
        </w:p>
        <w:p>
          <w:pPr>
            <w:pStyle w:val="Contents4"/>
            <w:tabs>
              <w:tab w:val="clear" w:pos="8176"/>
              <w:tab w:val="right" w:pos="9026" w:leader="dot"/>
            </w:tabs>
            <w:rPr/>
          </w:pPr>
          <w:hyperlink w:anchor="__RefHeading___Toc3860304_1067777946">
            <w:r>
              <w:rPr>
                <w:webHidden/>
                <w:rStyle w:val="IndexLink"/>
                <w:rtl w:val="true"/>
              </w:rPr>
              <w:t>يشترط في الصيغة التدبیر النیّة</w:t>
            </w:r>
            <w:r>
              <w:rPr>
                <w:rStyle w:val="IndexLink"/>
                <w:rtl w:val="true"/>
              </w:rPr>
              <w:tab/>
            </w:r>
            <w:r>
              <w:rPr>
                <w:rStyle w:val="IndexLink"/>
              </w:rPr>
              <w:t>402</w:t>
            </w:r>
          </w:hyperlink>
        </w:p>
        <w:p>
          <w:pPr>
            <w:pStyle w:val="Contents4"/>
            <w:tabs>
              <w:tab w:val="clear" w:pos="8176"/>
              <w:tab w:val="right" w:pos="9026" w:leader="dot"/>
            </w:tabs>
            <w:rPr/>
          </w:pPr>
          <w:hyperlink w:anchor="__RefHeading___Toc3860306_1067777946">
            <w:r>
              <w:rPr>
                <w:webHidden/>
                <w:rStyle w:val="IndexLink"/>
                <w:rtl w:val="true"/>
              </w:rPr>
              <w:t>يشترط في الصيغة التدبیر تجريدها عن الشرط و الصفة</w:t>
            </w:r>
            <w:r>
              <w:rPr>
                <w:rStyle w:val="IndexLink"/>
                <w:rtl w:val="true"/>
              </w:rPr>
              <w:tab/>
            </w:r>
            <w:r>
              <w:rPr>
                <w:rStyle w:val="IndexLink"/>
              </w:rPr>
              <w:t>403</w:t>
            </w:r>
          </w:hyperlink>
        </w:p>
        <w:p>
          <w:pPr>
            <w:pStyle w:val="Contents3"/>
            <w:tabs>
              <w:tab w:val="clear" w:pos="8459"/>
              <w:tab w:val="right" w:pos="9026" w:leader="dot"/>
            </w:tabs>
            <w:rPr/>
          </w:pPr>
          <w:hyperlink w:anchor="__RefHeading___Toc3860308_1067777946">
            <w:r>
              <w:rPr>
                <w:webHidden/>
                <w:rStyle w:val="IndexLink"/>
                <w:rtl w:val="true"/>
              </w:rPr>
              <w:t>المقصد الثاني في المباشر</w:t>
            </w:r>
            <w:r>
              <w:rPr>
                <w:rStyle w:val="IndexLink"/>
                <w:rtl w:val="true"/>
              </w:rPr>
              <w:tab/>
            </w:r>
            <w:r>
              <w:rPr>
                <w:rStyle w:val="IndexLink"/>
              </w:rPr>
              <w:t>408</w:t>
            </w:r>
          </w:hyperlink>
        </w:p>
        <w:p>
          <w:pPr>
            <w:pStyle w:val="Contents4"/>
            <w:tabs>
              <w:tab w:val="clear" w:pos="8176"/>
              <w:tab w:val="right" w:pos="9026" w:leader="dot"/>
            </w:tabs>
            <w:rPr/>
          </w:pPr>
          <w:hyperlink w:anchor="__RefHeading___Toc3860310_1067777946">
            <w:r>
              <w:rPr>
                <w:webHidden/>
                <w:rStyle w:val="IndexLink"/>
                <w:rtl w:val="true"/>
              </w:rPr>
              <w:t>شروط المدبِّر</w:t>
            </w:r>
            <w:r>
              <w:rPr>
                <w:rStyle w:val="IndexLink"/>
                <w:rtl w:val="true"/>
              </w:rPr>
              <w:tab/>
            </w:r>
            <w:r>
              <w:rPr>
                <w:rStyle w:val="IndexLink"/>
              </w:rPr>
              <w:t>408</w:t>
            </w:r>
          </w:hyperlink>
        </w:p>
        <w:p>
          <w:pPr>
            <w:pStyle w:val="Contents3"/>
            <w:tabs>
              <w:tab w:val="clear" w:pos="8459"/>
              <w:tab w:val="right" w:pos="9026" w:leader="dot"/>
            </w:tabs>
            <w:rPr/>
          </w:pPr>
          <w:hyperlink w:anchor="__RefHeading___Toc3860312_1067777946">
            <w:r>
              <w:rPr>
                <w:webHidden/>
                <w:rStyle w:val="IndexLink"/>
                <w:rtl w:val="true"/>
              </w:rPr>
              <w:t>المقصد الثالث في الأحكام</w:t>
            </w:r>
            <w:r>
              <w:rPr>
                <w:rStyle w:val="IndexLink"/>
                <w:rtl w:val="true"/>
              </w:rPr>
              <w:tab/>
            </w:r>
            <w:r>
              <w:rPr>
                <w:rStyle w:val="IndexLink"/>
              </w:rPr>
              <w:t>413</w:t>
            </w:r>
          </w:hyperlink>
        </w:p>
        <w:p>
          <w:pPr>
            <w:pStyle w:val="Contents4"/>
            <w:tabs>
              <w:tab w:val="clear" w:pos="8176"/>
              <w:tab w:val="right" w:pos="9026" w:leader="dot"/>
            </w:tabs>
            <w:rPr/>
          </w:pPr>
          <w:hyperlink w:anchor="__RefHeading___Toc3860314_1067777946">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3860316_1067777946">
            <w:r>
              <w:rPr>
                <w:webHidden/>
                <w:rStyle w:val="IndexLink"/>
                <w:rtl w:val="true"/>
              </w:rPr>
              <w:t>التدبير بصفة الوصيّة</w:t>
            </w:r>
            <w:r>
              <w:rPr>
                <w:rStyle w:val="IndexLink"/>
                <w:rtl w:val="true"/>
              </w:rPr>
              <w:tab/>
            </w:r>
            <w:r>
              <w:rPr>
                <w:rStyle w:val="IndexLink"/>
              </w:rPr>
              <w:t>413</w:t>
            </w:r>
          </w:hyperlink>
        </w:p>
        <w:p>
          <w:pPr>
            <w:pStyle w:val="Contents4"/>
            <w:tabs>
              <w:tab w:val="clear" w:pos="8176"/>
              <w:tab w:val="right" w:pos="9026" w:leader="dot"/>
            </w:tabs>
            <w:rPr/>
          </w:pPr>
          <w:hyperlink w:anchor="__RefHeading___Toc3860318_1067777946">
            <w:r>
              <w:rPr>
                <w:webHidden/>
                <w:rStyle w:val="IndexLink"/>
                <w:rtl w:val="true"/>
              </w:rPr>
              <w:t>المدبّر ينعتق بموت مولاه من الثلث</w:t>
            </w:r>
            <w:r>
              <w:rPr>
                <w:rStyle w:val="IndexLink"/>
                <w:rtl w:val="true"/>
              </w:rPr>
              <w:tab/>
            </w:r>
            <w:r>
              <w:rPr>
                <w:rStyle w:val="IndexLink"/>
              </w:rPr>
              <w:t>418</w:t>
            </w:r>
          </w:hyperlink>
        </w:p>
        <w:p>
          <w:pPr>
            <w:pStyle w:val="Contents4"/>
            <w:tabs>
              <w:tab w:val="clear" w:pos="8176"/>
              <w:tab w:val="right" w:pos="9026" w:leader="dot"/>
            </w:tabs>
            <w:rPr/>
          </w:pPr>
          <w:hyperlink w:anchor="__RefHeading___Toc3860320_1067777946">
            <w:r>
              <w:rPr>
                <w:webHidden/>
                <w:rStyle w:val="IndexLink"/>
                <w:rtl w:val="true"/>
              </w:rPr>
              <w:t>مسائل من تدبیر بعض العبد و تقویم حصّة الشریك</w:t>
            </w:r>
            <w:r>
              <w:rPr>
                <w:rStyle w:val="IndexLink"/>
                <w:rtl w:val="true"/>
              </w:rPr>
              <w:tab/>
            </w:r>
            <w:r>
              <w:rPr>
                <w:rStyle w:val="IndexLink"/>
              </w:rPr>
              <w:t>421</w:t>
            </w:r>
          </w:hyperlink>
        </w:p>
        <w:p>
          <w:pPr>
            <w:pStyle w:val="Contents4"/>
            <w:tabs>
              <w:tab w:val="clear" w:pos="8176"/>
              <w:tab w:val="right" w:pos="9026" w:leader="dot"/>
            </w:tabs>
            <w:rPr/>
          </w:pPr>
          <w:hyperlink w:anchor="__RefHeading___Toc3860322_1067777946">
            <w:r>
              <w:rPr>
                <w:webHidden/>
                <w:rStyle w:val="IndexLink"/>
                <w:rtl w:val="true"/>
              </w:rPr>
              <w:t>إذا أبق المدبّر بطل تدبيره</w:t>
            </w:r>
            <w:r>
              <w:rPr>
                <w:rStyle w:val="IndexLink"/>
                <w:rtl w:val="true"/>
              </w:rPr>
              <w:tab/>
            </w:r>
            <w:r>
              <w:rPr>
                <w:rStyle w:val="IndexLink"/>
              </w:rPr>
              <w:t>422</w:t>
            </w:r>
          </w:hyperlink>
        </w:p>
        <w:p>
          <w:pPr>
            <w:pStyle w:val="Contents4"/>
            <w:tabs>
              <w:tab w:val="clear" w:pos="8176"/>
              <w:tab w:val="right" w:pos="9026" w:leader="dot"/>
            </w:tabs>
            <w:rPr/>
          </w:pPr>
          <w:hyperlink w:anchor="__RefHeading___Toc3860324_1067777946">
            <w:r>
              <w:rPr>
                <w:webHidden/>
                <w:rStyle w:val="IndexLink"/>
                <w:rtl w:val="true"/>
              </w:rPr>
              <w:t>لايبطل تدبير المملوك لو ارتدّ</w:t>
            </w:r>
            <w:r>
              <w:rPr>
                <w:rStyle w:val="IndexLink"/>
                <w:rtl w:val="true"/>
              </w:rPr>
              <w:tab/>
            </w:r>
            <w:r>
              <w:rPr>
                <w:rStyle w:val="IndexLink"/>
              </w:rPr>
              <w:t>424</w:t>
            </w:r>
          </w:hyperlink>
        </w:p>
        <w:p>
          <w:pPr>
            <w:pStyle w:val="Contents4"/>
            <w:tabs>
              <w:tab w:val="clear" w:pos="8176"/>
              <w:tab w:val="right" w:pos="9026" w:leader="dot"/>
            </w:tabs>
            <w:rPr/>
          </w:pPr>
          <w:hyperlink w:anchor="__RefHeading___Toc3860326_1067777946">
            <w:r>
              <w:rPr>
                <w:webHidden/>
                <w:rStyle w:val="IndexLink"/>
                <w:rtl w:val="true"/>
              </w:rPr>
              <w:t>ما يكتسبه المدبَّر لمولاه</w:t>
            </w:r>
            <w:r>
              <w:rPr>
                <w:rStyle w:val="IndexLink"/>
                <w:rtl w:val="true"/>
              </w:rPr>
              <w:tab/>
            </w:r>
            <w:r>
              <w:rPr>
                <w:rStyle w:val="IndexLink"/>
              </w:rPr>
              <w:t>424</w:t>
            </w:r>
          </w:hyperlink>
        </w:p>
        <w:p>
          <w:pPr>
            <w:pStyle w:val="Contents4"/>
            <w:tabs>
              <w:tab w:val="clear" w:pos="8176"/>
              <w:tab w:val="right" w:pos="9026" w:leader="dot"/>
            </w:tabs>
            <w:rPr/>
          </w:pPr>
          <w:hyperlink w:anchor="__RefHeading___Toc3860328_1067777946">
            <w:r>
              <w:rPr>
                <w:webHidden/>
                <w:rStyle w:val="IndexLink"/>
                <w:rtl w:val="true"/>
              </w:rPr>
              <w:t>إذا جُنى المدبّر</w:t>
            </w:r>
            <w:r>
              <w:rPr>
                <w:rStyle w:val="IndexLink"/>
                <w:rtl w:val="true"/>
              </w:rPr>
              <w:tab/>
            </w:r>
            <w:r>
              <w:rPr>
                <w:rStyle w:val="IndexLink"/>
              </w:rPr>
              <w:t>426</w:t>
            </w:r>
          </w:hyperlink>
        </w:p>
        <w:p>
          <w:pPr>
            <w:pStyle w:val="Contents4"/>
            <w:tabs>
              <w:tab w:val="clear" w:pos="8176"/>
              <w:tab w:val="right" w:pos="9026" w:leader="dot"/>
            </w:tabs>
            <w:rPr/>
          </w:pPr>
          <w:hyperlink w:anchor="__RefHeading___Toc3860330_1067777946">
            <w:r>
              <w:rPr>
                <w:webHidden/>
                <w:rStyle w:val="IndexLink"/>
                <w:rtl w:val="true"/>
              </w:rPr>
              <w:t>المال الذی يستفيده المدبَّر بعد موت مولاه لمن؟</w:t>
            </w:r>
            <w:r>
              <w:rPr>
                <w:rStyle w:val="IndexLink"/>
                <w:rtl w:val="true"/>
              </w:rPr>
              <w:tab/>
            </w:r>
            <w:r>
              <w:rPr>
                <w:rStyle w:val="IndexLink"/>
              </w:rPr>
              <w:t>429</w:t>
            </w:r>
          </w:hyperlink>
        </w:p>
        <w:p>
          <w:pPr>
            <w:pStyle w:val="Contents3"/>
            <w:tabs>
              <w:tab w:val="clear" w:pos="8459"/>
              <w:tab w:val="right" w:pos="9026" w:leader="dot"/>
            </w:tabs>
            <w:rPr/>
          </w:pPr>
          <w:hyperlink w:anchor="__RefHeading___Toc3860332_1067777946">
            <w:r>
              <w:rPr>
                <w:webHidden/>
                <w:rStyle w:val="IndexLink"/>
                <w:rtl w:val="true"/>
              </w:rPr>
              <w:t>المکاتبة</w:t>
            </w:r>
            <w:r>
              <w:rPr>
                <w:rStyle w:val="IndexLink"/>
                <w:rtl w:val="true"/>
              </w:rPr>
              <w:tab/>
            </w:r>
            <w:r>
              <w:rPr>
                <w:rStyle w:val="IndexLink"/>
              </w:rPr>
              <w:t>436</w:t>
            </w:r>
          </w:hyperlink>
        </w:p>
        <w:p>
          <w:pPr>
            <w:pStyle w:val="Contents4"/>
            <w:tabs>
              <w:tab w:val="clear" w:pos="8176"/>
              <w:tab w:val="right" w:pos="9026" w:leader="dot"/>
            </w:tabs>
            <w:rPr/>
          </w:pPr>
          <w:hyperlink w:anchor="__RefHeading___Toc3860334_1067777946">
            <w:r>
              <w:rPr>
                <w:webHidden/>
                <w:rStyle w:val="IndexLink"/>
                <w:rtl w:val="true"/>
              </w:rPr>
              <w:t>اشارة</w:t>
            </w:r>
            <w:r>
              <w:rPr>
                <w:rStyle w:val="IndexLink"/>
                <w:rtl w:val="true"/>
              </w:rPr>
              <w:tab/>
            </w:r>
            <w:r>
              <w:rPr>
                <w:rStyle w:val="IndexLink"/>
              </w:rPr>
              <w:t>436</w:t>
            </w:r>
          </w:hyperlink>
        </w:p>
        <w:p>
          <w:pPr>
            <w:pStyle w:val="Contents4"/>
            <w:tabs>
              <w:tab w:val="clear" w:pos="8176"/>
              <w:tab w:val="right" w:pos="9026" w:leader="dot"/>
            </w:tabs>
            <w:rPr/>
          </w:pPr>
          <w:hyperlink w:anchor="__RefHeading___Toc3860336_1067777946">
            <w:r>
              <w:rPr>
                <w:webHidden/>
                <w:rStyle w:val="IndexLink"/>
                <w:rtl w:val="true"/>
              </w:rPr>
              <w:t>تعریف المکاتبة</w:t>
            </w:r>
            <w:r>
              <w:rPr>
                <w:rStyle w:val="IndexLink"/>
                <w:rtl w:val="true"/>
              </w:rPr>
              <w:tab/>
            </w:r>
            <w:r>
              <w:rPr>
                <w:rStyle w:val="IndexLink"/>
              </w:rPr>
              <w:t>436</w:t>
            </w:r>
          </w:hyperlink>
        </w:p>
        <w:p>
          <w:pPr>
            <w:pStyle w:val="Contents4"/>
            <w:tabs>
              <w:tab w:val="clear" w:pos="8176"/>
              <w:tab w:val="right" w:pos="9026" w:leader="dot"/>
            </w:tabs>
            <w:rPr/>
          </w:pPr>
          <w:hyperlink w:anchor="__RefHeading___Toc3860338_1067777946">
            <w:r>
              <w:rPr>
                <w:webHidden/>
                <w:rStyle w:val="IndexLink"/>
                <w:rtl w:val="true"/>
              </w:rPr>
              <w:t>الكتابة مستحبّة مع الأمانة و الاكتساب</w:t>
            </w:r>
            <w:r>
              <w:rPr>
                <w:rStyle w:val="IndexLink"/>
                <w:rtl w:val="true"/>
              </w:rPr>
              <w:tab/>
            </w:r>
            <w:r>
              <w:rPr>
                <w:rStyle w:val="IndexLink"/>
              </w:rPr>
              <w:t>437</w:t>
            </w:r>
          </w:hyperlink>
        </w:p>
        <w:p>
          <w:pPr>
            <w:pStyle w:val="Contents4"/>
            <w:tabs>
              <w:tab w:val="clear" w:pos="8176"/>
              <w:tab w:val="right" w:pos="9026" w:leader="dot"/>
            </w:tabs>
            <w:rPr/>
          </w:pPr>
          <w:hyperlink w:anchor="__RefHeading___Toc3860340_1067777946">
            <w:r>
              <w:rPr>
                <w:webHidden/>
                <w:rStyle w:val="IndexLink"/>
                <w:rtl w:val="true"/>
              </w:rPr>
              <w:t>بيان الفرق بين الکتابة و البیع</w:t>
            </w:r>
            <w:r>
              <w:rPr>
                <w:rStyle w:val="IndexLink"/>
                <w:rtl w:val="true"/>
              </w:rPr>
              <w:tab/>
            </w:r>
            <w:r>
              <w:rPr>
                <w:rStyle w:val="IndexLink"/>
              </w:rPr>
              <w:t>439</w:t>
            </w:r>
          </w:hyperlink>
        </w:p>
        <w:p>
          <w:pPr>
            <w:pStyle w:val="Contents4"/>
            <w:tabs>
              <w:tab w:val="clear" w:pos="8176"/>
              <w:tab w:val="right" w:pos="9026" w:leader="dot"/>
            </w:tabs>
            <w:rPr/>
          </w:pPr>
          <w:hyperlink w:anchor="__RefHeading___Toc3860342_1067777946">
            <w:r>
              <w:rPr>
                <w:webHidden/>
                <w:rStyle w:val="IndexLink"/>
                <w:rtl w:val="true"/>
              </w:rPr>
              <w:t>صيغة الکتابة</w:t>
            </w:r>
            <w:r>
              <w:rPr>
                <w:rStyle w:val="IndexLink"/>
                <w:rtl w:val="true"/>
              </w:rPr>
              <w:tab/>
            </w:r>
            <w:r>
              <w:rPr>
                <w:rStyle w:val="IndexLink"/>
              </w:rPr>
              <w:t>443</w:t>
            </w:r>
          </w:hyperlink>
        </w:p>
        <w:p>
          <w:pPr>
            <w:pStyle w:val="Contents4"/>
            <w:tabs>
              <w:tab w:val="clear" w:pos="8176"/>
              <w:tab w:val="right" w:pos="9026" w:leader="dot"/>
            </w:tabs>
            <w:rPr/>
          </w:pPr>
          <w:hyperlink w:anchor="__RefHeading___Toc3860344_1067777946">
            <w:r>
              <w:rPr>
                <w:webHidden/>
                <w:rStyle w:val="IndexLink"/>
                <w:rtl w:val="true"/>
              </w:rPr>
              <w:t>الكتابة قسمان</w:t>
            </w:r>
            <w:r>
              <w:rPr>
                <w:rStyle w:val="IndexLink"/>
                <w:rtl w:val="true"/>
              </w:rPr>
              <w:t xml:space="preserve">: </w:t>
            </w:r>
            <w:r>
              <w:rPr>
                <w:rStyle w:val="IndexLink"/>
                <w:rtl w:val="true"/>
              </w:rPr>
              <w:t>مشروطة و مطلقة</w:t>
            </w:r>
            <w:r>
              <w:rPr>
                <w:rStyle w:val="IndexLink"/>
                <w:rtl w:val="true"/>
              </w:rPr>
              <w:tab/>
            </w:r>
            <w:r>
              <w:rPr>
                <w:rStyle w:val="IndexLink"/>
              </w:rPr>
              <w:t>445</w:t>
            </w:r>
          </w:hyperlink>
        </w:p>
        <w:p>
          <w:pPr>
            <w:pStyle w:val="Contents4"/>
            <w:tabs>
              <w:tab w:val="clear" w:pos="8176"/>
              <w:tab w:val="right" w:pos="9026" w:leader="dot"/>
            </w:tabs>
            <w:rPr/>
          </w:pPr>
          <w:hyperlink w:anchor="__RefHeading___Toc3860346_1067777946">
            <w:r>
              <w:rPr>
                <w:webHidden/>
                <w:rStyle w:val="IndexLink"/>
                <w:rtl w:val="true"/>
              </w:rPr>
              <w:t>حدّ العجز عن مال الکتابة</w:t>
            </w:r>
            <w:r>
              <w:rPr>
                <w:rStyle w:val="IndexLink"/>
                <w:rtl w:val="true"/>
              </w:rPr>
              <w:tab/>
            </w:r>
            <w:r>
              <w:rPr>
                <w:rStyle w:val="IndexLink"/>
              </w:rPr>
              <w:t>446</w:t>
            </w:r>
          </w:hyperlink>
        </w:p>
        <w:p>
          <w:pPr>
            <w:pStyle w:val="Contents4"/>
            <w:tabs>
              <w:tab w:val="clear" w:pos="8176"/>
              <w:tab w:val="right" w:pos="9026" w:leader="dot"/>
            </w:tabs>
            <w:rPr/>
          </w:pPr>
          <w:hyperlink w:anchor="__RefHeading___Toc3860348_1067777946">
            <w:r>
              <w:rPr>
                <w:webHidden/>
                <w:rStyle w:val="IndexLink"/>
                <w:rtl w:val="true"/>
              </w:rPr>
              <w:t>الكتابة عقد لازم</w:t>
            </w:r>
            <w:r>
              <w:rPr>
                <w:rStyle w:val="IndexLink"/>
                <w:rtl w:val="true"/>
              </w:rPr>
              <w:tab/>
            </w:r>
            <w:r>
              <w:rPr>
                <w:rStyle w:val="IndexLink"/>
              </w:rPr>
              <w:t>451</w:t>
            </w:r>
          </w:hyperlink>
        </w:p>
        <w:p>
          <w:pPr>
            <w:pStyle w:val="Contents4"/>
            <w:tabs>
              <w:tab w:val="clear" w:pos="8176"/>
              <w:tab w:val="right" w:pos="9026" w:leader="dot"/>
            </w:tabs>
            <w:rPr/>
          </w:pPr>
          <w:hyperlink w:anchor="__RefHeading___Toc3860350_1067777946">
            <w:r>
              <w:rPr>
                <w:webHidden/>
                <w:rStyle w:val="IndexLink"/>
                <w:rtl w:val="true"/>
              </w:rPr>
              <w:t>شروط المکاتِب</w:t>
            </w:r>
            <w:r>
              <w:rPr>
                <w:rStyle w:val="IndexLink"/>
                <w:rtl w:val="true"/>
              </w:rPr>
              <w:tab/>
            </w:r>
            <w:r>
              <w:rPr>
                <w:rStyle w:val="IndexLink"/>
              </w:rPr>
              <w:t>455</w:t>
            </w:r>
          </w:hyperlink>
        </w:p>
        <w:p>
          <w:pPr>
            <w:pStyle w:val="Contents4"/>
            <w:tabs>
              <w:tab w:val="clear" w:pos="8176"/>
              <w:tab w:val="right" w:pos="9026" w:leader="dot"/>
            </w:tabs>
            <w:rPr/>
          </w:pPr>
          <w:hyperlink w:anchor="__RefHeading___Toc3860352_1067777946">
            <w:r>
              <w:rPr>
                <w:webHidden/>
                <w:rStyle w:val="IndexLink"/>
                <w:rtl w:val="true"/>
              </w:rPr>
              <w:t>شروط المکاتَب</w:t>
            </w:r>
            <w:r>
              <w:rPr>
                <w:rStyle w:val="IndexLink"/>
                <w:rtl w:val="true"/>
              </w:rPr>
              <w:tab/>
            </w:r>
            <w:r>
              <w:rPr>
                <w:rStyle w:val="IndexLink"/>
              </w:rPr>
              <w:t>458</w:t>
            </w:r>
          </w:hyperlink>
        </w:p>
        <w:p>
          <w:pPr>
            <w:pStyle w:val="Contents4"/>
            <w:tabs>
              <w:tab w:val="clear" w:pos="8176"/>
              <w:tab w:val="right" w:pos="9026" w:leader="dot"/>
            </w:tabs>
            <w:rPr/>
          </w:pPr>
          <w:hyperlink w:anchor="__RefHeading___Toc3860354_1067777946">
            <w:r>
              <w:rPr>
                <w:webHidden/>
                <w:rStyle w:val="IndexLink"/>
                <w:rtl w:val="true"/>
              </w:rPr>
              <w:t>هل يشترط الأجل في الکتابة؟</w:t>
            </w:r>
            <w:r>
              <w:rPr>
                <w:rStyle w:val="IndexLink"/>
                <w:rtl w:val="true"/>
              </w:rPr>
              <w:tab/>
            </w:r>
            <w:r>
              <w:rPr>
                <w:rStyle w:val="IndexLink"/>
              </w:rPr>
              <w:t>460</w:t>
            </w:r>
          </w:hyperlink>
        </w:p>
        <w:p>
          <w:pPr>
            <w:pStyle w:val="Contents4"/>
            <w:tabs>
              <w:tab w:val="clear" w:pos="8176"/>
              <w:tab w:val="right" w:pos="9026" w:leader="dot"/>
            </w:tabs>
            <w:rPr/>
          </w:pPr>
          <w:hyperlink w:anchor="__RefHeading___Toc3860356_1067777946">
            <w:r>
              <w:rPr>
                <w:webHidden/>
                <w:rStyle w:val="IndexLink"/>
                <w:rtl w:val="true"/>
              </w:rPr>
              <w:t>شروط عوض الکتابة</w:t>
            </w:r>
            <w:r>
              <w:rPr>
                <w:rStyle w:val="IndexLink"/>
                <w:rtl w:val="true"/>
              </w:rPr>
              <w:tab/>
            </w:r>
            <w:r>
              <w:rPr>
                <w:rStyle w:val="IndexLink"/>
              </w:rPr>
              <w:t>463</w:t>
            </w:r>
          </w:hyperlink>
        </w:p>
        <w:p>
          <w:pPr>
            <w:pStyle w:val="Contents4"/>
            <w:tabs>
              <w:tab w:val="clear" w:pos="8176"/>
              <w:tab w:val="right" w:pos="9026" w:leader="dot"/>
            </w:tabs>
            <w:rPr/>
          </w:pPr>
          <w:hyperlink w:anchor="__RefHeading___Toc3860358_1067777946">
            <w:r>
              <w:rPr>
                <w:webHidden/>
                <w:rStyle w:val="IndexLink"/>
                <w:rtl w:val="true"/>
              </w:rPr>
              <w:t>إذا جمع بين كتابة و بيع أو إجارة</w:t>
            </w:r>
            <w:r>
              <w:rPr>
                <w:rStyle w:val="IndexLink"/>
                <w:rtl w:val="true"/>
              </w:rPr>
              <w:tab/>
            </w:r>
            <w:r>
              <w:rPr>
                <w:rStyle w:val="IndexLink"/>
              </w:rPr>
              <w:t>466</w:t>
            </w:r>
          </w:hyperlink>
        </w:p>
        <w:p>
          <w:pPr>
            <w:pStyle w:val="Contents4"/>
            <w:tabs>
              <w:tab w:val="clear" w:pos="8176"/>
              <w:tab w:val="right" w:pos="9026" w:leader="dot"/>
            </w:tabs>
            <w:rPr/>
          </w:pPr>
          <w:hyperlink w:anchor="__RefHeading___Toc3860360_1067777946">
            <w:r>
              <w:rPr>
                <w:webHidden/>
                <w:rStyle w:val="IndexLink"/>
                <w:rtl w:val="true"/>
              </w:rPr>
              <w:t>لو كاتب ثلاثة في عقد واحد</w:t>
            </w:r>
            <w:r>
              <w:rPr>
                <w:rStyle w:val="IndexLink"/>
                <w:rtl w:val="true"/>
              </w:rPr>
              <w:tab/>
            </w:r>
            <w:r>
              <w:rPr>
                <w:rStyle w:val="IndexLink"/>
              </w:rPr>
              <w:t>468</w:t>
            </w:r>
          </w:hyperlink>
        </w:p>
        <w:p>
          <w:pPr>
            <w:pStyle w:val="Contents4"/>
            <w:tabs>
              <w:tab w:val="clear" w:pos="8176"/>
              <w:tab w:val="right" w:pos="9026" w:leader="dot"/>
            </w:tabs>
            <w:rPr/>
          </w:pPr>
          <w:hyperlink w:anchor="__RefHeading___Toc3860362_1067777946">
            <w:r>
              <w:rPr>
                <w:webHidden/>
                <w:rStyle w:val="IndexLink"/>
                <w:rtl w:val="true"/>
              </w:rPr>
              <w:t>أحکام المکاتبة</w:t>
            </w:r>
            <w:r>
              <w:rPr>
                <w:rStyle w:val="IndexLink"/>
                <w:rtl w:val="true"/>
              </w:rPr>
              <w:tab/>
            </w:r>
            <w:r>
              <w:rPr>
                <w:rStyle w:val="IndexLink"/>
              </w:rPr>
              <w:t>473</w:t>
            </w:r>
          </w:hyperlink>
        </w:p>
        <w:p>
          <w:pPr>
            <w:pStyle w:val="Contents4"/>
            <w:tabs>
              <w:tab w:val="clear" w:pos="8176"/>
              <w:tab w:val="right" w:pos="9026" w:leader="dot"/>
            </w:tabs>
            <w:rPr/>
          </w:pPr>
          <w:hyperlink w:anchor="__RefHeading___Toc3860364_1067777946">
            <w:r>
              <w:rPr>
                <w:webHidden/>
                <w:rStyle w:val="IndexLink"/>
                <w:rtl w:val="true"/>
              </w:rPr>
              <w:t>اللواحق</w:t>
            </w:r>
            <w:r>
              <w:rPr>
                <w:rStyle w:val="IndexLink"/>
                <w:rtl w:val="true"/>
              </w:rPr>
              <w:tab/>
            </w:r>
            <w:r>
              <w:rPr>
                <w:rStyle w:val="IndexLink"/>
              </w:rPr>
              <w:t>502</w:t>
            </w:r>
          </w:hyperlink>
        </w:p>
        <w:p>
          <w:pPr>
            <w:pStyle w:val="Contents5"/>
            <w:tabs>
              <w:tab w:val="clear" w:pos="7892"/>
              <w:tab w:val="right" w:pos="9026" w:leader="dot"/>
            </w:tabs>
            <w:rPr/>
          </w:pPr>
          <w:hyperlink w:anchor="__RefHeading___Toc3860366_1067777946">
            <w:r>
              <w:rPr>
                <w:webHidden/>
                <w:rStyle w:val="IndexLink"/>
                <w:rtl w:val="true"/>
              </w:rPr>
              <w:t>اشارة</w:t>
            </w:r>
            <w:r>
              <w:rPr>
                <w:rStyle w:val="IndexLink"/>
                <w:rtl w:val="true"/>
              </w:rPr>
              <w:tab/>
            </w:r>
            <w:r>
              <w:rPr>
                <w:rStyle w:val="IndexLink"/>
              </w:rPr>
              <w:t>502</w:t>
            </w:r>
          </w:hyperlink>
        </w:p>
        <w:p>
          <w:pPr>
            <w:pStyle w:val="Contents5"/>
            <w:tabs>
              <w:tab w:val="clear" w:pos="7892"/>
              <w:tab w:val="right" w:pos="9026" w:leader="dot"/>
            </w:tabs>
            <w:rPr/>
          </w:pPr>
          <w:hyperlink w:anchor="__RefHeading___Toc3860368_1067777946">
            <w:r>
              <w:rPr>
                <w:webHidden/>
                <w:rStyle w:val="IndexLink"/>
                <w:rtl w:val="true"/>
              </w:rPr>
              <w:t>المقصد الأوّل في لواحق تصرّفاته</w:t>
            </w:r>
            <w:r>
              <w:rPr>
                <w:rStyle w:val="IndexLink"/>
                <w:rtl w:val="true"/>
              </w:rPr>
              <w:tab/>
            </w:r>
            <w:r>
              <w:rPr>
                <w:rStyle w:val="IndexLink"/>
              </w:rPr>
              <w:t>502</w:t>
            </w:r>
          </w:hyperlink>
        </w:p>
        <w:p>
          <w:pPr>
            <w:pStyle w:val="Contents5"/>
            <w:tabs>
              <w:tab w:val="clear" w:pos="7892"/>
              <w:tab w:val="right" w:pos="9026" w:leader="dot"/>
            </w:tabs>
            <w:rPr/>
          </w:pPr>
          <w:hyperlink w:anchor="__RefHeading___Toc3860370_1067777946">
            <w:r>
              <w:rPr>
                <w:webHidden/>
                <w:rStyle w:val="IndexLink"/>
                <w:rtl w:val="true"/>
              </w:rPr>
              <w:t>المقصد الثاني في جناية المكاتب و الجناية عليه</w:t>
            </w:r>
            <w:r>
              <w:rPr>
                <w:rStyle w:val="IndexLink"/>
                <w:rtl w:val="true"/>
              </w:rPr>
              <w:tab/>
            </w:r>
            <w:r>
              <w:rPr>
                <w:rStyle w:val="IndexLink"/>
              </w:rPr>
              <w:t>507</w:t>
            </w:r>
          </w:hyperlink>
        </w:p>
        <w:p>
          <w:pPr>
            <w:pStyle w:val="Contents5"/>
            <w:tabs>
              <w:tab w:val="clear" w:pos="7892"/>
              <w:tab w:val="right" w:pos="9026" w:leader="dot"/>
            </w:tabs>
            <w:rPr/>
          </w:pPr>
          <w:hyperlink w:anchor="__RefHeading___Toc3860372_1067777946">
            <w:r>
              <w:rPr>
                <w:webHidden/>
                <w:rStyle w:val="IndexLink"/>
                <w:rtl w:val="true"/>
              </w:rPr>
              <w:t>المقصد الثالث في أحكام المكاتب في الوصايا</w:t>
            </w:r>
            <w:r>
              <w:rPr>
                <w:rStyle w:val="IndexLink"/>
                <w:rtl w:val="true"/>
              </w:rPr>
              <w:tab/>
            </w:r>
            <w:r>
              <w:rPr>
                <w:rStyle w:val="IndexLink"/>
              </w:rPr>
              <w:t>515</w:t>
            </w:r>
          </w:hyperlink>
        </w:p>
        <w:p>
          <w:pPr>
            <w:pStyle w:val="Contents3"/>
            <w:tabs>
              <w:tab w:val="clear" w:pos="8459"/>
              <w:tab w:val="right" w:pos="9026" w:leader="dot"/>
            </w:tabs>
            <w:rPr/>
          </w:pPr>
          <w:hyperlink w:anchor="__RefHeading___Toc3860374_1067777946">
            <w:r>
              <w:rPr>
                <w:webHidden/>
                <w:rStyle w:val="IndexLink"/>
                <w:rtl w:val="true"/>
              </w:rPr>
              <w:t>الاستيلاد</w:t>
            </w:r>
            <w:r>
              <w:rPr>
                <w:rStyle w:val="IndexLink"/>
                <w:rtl w:val="true"/>
              </w:rPr>
              <w:tab/>
            </w:r>
            <w:r>
              <w:rPr>
                <w:rStyle w:val="IndexLink"/>
              </w:rPr>
              <w:t>528</w:t>
            </w:r>
          </w:hyperlink>
        </w:p>
        <w:p>
          <w:pPr>
            <w:pStyle w:val="Contents4"/>
            <w:tabs>
              <w:tab w:val="clear" w:pos="8176"/>
              <w:tab w:val="right" w:pos="9026" w:leader="dot"/>
            </w:tabs>
            <w:rPr/>
          </w:pPr>
          <w:hyperlink w:anchor="__RefHeading___Toc3860376_1067777946">
            <w:r>
              <w:rPr>
                <w:webHidden/>
                <w:rStyle w:val="IndexLink"/>
                <w:rtl w:val="true"/>
              </w:rPr>
              <w:t>اشارة</w:t>
            </w:r>
            <w:r>
              <w:rPr>
                <w:rStyle w:val="IndexLink"/>
                <w:rtl w:val="true"/>
              </w:rPr>
              <w:tab/>
            </w:r>
            <w:r>
              <w:rPr>
                <w:rStyle w:val="IndexLink"/>
              </w:rPr>
              <w:t>528</w:t>
            </w:r>
          </w:hyperlink>
        </w:p>
        <w:p>
          <w:pPr>
            <w:pStyle w:val="Contents4"/>
            <w:tabs>
              <w:tab w:val="clear" w:pos="8176"/>
              <w:tab w:val="right" w:pos="9026" w:leader="dot"/>
            </w:tabs>
            <w:rPr/>
          </w:pPr>
          <w:hyperlink w:anchor="__RefHeading___Toc3860378_1067777946">
            <w:r>
              <w:rPr>
                <w:webHidden/>
                <w:rStyle w:val="IndexLink"/>
                <w:rtl w:val="true"/>
              </w:rPr>
              <w:t>الأمر الأوّل في كيفيّة الاستيلاد</w:t>
            </w:r>
            <w:r>
              <w:rPr>
                <w:rStyle w:val="IndexLink"/>
                <w:rtl w:val="true"/>
              </w:rPr>
              <w:tab/>
            </w:r>
            <w:r>
              <w:rPr>
                <w:rStyle w:val="IndexLink"/>
              </w:rPr>
              <w:t>528</w:t>
            </w:r>
          </w:hyperlink>
        </w:p>
        <w:p>
          <w:pPr>
            <w:pStyle w:val="Contents4"/>
            <w:tabs>
              <w:tab w:val="clear" w:pos="8176"/>
              <w:tab w:val="right" w:pos="9026" w:leader="dot"/>
            </w:tabs>
            <w:rPr/>
          </w:pPr>
          <w:hyperlink w:anchor="__RefHeading___Toc3860380_1067777946">
            <w:r>
              <w:rPr>
                <w:webHidden/>
                <w:rStyle w:val="IndexLink"/>
                <w:rtl w:val="true"/>
              </w:rPr>
              <w:t>الثاني في الأحكام المتعلّقة بأم الولد</w:t>
            </w:r>
            <w:r>
              <w:rPr>
                <w:rStyle w:val="IndexLink"/>
                <w:rtl w:val="true"/>
              </w:rPr>
              <w:tab/>
            </w:r>
            <w:r>
              <w:rPr>
                <w:rStyle w:val="IndexLink"/>
              </w:rPr>
              <w:t>531</w:t>
            </w:r>
          </w:hyperlink>
        </w:p>
        <w:p>
          <w:pPr>
            <w:pStyle w:val="Contents2"/>
            <w:tabs>
              <w:tab w:val="clear" w:pos="8743"/>
              <w:tab w:val="right" w:pos="9026" w:leader="dot"/>
            </w:tabs>
            <w:rPr/>
          </w:pPr>
          <w:hyperlink w:anchor="__RefHeading___Toc3860382_1067777946">
            <w:r>
              <w:rPr>
                <w:webHidden/>
                <w:rStyle w:val="IndexLink"/>
                <w:rtl w:val="true"/>
              </w:rPr>
              <w:t>كتاب الإقرار</w:t>
            </w:r>
            <w:r>
              <w:rPr>
                <w:rStyle w:val="IndexLink"/>
                <w:rtl w:val="true"/>
              </w:rPr>
              <w:tab/>
            </w:r>
            <w:r>
              <w:rPr>
                <w:rStyle w:val="IndexLink"/>
              </w:rPr>
              <w:t>536</w:t>
            </w:r>
          </w:hyperlink>
        </w:p>
        <w:p>
          <w:pPr>
            <w:pStyle w:val="Contents3"/>
            <w:tabs>
              <w:tab w:val="clear" w:pos="8459"/>
              <w:tab w:val="right" w:pos="9026" w:leader="dot"/>
            </w:tabs>
            <w:rPr/>
          </w:pPr>
          <w:hyperlink w:anchor="__RefHeading___Toc3860384_1067777946">
            <w:r>
              <w:rPr>
                <w:webHidden/>
                <w:rStyle w:val="IndexLink"/>
                <w:rtl w:val="true"/>
              </w:rPr>
              <w:t>اشارة</w:t>
            </w:r>
            <w:r>
              <w:rPr>
                <w:rStyle w:val="IndexLink"/>
                <w:rtl w:val="true"/>
              </w:rPr>
              <w:tab/>
            </w:r>
            <w:r>
              <w:rPr>
                <w:rStyle w:val="IndexLink"/>
              </w:rPr>
              <w:t>536</w:t>
            </w:r>
          </w:hyperlink>
        </w:p>
        <w:p>
          <w:pPr>
            <w:pStyle w:val="Contents3"/>
            <w:tabs>
              <w:tab w:val="clear" w:pos="8459"/>
              <w:tab w:val="right" w:pos="9026" w:leader="dot"/>
            </w:tabs>
            <w:rPr/>
          </w:pPr>
          <w:hyperlink w:anchor="__RefHeading___Toc3860386_1067777946">
            <w:r>
              <w:rPr>
                <w:webHidden/>
                <w:rStyle w:val="IndexLink"/>
                <w:rtl w:val="true"/>
              </w:rPr>
              <w:t>النظر الأوّل في الصيغة</w:t>
            </w:r>
            <w:r>
              <w:rPr>
                <w:rStyle w:val="IndexLink"/>
                <w:rtl w:val="true"/>
              </w:rPr>
              <w:tab/>
            </w:r>
            <w:r>
              <w:rPr>
                <w:rStyle w:val="IndexLink"/>
              </w:rPr>
              <w:t>536</w:t>
            </w:r>
          </w:hyperlink>
        </w:p>
        <w:p>
          <w:pPr>
            <w:pStyle w:val="Contents4"/>
            <w:tabs>
              <w:tab w:val="clear" w:pos="8176"/>
              <w:tab w:val="right" w:pos="9026" w:leader="dot"/>
            </w:tabs>
            <w:rPr/>
          </w:pPr>
          <w:hyperlink w:anchor="__RefHeading___Toc3860388_1067777946">
            <w:r>
              <w:rPr>
                <w:webHidden/>
                <w:rStyle w:val="IndexLink"/>
                <w:rtl w:val="true"/>
              </w:rPr>
              <w:t>اشارة</w:t>
            </w:r>
            <w:r>
              <w:rPr>
                <w:rStyle w:val="IndexLink"/>
                <w:rtl w:val="true"/>
              </w:rPr>
              <w:tab/>
            </w:r>
            <w:r>
              <w:rPr>
                <w:rStyle w:val="IndexLink"/>
              </w:rPr>
              <w:t>536</w:t>
            </w:r>
          </w:hyperlink>
        </w:p>
        <w:p>
          <w:pPr>
            <w:pStyle w:val="Contents4"/>
            <w:tabs>
              <w:tab w:val="clear" w:pos="8176"/>
              <w:tab w:val="right" w:pos="9026" w:leader="dot"/>
            </w:tabs>
            <w:rPr/>
          </w:pPr>
          <w:hyperlink w:anchor="__RefHeading___Toc3860390_1067777946">
            <w:r>
              <w:rPr>
                <w:webHidden/>
                <w:rStyle w:val="IndexLink"/>
                <w:rtl w:val="true"/>
              </w:rPr>
              <w:t>المقصد الأوّل في الصيغة الصريحة</w:t>
            </w:r>
            <w:r>
              <w:rPr>
                <w:rStyle w:val="IndexLink"/>
                <w:rtl w:val="true"/>
              </w:rPr>
              <w:tab/>
            </w:r>
            <w:r>
              <w:rPr>
                <w:rStyle w:val="IndexLink"/>
              </w:rPr>
              <w:t>537</w:t>
            </w:r>
          </w:hyperlink>
        </w:p>
        <w:p>
          <w:pPr>
            <w:pStyle w:val="Contents5"/>
            <w:tabs>
              <w:tab w:val="clear" w:pos="7892"/>
              <w:tab w:val="right" w:pos="9026" w:leader="dot"/>
            </w:tabs>
            <w:rPr/>
          </w:pPr>
          <w:hyperlink w:anchor="__RefHeading___Toc3860392_1067777946">
            <w:r>
              <w:rPr>
                <w:webHidden/>
                <w:rStyle w:val="IndexLink"/>
                <w:rtl w:val="true"/>
              </w:rPr>
              <w:t>اشارة</w:t>
            </w:r>
            <w:r>
              <w:rPr>
                <w:rStyle w:val="IndexLink"/>
                <w:rtl w:val="true"/>
              </w:rPr>
              <w:tab/>
            </w:r>
            <w:r>
              <w:rPr>
                <w:rStyle w:val="IndexLink"/>
              </w:rPr>
              <w:t>537</w:t>
            </w:r>
          </w:hyperlink>
        </w:p>
        <w:p>
          <w:pPr>
            <w:pStyle w:val="Contents5"/>
            <w:tabs>
              <w:tab w:val="clear" w:pos="7892"/>
              <w:tab w:val="right" w:pos="9026" w:leader="dot"/>
            </w:tabs>
            <w:rPr/>
          </w:pPr>
          <w:hyperlink w:anchor="__RefHeading___Toc3860394_1067777946">
            <w:r>
              <w:rPr>
                <w:webHidden/>
                <w:rStyle w:val="IndexLink"/>
                <w:rtl w:val="true"/>
              </w:rPr>
              <w:t>یصحّ الإقرار بغير العربيّة</w:t>
            </w:r>
            <w:r>
              <w:rPr>
                <w:rStyle w:val="IndexLink"/>
                <w:rtl w:val="true"/>
              </w:rPr>
              <w:tab/>
            </w:r>
            <w:r>
              <w:rPr>
                <w:rStyle w:val="IndexLink"/>
              </w:rPr>
              <w:t>538</w:t>
            </w:r>
          </w:hyperlink>
        </w:p>
        <w:p>
          <w:pPr>
            <w:pStyle w:val="Contents5"/>
            <w:tabs>
              <w:tab w:val="clear" w:pos="7892"/>
              <w:tab w:val="right" w:pos="9026" w:leader="dot"/>
            </w:tabs>
            <w:rPr/>
          </w:pPr>
          <w:hyperlink w:anchor="__RefHeading___Toc3860396_1067777946">
            <w:r>
              <w:rPr>
                <w:webHidden/>
                <w:rStyle w:val="IndexLink"/>
                <w:rtl w:val="true"/>
              </w:rPr>
              <w:t>ألفاظ الإقرار محمولة على المتفاهم منها عرفاً</w:t>
            </w:r>
            <w:r>
              <w:rPr>
                <w:rStyle w:val="IndexLink"/>
                <w:rtl w:val="true"/>
              </w:rPr>
              <w:tab/>
            </w:r>
            <w:r>
              <w:rPr>
                <w:rStyle w:val="IndexLink"/>
              </w:rPr>
              <w:t>541</w:t>
            </w:r>
          </w:hyperlink>
        </w:p>
        <w:p>
          <w:pPr>
            <w:pStyle w:val="Contents5"/>
            <w:tabs>
              <w:tab w:val="clear" w:pos="7892"/>
              <w:tab w:val="right" w:pos="9026" w:leader="dot"/>
            </w:tabs>
            <w:rPr/>
          </w:pPr>
          <w:hyperlink w:anchor="__RefHeading___Toc3860398_1067777946">
            <w:r>
              <w:rPr>
                <w:webHidden/>
                <w:rStyle w:val="IndexLink"/>
                <w:rtl w:val="true"/>
              </w:rPr>
              <w:t>لو أقرّ لميّت بمال و ادّعی انحصار وارثه</w:t>
            </w:r>
            <w:r>
              <w:rPr>
                <w:rStyle w:val="IndexLink"/>
                <w:rtl w:val="true"/>
              </w:rPr>
              <w:tab/>
            </w:r>
            <w:r>
              <w:rPr>
                <w:rStyle w:val="IndexLink"/>
              </w:rPr>
              <w:t>548</w:t>
            </w:r>
          </w:hyperlink>
        </w:p>
        <w:p>
          <w:pPr>
            <w:pStyle w:val="Contents5"/>
            <w:tabs>
              <w:tab w:val="clear" w:pos="7892"/>
              <w:tab w:val="right" w:pos="9026" w:leader="dot"/>
            </w:tabs>
            <w:rPr/>
          </w:pPr>
          <w:hyperlink w:anchor="__RefHeading___Toc3860400_1067777946">
            <w:r>
              <w:rPr>
                <w:webHidden/>
                <w:rStyle w:val="IndexLink"/>
                <w:rtl w:val="true"/>
              </w:rPr>
              <w:t>إذا أقرّ بمالٍ معلّقاً علی الأجل</w:t>
            </w:r>
            <w:r>
              <w:rPr>
                <w:rStyle w:val="IndexLink"/>
                <w:rtl w:val="true"/>
              </w:rPr>
              <w:tab/>
            </w:r>
            <w:r>
              <w:rPr>
                <w:rStyle w:val="IndexLink"/>
              </w:rPr>
              <w:t>550</w:t>
            </w:r>
          </w:hyperlink>
        </w:p>
        <w:p>
          <w:pPr>
            <w:pStyle w:val="Contents4"/>
            <w:tabs>
              <w:tab w:val="clear" w:pos="8176"/>
              <w:tab w:val="right" w:pos="9026" w:leader="dot"/>
            </w:tabs>
            <w:rPr/>
          </w:pPr>
          <w:hyperlink w:anchor="__RefHeading___Toc3860402_1067777946">
            <w:r>
              <w:rPr>
                <w:webHidden/>
                <w:rStyle w:val="IndexLink"/>
                <w:rtl w:val="true"/>
              </w:rPr>
              <w:t>المقصد الثاني في المبهمة</w:t>
            </w:r>
            <w:r>
              <w:rPr>
                <w:rStyle w:val="IndexLink"/>
                <w:rtl w:val="true"/>
              </w:rPr>
              <w:tab/>
            </w:r>
            <w:r>
              <w:rPr>
                <w:rStyle w:val="IndexLink"/>
              </w:rPr>
              <w:t>554</w:t>
            </w:r>
          </w:hyperlink>
        </w:p>
        <w:p>
          <w:pPr>
            <w:pStyle w:val="Contents5"/>
            <w:tabs>
              <w:tab w:val="clear" w:pos="7892"/>
              <w:tab w:val="right" w:pos="9026" w:leader="dot"/>
            </w:tabs>
            <w:rPr/>
          </w:pPr>
          <w:hyperlink w:anchor="__RefHeading___Toc3860404_1067777946">
            <w:r>
              <w:rPr>
                <w:webHidden/>
                <w:rStyle w:val="IndexLink"/>
                <w:rtl w:val="true"/>
              </w:rPr>
              <w:t>اشارة</w:t>
            </w:r>
            <w:r>
              <w:rPr>
                <w:rStyle w:val="IndexLink"/>
                <w:rtl w:val="true"/>
              </w:rPr>
              <w:tab/>
            </w:r>
            <w:r>
              <w:rPr>
                <w:rStyle w:val="IndexLink"/>
              </w:rPr>
              <w:t>554</w:t>
            </w:r>
          </w:hyperlink>
        </w:p>
        <w:p>
          <w:pPr>
            <w:pStyle w:val="Contents5"/>
            <w:tabs>
              <w:tab w:val="clear" w:pos="7892"/>
              <w:tab w:val="right" w:pos="9026" w:leader="dot"/>
            </w:tabs>
            <w:rPr/>
          </w:pPr>
          <w:hyperlink w:anchor="__RefHeading___Toc3860406_1067777946">
            <w:r>
              <w:rPr>
                <w:webHidden/>
                <w:rStyle w:val="IndexLink"/>
                <w:rtl w:val="true"/>
              </w:rPr>
              <w:t>إذا قال</w:t>
            </w:r>
            <w:r>
              <w:rPr>
                <w:rStyle w:val="IndexLink"/>
                <w:rtl w:val="true"/>
              </w:rPr>
              <w:t>:</w:t>
            </w:r>
            <w:r>
              <w:rPr>
                <w:rStyle w:val="IndexLink"/>
                <w:rtl w:val="true"/>
              </w:rPr>
              <w:t>له علىّ مال</w:t>
            </w:r>
            <w:r>
              <w:rPr>
                <w:rStyle w:val="IndexLink"/>
                <w:rtl w:val="true"/>
              </w:rPr>
              <w:tab/>
            </w:r>
            <w:r>
              <w:rPr>
                <w:rStyle w:val="IndexLink"/>
              </w:rPr>
              <w:t>554</w:t>
            </w:r>
          </w:hyperlink>
        </w:p>
        <w:p>
          <w:pPr>
            <w:pStyle w:val="Contents5"/>
            <w:tabs>
              <w:tab w:val="clear" w:pos="7892"/>
              <w:tab w:val="right" w:pos="9026" w:leader="dot"/>
            </w:tabs>
            <w:rPr/>
          </w:pPr>
          <w:hyperlink w:anchor="__RefHeading___Toc3860408_1067777946">
            <w:r>
              <w:rPr>
                <w:webHidden/>
                <w:rStyle w:val="IndexLink"/>
                <w:rtl w:val="true"/>
              </w:rPr>
              <w:t>إذا قال</w:t>
            </w:r>
            <w:r>
              <w:rPr>
                <w:rStyle w:val="IndexLink"/>
                <w:rtl w:val="true"/>
              </w:rPr>
              <w:t>:</w:t>
            </w:r>
            <w:r>
              <w:rPr>
                <w:rStyle w:val="IndexLink"/>
                <w:rtl w:val="true"/>
              </w:rPr>
              <w:t>له عليّ شيء</w:t>
            </w:r>
            <w:r>
              <w:rPr>
                <w:rStyle w:val="IndexLink"/>
                <w:rtl w:val="true"/>
              </w:rPr>
              <w:tab/>
            </w:r>
            <w:r>
              <w:rPr>
                <w:rStyle w:val="IndexLink"/>
              </w:rPr>
              <w:t>556</w:t>
            </w:r>
          </w:hyperlink>
        </w:p>
        <w:p>
          <w:pPr>
            <w:pStyle w:val="Contents5"/>
            <w:tabs>
              <w:tab w:val="clear" w:pos="7892"/>
              <w:tab w:val="right" w:pos="9026" w:leader="dot"/>
            </w:tabs>
            <w:rPr/>
          </w:pPr>
          <w:hyperlink w:anchor="__RefHeading___Toc3860410_1067777946">
            <w:r>
              <w:rPr>
                <w:webHidden/>
                <w:rStyle w:val="IndexLink"/>
                <w:rtl w:val="true"/>
              </w:rPr>
              <w:t>لو قال</w:t>
            </w:r>
            <w:r>
              <w:rPr>
                <w:rStyle w:val="IndexLink"/>
                <w:rtl w:val="true"/>
              </w:rPr>
              <w:t>:</w:t>
            </w:r>
            <w:r>
              <w:rPr>
                <w:rStyle w:val="IndexLink"/>
                <w:rtl w:val="true"/>
              </w:rPr>
              <w:t>له عليّ مال عظيم و نحوه</w:t>
            </w:r>
            <w:r>
              <w:rPr>
                <w:rStyle w:val="IndexLink"/>
                <w:rtl w:val="true"/>
              </w:rPr>
              <w:tab/>
            </w:r>
            <w:r>
              <w:rPr>
                <w:rStyle w:val="IndexLink"/>
              </w:rPr>
              <w:t>557</w:t>
            </w:r>
          </w:hyperlink>
        </w:p>
        <w:p>
          <w:pPr>
            <w:pStyle w:val="Contents5"/>
            <w:tabs>
              <w:tab w:val="clear" w:pos="7892"/>
              <w:tab w:val="right" w:pos="9026" w:leader="dot"/>
            </w:tabs>
            <w:rPr/>
          </w:pPr>
          <w:hyperlink w:anchor="__RefHeading___Toc3860412_1067777946">
            <w:r>
              <w:rPr>
                <w:webHidden/>
                <w:rStyle w:val="IndexLink"/>
                <w:rtl w:val="true"/>
              </w:rPr>
              <w:t>إذا أقرّ بأعداد مختلفة و أتی فیما بمميّز</w:t>
            </w:r>
            <w:r>
              <w:rPr>
                <w:rStyle w:val="IndexLink"/>
                <w:rtl w:val="true"/>
              </w:rPr>
              <w:tab/>
            </w:r>
            <w:r>
              <w:rPr>
                <w:rStyle w:val="IndexLink"/>
              </w:rPr>
              <w:t>564</w:t>
            </w:r>
          </w:hyperlink>
        </w:p>
        <w:p>
          <w:pPr>
            <w:pStyle w:val="Contents5"/>
            <w:tabs>
              <w:tab w:val="clear" w:pos="7892"/>
              <w:tab w:val="right" w:pos="9026" w:leader="dot"/>
            </w:tabs>
            <w:rPr/>
          </w:pPr>
          <w:hyperlink w:anchor="__RefHeading___Toc3860414_1067777946">
            <w:r>
              <w:rPr>
                <w:webHidden/>
                <w:rStyle w:val="IndexLink"/>
                <w:rtl w:val="true"/>
              </w:rPr>
              <w:t>إذا قال</w:t>
            </w:r>
            <w:r>
              <w:rPr>
                <w:rStyle w:val="IndexLink"/>
                <w:rtl w:val="true"/>
              </w:rPr>
              <w:t>:</w:t>
            </w:r>
            <w:r>
              <w:rPr>
                <w:rStyle w:val="IndexLink"/>
                <w:rtl w:val="true"/>
              </w:rPr>
              <w:t>له علىّ كذا،أو كذا و كذا</w:t>
            </w:r>
            <w:r>
              <w:rPr>
                <w:rStyle w:val="IndexLink"/>
                <w:rtl w:val="true"/>
              </w:rPr>
              <w:tab/>
            </w:r>
            <w:r>
              <w:rPr>
                <w:rStyle w:val="IndexLink"/>
              </w:rPr>
              <w:t>567</w:t>
            </w:r>
          </w:hyperlink>
        </w:p>
        <w:p>
          <w:pPr>
            <w:pStyle w:val="Contents5"/>
            <w:tabs>
              <w:tab w:val="clear" w:pos="7892"/>
              <w:tab w:val="right" w:pos="9026" w:leader="dot"/>
            </w:tabs>
            <w:rPr/>
          </w:pPr>
          <w:hyperlink w:anchor="__RefHeading___Toc3860416_1067777946">
            <w:r>
              <w:rPr>
                <w:webHidden/>
                <w:rStyle w:val="IndexLink"/>
                <w:rtl w:val="true"/>
              </w:rPr>
              <w:t>الإقرار للمجهول</w:t>
            </w:r>
            <w:r>
              <w:rPr>
                <w:rStyle w:val="IndexLink"/>
                <w:rtl w:val="true"/>
              </w:rPr>
              <w:tab/>
            </w:r>
            <w:r>
              <w:rPr>
                <w:rStyle w:val="IndexLink"/>
              </w:rPr>
              <w:t>571</w:t>
            </w:r>
          </w:hyperlink>
        </w:p>
        <w:p>
          <w:pPr>
            <w:pStyle w:val="Contents5"/>
            <w:tabs>
              <w:tab w:val="clear" w:pos="7892"/>
              <w:tab w:val="right" w:pos="9026" w:leader="dot"/>
            </w:tabs>
            <w:rPr/>
          </w:pPr>
          <w:hyperlink w:anchor="__RefHeading___Toc3860418_1067777946">
            <w:r>
              <w:rPr>
                <w:webHidden/>
                <w:rStyle w:val="IndexLink"/>
                <w:rtl w:val="true"/>
              </w:rPr>
              <w:t>الإقرار بالمجهول</w:t>
            </w:r>
            <w:r>
              <w:rPr>
                <w:rStyle w:val="IndexLink"/>
                <w:rtl w:val="true"/>
              </w:rPr>
              <w:tab/>
            </w:r>
            <w:r>
              <w:rPr>
                <w:rStyle w:val="IndexLink"/>
              </w:rPr>
              <w:t>572</w:t>
            </w:r>
          </w:hyperlink>
        </w:p>
        <w:p>
          <w:pPr>
            <w:pStyle w:val="Contents5"/>
            <w:tabs>
              <w:tab w:val="clear" w:pos="7892"/>
              <w:tab w:val="right" w:pos="9026" w:leader="dot"/>
            </w:tabs>
            <w:rPr/>
          </w:pPr>
          <w:hyperlink w:anchor="__RefHeading___Toc3860420_1067777946">
            <w:r>
              <w:rPr>
                <w:webHidden/>
                <w:rStyle w:val="IndexLink"/>
                <w:rtl w:val="true"/>
              </w:rPr>
              <w:t>إذا أقرّ بمال ثمّ دفع و قال هذه کانت ودیعة</w:t>
            </w:r>
            <w:r>
              <w:rPr>
                <w:rStyle w:val="IndexLink"/>
                <w:rtl w:val="true"/>
              </w:rPr>
              <w:tab/>
            </w:r>
            <w:r>
              <w:rPr>
                <w:rStyle w:val="IndexLink"/>
              </w:rPr>
              <w:t>573</w:t>
            </w:r>
          </w:hyperlink>
        </w:p>
        <w:p>
          <w:pPr>
            <w:pStyle w:val="Contents5"/>
            <w:tabs>
              <w:tab w:val="clear" w:pos="7892"/>
              <w:tab w:val="right" w:pos="9026" w:leader="dot"/>
            </w:tabs>
            <w:rPr/>
          </w:pPr>
          <w:hyperlink w:anchor="__RefHeading___Toc3860422_1067777946">
            <w:r>
              <w:rPr>
                <w:webHidden/>
                <w:rStyle w:val="IndexLink"/>
                <w:rtl w:val="true"/>
              </w:rPr>
              <w:t>إذا قال</w:t>
            </w:r>
            <w:r>
              <w:rPr>
                <w:rStyle w:val="IndexLink"/>
                <w:rtl w:val="true"/>
              </w:rPr>
              <w:t>:</w:t>
            </w:r>
            <w:r>
              <w:rPr>
                <w:rStyle w:val="IndexLink"/>
                <w:rtl w:val="true"/>
              </w:rPr>
              <w:t>له في هذه الدار مائة</w:t>
            </w:r>
            <w:r>
              <w:rPr>
                <w:rStyle w:val="IndexLink"/>
                <w:rtl w:val="true"/>
              </w:rPr>
              <w:tab/>
            </w:r>
            <w:r>
              <w:rPr>
                <w:rStyle w:val="IndexLink"/>
              </w:rPr>
              <w:t>576</w:t>
            </w:r>
          </w:hyperlink>
        </w:p>
        <w:p>
          <w:pPr>
            <w:pStyle w:val="Contents5"/>
            <w:tabs>
              <w:tab w:val="clear" w:pos="7892"/>
              <w:tab w:val="right" w:pos="9026" w:leader="dot"/>
            </w:tabs>
            <w:rPr/>
          </w:pPr>
          <w:hyperlink w:anchor="__RefHeading___Toc3860424_1067777946">
            <w:r>
              <w:rPr>
                <w:webHidden/>
                <w:rStyle w:val="IndexLink"/>
                <w:rtl w:val="true"/>
              </w:rPr>
              <w:t>إذا قال</w:t>
            </w:r>
            <w:r>
              <w:rPr>
                <w:rStyle w:val="IndexLink"/>
                <w:rtl w:val="true"/>
              </w:rPr>
              <w:t>:</w:t>
            </w:r>
            <w:r>
              <w:rPr>
                <w:rStyle w:val="IndexLink"/>
                <w:rtl w:val="true"/>
              </w:rPr>
              <w:t>له في ميراث أبي مائة</w:t>
            </w:r>
            <w:r>
              <w:rPr>
                <w:rStyle w:val="IndexLink"/>
                <w:rtl w:val="true"/>
              </w:rPr>
              <w:tab/>
            </w:r>
            <w:r>
              <w:rPr>
                <w:rStyle w:val="IndexLink"/>
              </w:rPr>
              <w:t>578</w:t>
            </w:r>
          </w:hyperlink>
        </w:p>
        <w:p>
          <w:pPr>
            <w:pStyle w:val="Contents4"/>
            <w:tabs>
              <w:tab w:val="clear" w:pos="8176"/>
              <w:tab w:val="right" w:pos="9026" w:leader="dot"/>
            </w:tabs>
            <w:rPr/>
          </w:pPr>
          <w:hyperlink w:anchor="__RefHeading___Toc3860426_1067777946">
            <w:r>
              <w:rPr>
                <w:webHidden/>
                <w:rStyle w:val="IndexLink"/>
                <w:rtl w:val="true"/>
              </w:rPr>
              <w:t>المقصد الثالث في الإقرار المستفاد من الجواب</w:t>
            </w:r>
            <w:r>
              <w:rPr>
                <w:rStyle w:val="IndexLink"/>
                <w:rtl w:val="true"/>
              </w:rPr>
              <w:t>.</w:t>
              <w:tab/>
            </w:r>
            <w:r>
              <w:rPr>
                <w:rStyle w:val="IndexLink"/>
              </w:rPr>
              <w:t>580</w:t>
            </w:r>
          </w:hyperlink>
        </w:p>
        <w:p>
          <w:pPr>
            <w:pStyle w:val="Contents4"/>
            <w:tabs>
              <w:tab w:val="clear" w:pos="8176"/>
              <w:tab w:val="right" w:pos="9026" w:leader="dot"/>
            </w:tabs>
            <w:rPr/>
          </w:pPr>
          <w:hyperlink w:anchor="__RefHeading___Toc3860428_1067777946">
            <w:r>
              <w:rPr>
                <w:webHidden/>
                <w:rStyle w:val="IndexLink"/>
                <w:rtl w:val="true"/>
              </w:rPr>
              <w:t>المقصد الرابع في صيغ الاستثناء</w:t>
            </w:r>
            <w:r>
              <w:rPr>
                <w:rStyle w:val="IndexLink"/>
                <w:rtl w:val="true"/>
              </w:rPr>
              <w:tab/>
            </w:r>
            <w:r>
              <w:rPr>
                <w:rStyle w:val="IndexLink"/>
              </w:rPr>
              <w:t>585</w:t>
            </w:r>
          </w:hyperlink>
        </w:p>
        <w:p>
          <w:pPr>
            <w:pStyle w:val="Contents5"/>
            <w:tabs>
              <w:tab w:val="clear" w:pos="7892"/>
              <w:tab w:val="right" w:pos="9026" w:leader="dot"/>
            </w:tabs>
            <w:rPr/>
          </w:pPr>
          <w:hyperlink w:anchor="__RefHeading___Toc3860430_1067777946">
            <w:r>
              <w:rPr>
                <w:webHidden/>
                <w:rStyle w:val="IndexLink"/>
                <w:rtl w:val="true"/>
              </w:rPr>
              <w:t>قواعد الاستثناء</w:t>
            </w:r>
            <w:r>
              <w:rPr>
                <w:rStyle w:val="IndexLink"/>
                <w:rtl w:val="true"/>
              </w:rPr>
              <w:tab/>
            </w:r>
            <w:r>
              <w:rPr>
                <w:rStyle w:val="IndexLink"/>
              </w:rPr>
              <w:t>585</w:t>
            </w:r>
          </w:hyperlink>
        </w:p>
        <w:p>
          <w:pPr>
            <w:pStyle w:val="Contents6"/>
            <w:tabs>
              <w:tab w:val="clear" w:pos="7609"/>
              <w:tab w:val="right" w:pos="9026" w:leader="dot"/>
            </w:tabs>
            <w:rPr/>
          </w:pPr>
          <w:hyperlink w:anchor="__RefHeading___Toc3860432_1067777946">
            <w:r>
              <w:rPr>
                <w:webHidden/>
                <w:rStyle w:val="IndexLink"/>
                <w:rtl w:val="true"/>
              </w:rPr>
              <w:t>اشارة</w:t>
            </w:r>
            <w:r>
              <w:rPr>
                <w:rStyle w:val="IndexLink"/>
                <w:rtl w:val="true"/>
              </w:rPr>
              <w:tab/>
            </w:r>
            <w:r>
              <w:rPr>
                <w:rStyle w:val="IndexLink"/>
              </w:rPr>
              <w:t>585</w:t>
            </w:r>
          </w:hyperlink>
        </w:p>
        <w:p>
          <w:pPr>
            <w:pStyle w:val="Contents6"/>
            <w:tabs>
              <w:tab w:val="clear" w:pos="7609"/>
              <w:tab w:val="right" w:pos="9026" w:leader="dot"/>
            </w:tabs>
            <w:rPr/>
          </w:pPr>
          <w:hyperlink w:anchor="__RefHeading___Toc3860434_1067777946">
            <w:r>
              <w:rPr>
                <w:webHidden/>
                <w:rStyle w:val="IndexLink"/>
                <w:rtl w:val="true"/>
              </w:rPr>
              <w:t>الأولى</w:t>
            </w:r>
            <w:r>
              <w:rPr>
                <w:rStyle w:val="IndexLink"/>
                <w:rtl w:val="true"/>
              </w:rPr>
              <w:t xml:space="preserve">: </w:t>
            </w:r>
            <w:r>
              <w:rPr>
                <w:rStyle w:val="IndexLink"/>
                <w:rtl w:val="true"/>
              </w:rPr>
              <w:t>الاستثناء من الإثبات نفي و من النفي إثبات</w:t>
            </w:r>
            <w:r>
              <w:rPr>
                <w:rStyle w:val="IndexLink"/>
                <w:rtl w:val="true"/>
              </w:rPr>
              <w:tab/>
            </w:r>
            <w:r>
              <w:rPr>
                <w:rStyle w:val="IndexLink"/>
              </w:rPr>
              <w:t>585</w:t>
            </w:r>
          </w:hyperlink>
        </w:p>
        <w:p>
          <w:pPr>
            <w:pStyle w:val="Contents6"/>
            <w:tabs>
              <w:tab w:val="clear" w:pos="7609"/>
              <w:tab w:val="right" w:pos="9026" w:leader="dot"/>
            </w:tabs>
            <w:rPr/>
          </w:pPr>
          <w:hyperlink w:anchor="__RefHeading___Toc3860436_1067777946">
            <w:r>
              <w:rPr>
                <w:webHidden/>
                <w:rStyle w:val="IndexLink"/>
                <w:rtl w:val="true"/>
              </w:rPr>
              <w:t>الثانیّة</w:t>
            </w:r>
            <w:r>
              <w:rPr>
                <w:rStyle w:val="IndexLink"/>
                <w:rtl w:val="true"/>
              </w:rPr>
              <w:t xml:space="preserve">: </w:t>
            </w:r>
            <w:r>
              <w:rPr>
                <w:rStyle w:val="IndexLink"/>
                <w:rtl w:val="true"/>
              </w:rPr>
              <w:t>الاستثناء من الجنس جائز</w:t>
            </w:r>
            <w:r>
              <w:rPr>
                <w:rStyle w:val="IndexLink"/>
                <w:rtl w:val="true"/>
              </w:rPr>
              <w:tab/>
            </w:r>
            <w:r>
              <w:rPr>
                <w:rStyle w:val="IndexLink"/>
              </w:rPr>
              <w:t>586</w:t>
            </w:r>
          </w:hyperlink>
        </w:p>
        <w:p>
          <w:pPr>
            <w:pStyle w:val="Contents6"/>
            <w:tabs>
              <w:tab w:val="clear" w:pos="7609"/>
              <w:tab w:val="right" w:pos="9026" w:leader="dot"/>
            </w:tabs>
            <w:rPr/>
          </w:pPr>
          <w:hyperlink w:anchor="__RefHeading___Toc3860438_1067777946">
            <w:r>
              <w:rPr>
                <w:webHidden/>
                <w:rStyle w:val="IndexLink"/>
                <w:rtl w:val="true"/>
              </w:rPr>
              <w:t>الثالثة</w:t>
            </w:r>
            <w:r>
              <w:rPr>
                <w:rStyle w:val="IndexLink"/>
                <w:rtl w:val="true"/>
              </w:rPr>
              <w:t>:</w:t>
            </w:r>
            <w:r>
              <w:rPr>
                <w:rStyle w:val="IndexLink"/>
                <w:rtl w:val="true"/>
              </w:rPr>
              <w:t>يكفي في صحّة الاستثناء بقاء بقيّة بعده</w:t>
            </w:r>
            <w:r>
              <w:rPr>
                <w:rStyle w:val="IndexLink"/>
                <w:rtl w:val="true"/>
              </w:rPr>
              <w:tab/>
            </w:r>
            <w:r>
              <w:rPr>
                <w:rStyle w:val="IndexLink"/>
              </w:rPr>
              <w:t>587</w:t>
            </w:r>
          </w:hyperlink>
        </w:p>
        <w:p>
          <w:pPr>
            <w:pStyle w:val="Contents6"/>
            <w:tabs>
              <w:tab w:val="clear" w:pos="7609"/>
              <w:tab w:val="right" w:pos="9026" w:leader="dot"/>
            </w:tabs>
            <w:rPr/>
          </w:pPr>
          <w:hyperlink w:anchor="__RefHeading___Toc3860440_1067777946">
            <w:r>
              <w:rPr>
                <w:webHidden/>
                <w:rStyle w:val="IndexLink"/>
                <w:rtl w:val="true"/>
              </w:rPr>
              <w:t>التفريع على القاعدة الأُولى</w:t>
            </w:r>
            <w:r>
              <w:rPr>
                <w:rStyle w:val="IndexLink"/>
                <w:rtl w:val="true"/>
              </w:rPr>
              <w:tab/>
            </w:r>
            <w:r>
              <w:rPr>
                <w:rStyle w:val="IndexLink"/>
              </w:rPr>
              <w:t>587</w:t>
            </w:r>
          </w:hyperlink>
        </w:p>
        <w:p>
          <w:pPr>
            <w:pStyle w:val="Contents3"/>
            <w:tabs>
              <w:tab w:val="clear" w:pos="8459"/>
              <w:tab w:val="right" w:pos="9026" w:leader="dot"/>
            </w:tabs>
            <w:rPr/>
          </w:pPr>
          <w:hyperlink w:anchor="__RefHeading___Toc3860442_1067777946">
            <w:r>
              <w:rPr>
                <w:webHidden/>
                <w:rStyle w:val="IndexLink"/>
                <w:rtl w:val="true"/>
              </w:rPr>
              <w:t>النظر الثاني في المقرّ</w:t>
            </w:r>
            <w:r>
              <w:rPr>
                <w:rStyle w:val="IndexLink"/>
                <w:rtl w:val="true"/>
              </w:rPr>
              <w:tab/>
            </w:r>
            <w:r>
              <w:rPr>
                <w:rStyle w:val="IndexLink"/>
              </w:rPr>
              <w:t>603</w:t>
            </w:r>
          </w:hyperlink>
        </w:p>
        <w:p>
          <w:pPr>
            <w:pStyle w:val="Contents4"/>
            <w:tabs>
              <w:tab w:val="clear" w:pos="8176"/>
              <w:tab w:val="right" w:pos="9026" w:leader="dot"/>
            </w:tabs>
            <w:rPr/>
          </w:pPr>
          <w:hyperlink w:anchor="__RefHeading___Toc3860444_1067777946">
            <w:r>
              <w:rPr>
                <w:webHidden/>
                <w:rStyle w:val="IndexLink"/>
                <w:rtl w:val="true"/>
              </w:rPr>
              <w:t>شروط المقرّ</w:t>
            </w:r>
            <w:r>
              <w:rPr>
                <w:rStyle w:val="IndexLink"/>
                <w:rtl w:val="true"/>
              </w:rPr>
              <w:tab/>
            </w:r>
            <w:r>
              <w:rPr>
                <w:rStyle w:val="IndexLink"/>
              </w:rPr>
              <w:t>603</w:t>
            </w:r>
          </w:hyperlink>
        </w:p>
        <w:p>
          <w:pPr>
            <w:pStyle w:val="Contents4"/>
            <w:tabs>
              <w:tab w:val="clear" w:pos="8176"/>
              <w:tab w:val="right" w:pos="9026" w:leader="dot"/>
            </w:tabs>
            <w:rPr/>
          </w:pPr>
          <w:hyperlink w:anchor="__RefHeading___Toc3860446_1067777946">
            <w:r>
              <w:rPr>
                <w:webHidden/>
                <w:rStyle w:val="IndexLink"/>
                <w:rtl w:val="true"/>
              </w:rPr>
              <w:t>إقرار المجنون و المكرَه و السكران و المحجور عليه للسفه</w:t>
            </w:r>
            <w:r>
              <w:rPr>
                <w:rStyle w:val="IndexLink"/>
                <w:rtl w:val="true"/>
              </w:rPr>
              <w:tab/>
            </w:r>
            <w:r>
              <w:rPr>
                <w:rStyle w:val="IndexLink"/>
              </w:rPr>
              <w:t>603</w:t>
            </w:r>
          </w:hyperlink>
        </w:p>
        <w:p>
          <w:pPr>
            <w:pStyle w:val="Contents4"/>
            <w:tabs>
              <w:tab w:val="clear" w:pos="8176"/>
              <w:tab w:val="right" w:pos="9026" w:leader="dot"/>
            </w:tabs>
            <w:rPr/>
          </w:pPr>
          <w:hyperlink w:anchor="__RefHeading___Toc3860448_1067777946">
            <w:r>
              <w:rPr>
                <w:webHidden/>
                <w:rStyle w:val="IndexLink"/>
                <w:rtl w:val="true"/>
              </w:rPr>
              <w:t>إقرار المملوك</w:t>
            </w:r>
            <w:r>
              <w:rPr>
                <w:rStyle w:val="IndexLink"/>
                <w:rtl w:val="true"/>
              </w:rPr>
              <w:tab/>
            </w:r>
            <w:r>
              <w:rPr>
                <w:rStyle w:val="IndexLink"/>
              </w:rPr>
              <w:t>605</w:t>
            </w:r>
          </w:hyperlink>
        </w:p>
        <w:p>
          <w:pPr>
            <w:pStyle w:val="Contents4"/>
            <w:tabs>
              <w:tab w:val="clear" w:pos="8176"/>
              <w:tab w:val="right" w:pos="9026" w:leader="dot"/>
            </w:tabs>
            <w:rPr/>
          </w:pPr>
          <w:hyperlink w:anchor="__RefHeading___Toc3860450_1067777946">
            <w:r>
              <w:rPr>
                <w:webHidden/>
                <w:rStyle w:val="IndexLink"/>
                <w:rtl w:val="true"/>
              </w:rPr>
              <w:t>إقرار المفلَّس</w:t>
            </w:r>
            <w:r>
              <w:rPr>
                <w:rStyle w:val="IndexLink"/>
                <w:rtl w:val="true"/>
              </w:rPr>
              <w:tab/>
            </w:r>
            <w:r>
              <w:rPr>
                <w:rStyle w:val="IndexLink"/>
              </w:rPr>
              <w:t>607</w:t>
            </w:r>
          </w:hyperlink>
        </w:p>
        <w:p>
          <w:pPr>
            <w:pStyle w:val="Contents4"/>
            <w:tabs>
              <w:tab w:val="clear" w:pos="8176"/>
              <w:tab w:val="right" w:pos="9026" w:leader="dot"/>
            </w:tabs>
            <w:rPr/>
          </w:pPr>
          <w:hyperlink w:anchor="__RefHeading___Toc3860452_1067777946">
            <w:r>
              <w:rPr>
                <w:webHidden/>
                <w:rStyle w:val="IndexLink"/>
                <w:rtl w:val="true"/>
              </w:rPr>
              <w:t>إقرار المریض بالوصيّة</w:t>
            </w:r>
            <w:r>
              <w:rPr>
                <w:rStyle w:val="IndexLink"/>
                <w:rtl w:val="true"/>
              </w:rPr>
              <w:tab/>
            </w:r>
            <w:r>
              <w:rPr>
                <w:rStyle w:val="IndexLink"/>
              </w:rPr>
              <w:t>607</w:t>
            </w:r>
          </w:hyperlink>
        </w:p>
        <w:p>
          <w:pPr>
            <w:pStyle w:val="Contents4"/>
            <w:tabs>
              <w:tab w:val="clear" w:pos="8176"/>
              <w:tab w:val="right" w:pos="9026" w:leader="dot"/>
            </w:tabs>
            <w:rPr/>
          </w:pPr>
          <w:hyperlink w:anchor="__RefHeading___Toc3860454_1067777946">
            <w:r>
              <w:rPr>
                <w:webHidden/>
                <w:rStyle w:val="IndexLink"/>
                <w:rtl w:val="true"/>
              </w:rPr>
              <w:t>إقرار الصبيّ بالبلوغ</w:t>
            </w:r>
            <w:r>
              <w:rPr>
                <w:rStyle w:val="IndexLink"/>
                <w:rtl w:val="true"/>
              </w:rPr>
              <w:tab/>
            </w:r>
            <w:r>
              <w:rPr>
                <w:rStyle w:val="IndexLink"/>
              </w:rPr>
              <w:t>611</w:t>
            </w:r>
          </w:hyperlink>
        </w:p>
        <w:p>
          <w:pPr>
            <w:pStyle w:val="Contents3"/>
            <w:tabs>
              <w:tab w:val="clear" w:pos="8459"/>
              <w:tab w:val="right" w:pos="9026" w:leader="dot"/>
            </w:tabs>
            <w:rPr/>
          </w:pPr>
          <w:hyperlink w:anchor="__RefHeading___Toc3860456_1067777946">
            <w:r>
              <w:rPr>
                <w:webHidden/>
                <w:rStyle w:val="IndexLink"/>
                <w:rtl w:val="true"/>
              </w:rPr>
              <w:t>النظر الثالث في المقرّ له</w:t>
            </w:r>
            <w:r>
              <w:rPr>
                <w:rStyle w:val="IndexLink"/>
                <w:rtl w:val="true"/>
              </w:rPr>
              <w:tab/>
            </w:r>
            <w:r>
              <w:rPr>
                <w:rStyle w:val="IndexLink"/>
              </w:rPr>
              <w:t>614</w:t>
            </w:r>
          </w:hyperlink>
        </w:p>
        <w:p>
          <w:pPr>
            <w:pStyle w:val="Contents4"/>
            <w:tabs>
              <w:tab w:val="clear" w:pos="8176"/>
              <w:tab w:val="right" w:pos="9026" w:leader="dot"/>
            </w:tabs>
            <w:rPr/>
          </w:pPr>
          <w:hyperlink w:anchor="__RefHeading___Toc3860458_1067777946">
            <w:r>
              <w:rPr>
                <w:webHidden/>
                <w:rStyle w:val="IndexLink"/>
                <w:rtl w:val="true"/>
              </w:rPr>
              <w:t>شروط المقرّ له</w:t>
            </w:r>
            <w:r>
              <w:rPr>
                <w:rStyle w:val="IndexLink"/>
                <w:rtl w:val="true"/>
              </w:rPr>
              <w:tab/>
            </w:r>
            <w:r>
              <w:rPr>
                <w:rStyle w:val="IndexLink"/>
              </w:rPr>
              <w:t>614</w:t>
            </w:r>
          </w:hyperlink>
        </w:p>
        <w:p>
          <w:pPr>
            <w:pStyle w:val="Contents4"/>
            <w:tabs>
              <w:tab w:val="clear" w:pos="8176"/>
              <w:tab w:val="right" w:pos="9026" w:leader="dot"/>
            </w:tabs>
            <w:rPr/>
          </w:pPr>
          <w:hyperlink w:anchor="__RefHeading___Toc3860460_1067777946">
            <w:r>
              <w:rPr>
                <w:webHidden/>
                <w:rStyle w:val="IndexLink"/>
                <w:rtl w:val="true"/>
              </w:rPr>
              <w:t>الإقرار للحمل</w:t>
            </w:r>
            <w:r>
              <w:rPr>
                <w:rStyle w:val="IndexLink"/>
                <w:rtl w:val="true"/>
              </w:rPr>
              <w:tab/>
            </w:r>
            <w:r>
              <w:rPr>
                <w:rStyle w:val="IndexLink"/>
              </w:rPr>
              <w:t>615</w:t>
            </w:r>
          </w:hyperlink>
        </w:p>
        <w:p>
          <w:pPr>
            <w:pStyle w:val="Contents3"/>
            <w:tabs>
              <w:tab w:val="clear" w:pos="8459"/>
              <w:tab w:val="right" w:pos="9026" w:leader="dot"/>
            </w:tabs>
            <w:rPr/>
          </w:pPr>
          <w:hyperlink w:anchor="__RefHeading___Toc3860462_1067777946">
            <w:r>
              <w:rPr>
                <w:webHidden/>
                <w:rStyle w:val="IndexLink"/>
                <w:rtl w:val="true"/>
              </w:rPr>
              <w:t>النظر الرابع في اللواحق</w:t>
            </w:r>
            <w:r>
              <w:rPr>
                <w:rStyle w:val="IndexLink"/>
                <w:rtl w:val="true"/>
              </w:rPr>
              <w:tab/>
            </w:r>
            <w:r>
              <w:rPr>
                <w:rStyle w:val="IndexLink"/>
              </w:rPr>
              <w:t>621</w:t>
            </w:r>
          </w:hyperlink>
        </w:p>
        <w:p>
          <w:pPr>
            <w:pStyle w:val="Contents4"/>
            <w:tabs>
              <w:tab w:val="clear" w:pos="8176"/>
              <w:tab w:val="right" w:pos="9026" w:leader="dot"/>
            </w:tabs>
            <w:rPr/>
          </w:pPr>
          <w:hyperlink w:anchor="__RefHeading___Toc3860464_1067777946">
            <w:r>
              <w:rPr>
                <w:webHidden/>
                <w:rStyle w:val="IndexLink"/>
                <w:rtl w:val="true"/>
              </w:rPr>
              <w:t>اشارة</w:t>
            </w:r>
            <w:r>
              <w:rPr>
                <w:rStyle w:val="IndexLink"/>
                <w:rtl w:val="true"/>
              </w:rPr>
              <w:tab/>
            </w:r>
            <w:r>
              <w:rPr>
                <w:rStyle w:val="IndexLink"/>
              </w:rPr>
              <w:t>621</w:t>
            </w:r>
          </w:hyperlink>
        </w:p>
        <w:p>
          <w:pPr>
            <w:pStyle w:val="Contents4"/>
            <w:tabs>
              <w:tab w:val="clear" w:pos="8176"/>
              <w:tab w:val="right" w:pos="9026" w:leader="dot"/>
            </w:tabs>
            <w:rPr/>
          </w:pPr>
          <w:hyperlink w:anchor="__RefHeading___Toc3860466_1067777946">
            <w:r>
              <w:rPr>
                <w:webHidden/>
                <w:rStyle w:val="IndexLink"/>
                <w:rtl w:val="true"/>
              </w:rPr>
              <w:t>المقصد الأوّل في تعقيب الإقرار بالإقرار</w:t>
            </w:r>
            <w:r>
              <w:rPr>
                <w:rStyle w:val="IndexLink"/>
                <w:rtl w:val="true"/>
              </w:rPr>
              <w:tab/>
            </w:r>
            <w:r>
              <w:rPr>
                <w:rStyle w:val="IndexLink"/>
              </w:rPr>
              <w:t>621</w:t>
            </w:r>
          </w:hyperlink>
        </w:p>
        <w:p>
          <w:pPr>
            <w:pStyle w:val="Contents5"/>
            <w:tabs>
              <w:tab w:val="clear" w:pos="7892"/>
              <w:tab w:val="right" w:pos="9026" w:leader="dot"/>
            </w:tabs>
            <w:rPr/>
          </w:pPr>
          <w:hyperlink w:anchor="__RefHeading___Toc3860468_1067777946">
            <w:r>
              <w:rPr>
                <w:webHidden/>
                <w:rStyle w:val="IndexLink"/>
                <w:rtl w:val="true"/>
              </w:rPr>
              <w:t>إذا قال</w:t>
            </w:r>
            <w:r>
              <w:rPr>
                <w:rStyle w:val="IndexLink"/>
                <w:rtl w:val="true"/>
              </w:rPr>
              <w:t>:</w:t>
            </w:r>
            <w:r>
              <w:rPr>
                <w:rStyle w:val="IndexLink"/>
                <w:rtl w:val="true"/>
              </w:rPr>
              <w:t>هذه لفلان بل لفلان، أو قال غصبتها من فلان بل من فلان</w:t>
            </w:r>
            <w:r>
              <w:rPr>
                <w:rStyle w:val="IndexLink"/>
                <w:rtl w:val="true"/>
              </w:rPr>
              <w:tab/>
            </w:r>
            <w:r>
              <w:rPr>
                <w:rStyle w:val="IndexLink"/>
              </w:rPr>
              <w:t>621</w:t>
            </w:r>
          </w:hyperlink>
        </w:p>
        <w:p>
          <w:pPr>
            <w:pStyle w:val="Contents5"/>
            <w:tabs>
              <w:tab w:val="clear" w:pos="7892"/>
              <w:tab w:val="right" w:pos="9026" w:leader="dot"/>
            </w:tabs>
            <w:rPr/>
          </w:pPr>
          <w:hyperlink w:anchor="__RefHeading___Toc3860470_1067777946">
            <w:r>
              <w:rPr>
                <w:webHidden/>
                <w:rStyle w:val="IndexLink"/>
                <w:rtl w:val="true"/>
              </w:rPr>
              <w:t>لو أقرّ بعبد لإنسان فأنكر المقرّ له</w:t>
            </w:r>
            <w:r>
              <w:rPr>
                <w:rStyle w:val="IndexLink"/>
                <w:rtl w:val="true"/>
              </w:rPr>
              <w:tab/>
            </w:r>
            <w:r>
              <w:rPr>
                <w:rStyle w:val="IndexLink"/>
              </w:rPr>
              <w:t>624</w:t>
            </w:r>
          </w:hyperlink>
        </w:p>
        <w:p>
          <w:pPr>
            <w:pStyle w:val="Contents5"/>
            <w:tabs>
              <w:tab w:val="clear" w:pos="7892"/>
              <w:tab w:val="right" w:pos="9026" w:leader="dot"/>
            </w:tabs>
            <w:rPr/>
          </w:pPr>
          <w:hyperlink w:anchor="__RefHeading___Toc3860472_1067777946">
            <w:r>
              <w:rPr>
                <w:webHidden/>
                <w:rStyle w:val="IndexLink"/>
                <w:rtl w:val="true"/>
              </w:rPr>
              <w:t>لو أقرّ أنّ المولى أعتق عبده ثمّ اشتراه</w:t>
            </w:r>
            <w:r>
              <w:rPr>
                <w:rStyle w:val="IndexLink"/>
                <w:rtl w:val="true"/>
              </w:rPr>
              <w:tab/>
            </w:r>
            <w:r>
              <w:rPr>
                <w:rStyle w:val="IndexLink"/>
              </w:rPr>
              <w:t>625</w:t>
            </w:r>
          </w:hyperlink>
        </w:p>
        <w:p>
          <w:pPr>
            <w:pStyle w:val="Contents4"/>
            <w:tabs>
              <w:tab w:val="clear" w:pos="8176"/>
              <w:tab w:val="right" w:pos="9026" w:leader="dot"/>
            </w:tabs>
            <w:rPr/>
          </w:pPr>
          <w:hyperlink w:anchor="__RefHeading___Toc3860474_1067777946">
            <w:r>
              <w:rPr>
                <w:webHidden/>
                <w:rStyle w:val="IndexLink"/>
                <w:rtl w:val="true"/>
              </w:rPr>
              <w:t>المقصد الثاني في تعقيب الإقرار بما يقتضي ظاهره الإبطال</w:t>
            </w:r>
            <w:r>
              <w:rPr>
                <w:rStyle w:val="IndexLink"/>
                <w:rtl w:val="true"/>
              </w:rPr>
              <w:tab/>
            </w:r>
            <w:r>
              <w:rPr>
                <w:rStyle w:val="IndexLink"/>
              </w:rPr>
              <w:t>629</w:t>
            </w:r>
          </w:hyperlink>
        </w:p>
        <w:p>
          <w:pPr>
            <w:pStyle w:val="Contents4"/>
            <w:tabs>
              <w:tab w:val="clear" w:pos="8176"/>
              <w:tab w:val="right" w:pos="9026" w:leader="dot"/>
            </w:tabs>
            <w:rPr/>
          </w:pPr>
          <w:hyperlink w:anchor="__RefHeading___Toc3860476_1067777946">
            <w:r>
              <w:rPr>
                <w:webHidden/>
                <w:rStyle w:val="IndexLink"/>
                <w:rtl w:val="true"/>
              </w:rPr>
              <w:t>المقصد الثالث في الإقرار بالنسب</w:t>
            </w:r>
            <w:r>
              <w:rPr>
                <w:rStyle w:val="IndexLink"/>
                <w:rtl w:val="true"/>
              </w:rPr>
              <w:tab/>
            </w:r>
            <w:r>
              <w:rPr>
                <w:rStyle w:val="IndexLink"/>
              </w:rPr>
              <w:t>634</w:t>
            </w:r>
          </w:hyperlink>
        </w:p>
        <w:p>
          <w:pPr>
            <w:pStyle w:val="Contents5"/>
            <w:tabs>
              <w:tab w:val="clear" w:pos="7892"/>
              <w:tab w:val="right" w:pos="9026" w:leader="dot"/>
            </w:tabs>
            <w:rPr/>
          </w:pPr>
          <w:hyperlink w:anchor="__RefHeading___Toc3860478_1067777946">
            <w:r>
              <w:rPr>
                <w:webHidden/>
                <w:rStyle w:val="IndexLink"/>
                <w:rtl w:val="true"/>
              </w:rPr>
              <w:t>اشارة</w:t>
            </w:r>
            <w:r>
              <w:rPr>
                <w:rStyle w:val="IndexLink"/>
                <w:rtl w:val="true"/>
              </w:rPr>
              <w:tab/>
            </w:r>
            <w:r>
              <w:rPr>
                <w:rStyle w:val="IndexLink"/>
              </w:rPr>
              <w:t>634</w:t>
            </w:r>
          </w:hyperlink>
        </w:p>
        <w:p>
          <w:pPr>
            <w:pStyle w:val="Contents5"/>
            <w:tabs>
              <w:tab w:val="clear" w:pos="7892"/>
              <w:tab w:val="right" w:pos="9026" w:leader="dot"/>
            </w:tabs>
            <w:rPr/>
          </w:pPr>
          <w:hyperlink w:anchor="__RefHeading___Toc3860480_1067777946">
            <w:r>
              <w:rPr>
                <w:webHidden/>
                <w:rStyle w:val="IndexLink"/>
                <w:rtl w:val="true"/>
              </w:rPr>
              <w:t>شروط الإقرار بنسب الولد</w:t>
            </w:r>
            <w:r>
              <w:rPr>
                <w:rStyle w:val="IndexLink"/>
                <w:rtl w:val="true"/>
              </w:rPr>
              <w:tab/>
            </w:r>
            <w:r>
              <w:rPr>
                <w:rStyle w:val="IndexLink"/>
              </w:rPr>
              <w:t>634</w:t>
            </w:r>
          </w:hyperlink>
        </w:p>
        <w:p>
          <w:pPr>
            <w:pStyle w:val="Contents5"/>
            <w:tabs>
              <w:tab w:val="clear" w:pos="7892"/>
              <w:tab w:val="right" w:pos="9026" w:leader="dot"/>
            </w:tabs>
            <w:rPr/>
          </w:pPr>
          <w:hyperlink w:anchor="__RefHeading___Toc3860482_1067777946">
            <w:r>
              <w:rPr>
                <w:webHidden/>
                <w:rStyle w:val="IndexLink"/>
                <w:rtl w:val="true"/>
              </w:rPr>
              <w:t>إذا أقرّ بغير الولد للصلب</w:t>
            </w:r>
            <w:r>
              <w:rPr>
                <w:rStyle w:val="IndexLink"/>
                <w:rtl w:val="true"/>
              </w:rPr>
              <w:tab/>
            </w:r>
            <w:r>
              <w:rPr>
                <w:rStyle w:val="IndexLink"/>
              </w:rPr>
              <w:t>637</w:t>
            </w:r>
          </w:hyperlink>
        </w:p>
        <w:p>
          <w:pPr>
            <w:pStyle w:val="Contents5"/>
            <w:tabs>
              <w:tab w:val="clear" w:pos="7892"/>
              <w:tab w:val="right" w:pos="9026" w:leader="dot"/>
            </w:tabs>
            <w:rPr/>
          </w:pPr>
          <w:hyperlink w:anchor="__RefHeading___Toc3860484_1067777946">
            <w:r>
              <w:rPr>
                <w:webHidden/>
                <w:rStyle w:val="IndexLink"/>
                <w:rtl w:val="true"/>
              </w:rPr>
              <w:t>إذا أقرّ ولد الميّت بولد له آخر فأقرّا بثالث</w:t>
            </w:r>
            <w:r>
              <w:rPr>
                <w:rStyle w:val="IndexLink"/>
                <w:rtl w:val="true"/>
              </w:rPr>
              <w:tab/>
            </w:r>
            <w:r>
              <w:rPr>
                <w:rStyle w:val="IndexLink"/>
              </w:rPr>
              <w:t>638</w:t>
            </w:r>
          </w:hyperlink>
        </w:p>
        <w:p>
          <w:pPr>
            <w:pStyle w:val="Contents5"/>
            <w:tabs>
              <w:tab w:val="clear" w:pos="7892"/>
              <w:tab w:val="right" w:pos="9026" w:leader="dot"/>
            </w:tabs>
            <w:rPr/>
          </w:pPr>
          <w:hyperlink w:anchor="__RefHeading___Toc3860486_1067777946">
            <w:r>
              <w:rPr>
                <w:webHidden/>
                <w:rStyle w:val="IndexLink"/>
                <w:rtl w:val="true"/>
              </w:rPr>
              <w:t>إذاكان للميّت إخوة و زوجة فأقرّت له بولد</w:t>
            </w:r>
            <w:r>
              <w:rPr>
                <w:rStyle w:val="IndexLink"/>
                <w:rtl w:val="true"/>
              </w:rPr>
              <w:tab/>
            </w:r>
            <w:r>
              <w:rPr>
                <w:rStyle w:val="IndexLink"/>
              </w:rPr>
              <w:t>640</w:t>
            </w:r>
          </w:hyperlink>
        </w:p>
        <w:p>
          <w:pPr>
            <w:pStyle w:val="Contents5"/>
            <w:tabs>
              <w:tab w:val="clear" w:pos="7892"/>
              <w:tab w:val="right" w:pos="9026" w:leader="dot"/>
            </w:tabs>
            <w:rPr/>
          </w:pPr>
          <w:hyperlink w:anchor="__RefHeading___Toc3860488_1067777946">
            <w:r>
              <w:rPr>
                <w:webHidden/>
                <w:rStyle w:val="IndexLink"/>
                <w:rtl w:val="true"/>
              </w:rPr>
              <w:t>إذا مات صبىّ مجهول النسب فأقرّ إنسان ببنوّته</w:t>
            </w:r>
            <w:r>
              <w:rPr>
                <w:rStyle w:val="IndexLink"/>
                <w:rtl w:val="true"/>
              </w:rPr>
              <w:tab/>
            </w:r>
            <w:r>
              <w:rPr>
                <w:rStyle w:val="IndexLink"/>
              </w:rPr>
              <w:t>641</w:t>
            </w:r>
          </w:hyperlink>
        </w:p>
        <w:p>
          <w:pPr>
            <w:pStyle w:val="Contents5"/>
            <w:tabs>
              <w:tab w:val="clear" w:pos="7892"/>
              <w:tab w:val="right" w:pos="9026" w:leader="dot"/>
            </w:tabs>
            <w:rPr/>
          </w:pPr>
          <w:hyperlink w:anchor="__RefHeading___Toc3860490_1067777946">
            <w:r>
              <w:rPr>
                <w:webHidden/>
                <w:rStyle w:val="IndexLink"/>
                <w:rtl w:val="true"/>
              </w:rPr>
              <w:t>لايثبت النسب إلّا بشهادة رجلين عدلين</w:t>
            </w:r>
            <w:r>
              <w:rPr>
                <w:rStyle w:val="IndexLink"/>
                <w:rtl w:val="true"/>
              </w:rPr>
              <w:tab/>
            </w:r>
            <w:r>
              <w:rPr>
                <w:rStyle w:val="IndexLink"/>
              </w:rPr>
              <w:t>645</w:t>
            </w:r>
          </w:hyperlink>
        </w:p>
        <w:p>
          <w:pPr>
            <w:pStyle w:val="Contents5"/>
            <w:tabs>
              <w:tab w:val="clear" w:pos="7892"/>
              <w:tab w:val="right" w:pos="9026" w:leader="dot"/>
            </w:tabs>
            <w:rPr/>
          </w:pPr>
          <w:hyperlink w:anchor="__RefHeading___Toc3860492_1067777946">
            <w:r>
              <w:rPr>
                <w:webHidden/>
                <w:rStyle w:val="IndexLink"/>
                <w:rtl w:val="true"/>
              </w:rPr>
              <w:t>لو شهد الأخوان بابن للميّت</w:t>
            </w:r>
            <w:r>
              <w:rPr>
                <w:rStyle w:val="IndexLink"/>
                <w:rtl w:val="true"/>
              </w:rPr>
              <w:tab/>
            </w:r>
            <w:r>
              <w:rPr>
                <w:rStyle w:val="IndexLink"/>
              </w:rPr>
              <w:t>646</w:t>
            </w:r>
          </w:hyperlink>
        </w:p>
        <w:p>
          <w:pPr>
            <w:pStyle w:val="Contents5"/>
            <w:tabs>
              <w:tab w:val="clear" w:pos="7892"/>
              <w:tab w:val="right" w:pos="9026" w:leader="dot"/>
            </w:tabs>
            <w:rPr/>
          </w:pPr>
          <w:hyperlink w:anchor="__RefHeading___Toc3860494_1067777946">
            <w:r>
              <w:rPr>
                <w:webHidden/>
                <w:rStyle w:val="IndexLink"/>
                <w:rtl w:val="true"/>
              </w:rPr>
              <w:t>لو أقرّ بوارثين أولى منه ثمّ بآخرٍ أولی منهما</w:t>
            </w:r>
            <w:r>
              <w:rPr>
                <w:rStyle w:val="IndexLink"/>
                <w:rtl w:val="true"/>
              </w:rPr>
              <w:tab/>
            </w:r>
            <w:r>
              <w:rPr>
                <w:rStyle w:val="IndexLink"/>
              </w:rPr>
              <w:t>647</w:t>
            </w:r>
          </w:hyperlink>
        </w:p>
        <w:p>
          <w:pPr>
            <w:pStyle w:val="Contents5"/>
            <w:tabs>
              <w:tab w:val="clear" w:pos="7892"/>
              <w:tab w:val="right" w:pos="9026" w:leader="dot"/>
            </w:tabs>
            <w:rPr/>
          </w:pPr>
          <w:hyperlink w:anchor="__RefHeading___Toc3860496_1067777946">
            <w:r>
              <w:rPr>
                <w:webHidden/>
                <w:rStyle w:val="IndexLink"/>
                <w:rtl w:val="true"/>
              </w:rPr>
              <w:t>لو أقرّ بزوج للميّتة و لها ولد</w:t>
            </w:r>
            <w:r>
              <w:rPr>
                <w:rStyle w:val="IndexLink"/>
                <w:rtl w:val="true"/>
              </w:rPr>
              <w:tab/>
            </w:r>
            <w:r>
              <w:rPr>
                <w:rStyle w:val="IndexLink"/>
              </w:rPr>
              <w:t>649</w:t>
            </w:r>
          </w:hyperlink>
        </w:p>
        <w:p>
          <w:pPr>
            <w:pStyle w:val="Contents5"/>
            <w:tabs>
              <w:tab w:val="clear" w:pos="7892"/>
              <w:tab w:val="right" w:pos="9026" w:leader="dot"/>
            </w:tabs>
            <w:rPr/>
          </w:pPr>
          <w:hyperlink w:anchor="__RefHeading___Toc3860498_1067777946">
            <w:r>
              <w:rPr>
                <w:webHidden/>
                <w:rStyle w:val="IndexLink"/>
                <w:rtl w:val="true"/>
              </w:rPr>
              <w:t>ولو أقرّ بزوجة ثانية، أو ثالثة أو رابعة</w:t>
            </w:r>
            <w:r>
              <w:rPr>
                <w:rStyle w:val="IndexLink"/>
                <w:rtl w:val="true"/>
              </w:rPr>
              <w:tab/>
            </w:r>
            <w:r>
              <w:rPr>
                <w:rStyle w:val="IndexLink"/>
              </w:rPr>
              <w:t>651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70_80045"/>
      <w:bookmarkStart w:id="1" w:name="pg10270_80045"/>
      <w:bookmarkEnd w:id="1"/>
    </w:p>
    <w:p>
      <w:pPr>
        <w:pStyle w:val="Heading2"/>
        <w:numPr>
          <w:ilvl w:val="1"/>
          <w:numId w:val="1"/>
        </w:numPr>
        <w:rPr/>
      </w:pPr>
      <w:bookmarkStart w:id="2" w:name="pg10270_80045"/>
      <w:bookmarkStart w:id="3" w:name="__RefHeading___Toc3859974_1067777946"/>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موسوعة الشهید الثاني</w:t>
      </w:r>
    </w:p>
    <w:p>
      <w:pPr>
        <w:pStyle w:val="BookText"/>
        <w:rPr/>
      </w:pPr>
      <w:r>
        <w:rPr>
          <w:rFonts w:ascii="IRNazanin" w:hAnsi="IRNazanin" w:eastAsia="IRNazanin"/>
          <w:color w:val="111111"/>
          <w:sz w:val="28"/>
          <w:sz w:val="28"/>
          <w:szCs w:val="28"/>
          <w:rtl w:val="true"/>
          <w:lang w:bidi="fa-IR"/>
        </w:rPr>
        <w:t>الجزء الرابع والعشرون</w:t>
      </w:r>
    </w:p>
    <w:p>
      <w:pPr>
        <w:pStyle w:val="BookText"/>
        <w:rPr/>
      </w:pP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المركز العالي للعلوم والثقافة الإسلامية مركز إحياء التراث الإسلامي</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الرابع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 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باقري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 xml:space="preserve">العنوان 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66951534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الإعداد والتحقيق مركز إحياء التراث الإسلامي، المركز العالي للعلوم والثقافة الإسلامية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978-600-5570-99-1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فییا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في مسائل الحلال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 مرکز احیای آثار اسلامی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w:t>
      </w:r>
    </w:p>
    <w:p>
      <w:pPr>
        <w:pStyle w:val="BookText"/>
        <w:rPr/>
      </w:pPr>
      <w:r>
        <w:rPr>
          <w:rFonts w:eastAsia="Times New Roman" w:cs="Times New Roman" w:ascii="Times New Roman" w:hAnsi="Times New Roman"/>
          <w:color w:val="111111"/>
          <w:sz w:val="28"/>
          <w:szCs w:val="28"/>
          <w:lang w:val="en-US" w:bidi="en-US"/>
        </w:rPr>
        <w:t>297/08</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علي چنا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59976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IRNazanin" w:hAnsi="IRNazanin" w:eastAsia="IRNazanin"/>
          <w:color w:val="111111"/>
          <w:sz w:val="28"/>
          <w:sz w:val="28"/>
          <w:szCs w:val="28"/>
          <w:rtl w:val="true"/>
          <w:lang w:bidi="fa-IR"/>
        </w:rPr>
        <w:t>الجزء الرابع والعشرون</w:t>
      </w:r>
    </w:p>
    <w:p>
      <w:pPr>
        <w:pStyle w:val="BookText"/>
        <w:rPr/>
      </w:pPr>
      <w:r>
        <w:rPr>
          <w:rFonts w:ascii="Amiri" w:hAnsi="Amiri" w:eastAsia="Amiri" w:cs="Amiri"/>
          <w:color w:val="111111"/>
          <w:sz w:val="28"/>
          <w:sz w:val="28"/>
          <w:szCs w:val="28"/>
          <w:rtl w:val="true"/>
          <w:lang w:bidi="ar-SA"/>
        </w:rPr>
        <w:t>مسالك الأفهام</w:t>
      </w:r>
    </w:p>
    <w:p>
      <w:pPr>
        <w:pStyle w:val="BookText"/>
        <w:rPr/>
      </w:pPr>
      <w:r>
        <w:rPr>
          <w:rFonts w:ascii="Amiri" w:hAnsi="Amiri" w:eastAsia="Amiri" w:cs="Amiri"/>
          <w:color w:val="111111"/>
          <w:sz w:val="28"/>
          <w:sz w:val="28"/>
          <w:szCs w:val="28"/>
          <w:rtl w:val="true"/>
          <w:lang w:bidi="ar-SA"/>
        </w:rPr>
        <w:t>إلى تنقيح</w:t>
      </w:r>
    </w:p>
    <w:p>
      <w:pPr>
        <w:pStyle w:val="BookText"/>
        <w:rPr/>
      </w:pP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الرابع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 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باقري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 xml:space="preserve">العنوان 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66951534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الإعداد والتحقيق مركز إحياء التراث الإسلامي، المركز العالي للعلوم والثقافة الإسلامية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978-600-5570-99-1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فییا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في مسائل الحلال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 مرکز احیای آثار اسلامی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دلیل موسوعة الشهيد الثاني</w:t>
      </w:r>
    </w:p>
    <w:p>
      <w:pPr>
        <w:pStyle w:val="BookText"/>
        <w:rPr/>
      </w:pP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حياته وآثاره</w:t>
      </w:r>
    </w:p>
    <w:p>
      <w:pPr>
        <w:pStyle w:val="BookText"/>
        <w:rPr/>
      </w:pPr>
      <w:r>
        <w:rPr>
          <w:rFonts w:ascii="IRNazanin" w:hAnsi="IRNazanin" w:eastAsia="IRNazanin"/>
          <w:color w:val="111111"/>
          <w:sz w:val="28"/>
          <w:sz w:val="28"/>
          <w:szCs w:val="28"/>
          <w:rtl w:val="true"/>
          <w:lang w:bidi="fa-IR"/>
        </w:rPr>
        <w:t xml:space="preserve">الجزء الأوّل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المريد</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العلية؛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لحال البداية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العباد في بيان أحوال الاجتهاد؛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البئر؛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تيقّن الطهارة و الحدث و الشكّ في السابق منهما؛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أثناء غسل الجنابة؛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الأفكار في بيان حكم المقيمين في الأسفار؛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يجب معرفته من أحكام الحجّ والعمرة؛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نيّات الحجّ والعمرة؛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 والعمرة؛</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الغائب؛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ميراث الزوجة؛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مسائل شكر بن حمدان؛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مسائل السيد ابن طرّاد الحسيني؛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زين الدين بن إدريس؛</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مسائل الشيخ حسين بن زمعة المدني؛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مسائل الشيخ أحمد المازحي؛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مسائل السيد شرف الدين السمّاكي؛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آية البسملة؛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الإسطنبولية في الواجبات العينيّة؛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الاقتصاد والإرشاد إلى طريق الاجتهاد؛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نافعةٌ؛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الإجماع في زمن الغَيْبَة؛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مخالفة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لإجماعات نفسه؛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الشهيد بقلمه الشريف؛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الإجازات؛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الإنهاءات والبلاغات؛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الجزء العاشر والجزء الحادي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 وحاشيتا الألفية</w:t>
      </w:r>
    </w:p>
    <w:p>
      <w:pPr>
        <w:pStyle w:val="BookText"/>
        <w:rPr/>
      </w:pP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الملية</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 وحاشية المختصر النافع</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p>
    <w:p>
      <w:p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الفهارس </w:t>
      </w:r>
      <w:bookmarkStart w:id="7" w:name="pg10270_80051"/>
    </w:p>
    <w:p>
      <w:pPr>
        <w:pStyle w:val="Heading2"/>
        <w:numPr>
          <w:ilvl w:val="1"/>
          <w:numId w:val="1"/>
        </w:numPr>
        <w:rPr/>
      </w:pPr>
      <w:bookmarkStart w:id="8" w:name="__RefHeading___Toc3859978_1067777946"/>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كتاب الظهار</w:t>
      </w:r>
    </w:p>
    <w:p>
      <w:pPr>
        <w:pStyle w:val="BookText"/>
        <w:rPr/>
      </w:pPr>
      <w:r>
        <w:rPr>
          <w:rFonts w:ascii="Amiri" w:hAnsi="Amiri" w:eastAsia="Amiri" w:cs="Amiri"/>
          <w:color w:val="111111"/>
          <w:sz w:val="28"/>
          <w:sz w:val="28"/>
          <w:szCs w:val="28"/>
          <w:rtl w:val="true"/>
          <w:lang w:bidi="ar-SA"/>
        </w:rPr>
        <w:t>تعريف الظهار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الأمر الأوّل في الصيغة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في شرائط وقوع الظهار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الأمر الثاني في المظاهر ومن یصحّ الظهار منه</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الأمر الثالث في المظاهرة ومن يقع عليه الظهار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الأمر الرابع في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الظهار محرّم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لا تجب الكفارة بالتلفّظ بل بالعود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إذا طلّقها رجعيّاً ثمّ راجعها عاد حكم الظهار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لو ظاهر من زوجته الأمة ثمّ ابتاعها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تعليق الظهار على مشيئة 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لو ظاهر من أربع بلفظ واحد</w:t>
      </w:r>
      <w:r>
        <w:rPr>
          <w:rFonts w:eastAsia="IRNazanin" w:cs="IRNazanin"/>
          <w:color w:val="111111"/>
          <w:sz w:val="28"/>
          <w:szCs w:val="28"/>
          <w:rtl w:val="true"/>
          <w:lang w:bidi="fa-IR"/>
        </w:rPr>
        <w:t>...</w:t>
      </w:r>
      <w:r>
        <w:rPr>
          <w:rFonts w:eastAsia="IRNazanin" w:cs="IRNazanin"/>
          <w:color w:val="111111"/>
          <w:sz w:val="28"/>
          <w:szCs w:val="28"/>
          <w:lang w:bidi="fa-IR"/>
        </w:rPr>
        <w:t>63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الوطء فيما إذا أطلق الظهار أو علّقه بشرط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يحرم الوطء على المظاهر قبل التكفير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إذا عجز المظاهر عن الكفّارة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المظاهرة تصبر أو ترفع أمرها إلى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الکفاّرات</w:t>
      </w:r>
    </w:p>
    <w:p>
      <w:pPr>
        <w:pStyle w:val="BookText"/>
        <w:rPr/>
      </w:pPr>
      <w:r>
        <w:rPr>
          <w:rFonts w:ascii="Amiri" w:hAnsi="Amiri" w:eastAsia="Amiri" w:cs="Amiri"/>
          <w:color w:val="111111"/>
          <w:sz w:val="28"/>
          <w:sz w:val="28"/>
          <w:szCs w:val="28"/>
          <w:rtl w:val="true"/>
          <w:lang w:bidi="ar-SA"/>
        </w:rPr>
        <w:t>المقصد الأوّل في ضبط الكفّارات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الكفّارات المرتّبة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كفارة الظهار وقتل الخطأ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كفّارة من أفطر يوماً من قضاء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كفّارة من أفطر في يوم من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كفّارة خلف النذر وكفّارة الحنث في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وجوب كفّارة الجمع في قتل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المقصد الثاني فيما اختلف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كفّارة الحلف بالبراءة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كفّارة جز المرأة شعرها في المصاب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كفّارة نتف المرأة شعرها في المصاب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كفّارة وطء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كفّارة الزواج بالمرأة في عدّتها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كفّارة من نام عن صلاة العشاء حتى جاوز نصف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كفّارة من نذر صوم يوم فعجز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المقصد الثالث في خصال الكفّارة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في العتق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إجزاء عتق الصغير والأخرس لو كانا 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الوصف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من العيوب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الوصف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تامّ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يجزئ الآبق والمستولدة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شروط الإعتاق</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معتبرة في الإعتاق</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تجريده عن العوض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السبب محرّماً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القول في الصيام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حدّ العجز عن العتق وانتقال الفرض إلى الصوم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يتحقّق التتابع في الشهرين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لو عرض في أثناء الشهر الأول زمان لا یصحّ صومه</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القول في الإطعام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قدر الطعام، عدد المصروف إليه وجنس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هل يشترط الإيمان في المستحق للكفّارة؟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كفّارة اليمين وتقدير الكسوة والإطعام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المقصد الرابع في أحكام الكّفارات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كيفيّة صيام الشهرين المتتابعين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إذا عجز عن العتق فدخل في الصوم ثمّ وجد ما يعتق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لا تصرف الكفّارة إلى من تجب نفقته على الدافع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وجب عليه صوم شهرين فعجز صام ثمانیّة عشر يوماً</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الإيلاء</w:t>
      </w:r>
    </w:p>
    <w:p>
      <w:pPr>
        <w:pStyle w:val="BookText"/>
        <w:rPr/>
      </w:pPr>
      <w:r>
        <w:rPr>
          <w:rFonts w:ascii="Amiri" w:hAnsi="Amiri" w:eastAsia="Amiri" w:cs="Amiri"/>
          <w:color w:val="111111"/>
          <w:sz w:val="28"/>
          <w:sz w:val="28"/>
          <w:szCs w:val="28"/>
          <w:rtl w:val="true"/>
          <w:lang w:bidi="ar-SA"/>
        </w:rPr>
        <w:t>الأمر الأوّل في الصيغة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الأمر الثاني في المؤلي ومن یصحّ منه</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الأمر الثالث في المؤلى منها ومن يقع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الأمر الرابع في أحكام الإيلاء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المدّة اللازمة لانعقاد الإيلاء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مدّة التربّص أربعة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لو انقضت مدّة التربّص و وجد مانع من الجماع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اذا جمع بين الظهار والإيلاء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إذا وطىء في مدّة التربّص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إذا وطئ المؤلى ساهياً أو مجنوناً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إذا كان تحت الرجل أربع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وطئتكنّ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وطئت واحدةً منكنّ أو لاوطئت كلّ واحدة منكنّ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هل يتكرّر الكفّارة بتكرّر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كتاب اللعان</w:t>
      </w:r>
    </w:p>
    <w:p>
      <w:pPr>
        <w:pStyle w:val="BookText"/>
        <w:rPr/>
      </w:pPr>
      <w:r>
        <w:rPr>
          <w:rFonts w:ascii="Amiri" w:hAnsi="Amiri" w:eastAsia="Amiri" w:cs="Amiri"/>
          <w:color w:val="111111"/>
          <w:sz w:val="28"/>
          <w:sz w:val="28"/>
          <w:szCs w:val="28"/>
          <w:rtl w:val="true"/>
          <w:lang w:bidi="ar-SA"/>
        </w:rPr>
        <w:t>تعريف اللعان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النظر الأوّل في أركانه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الركن الأوّل في سبب سبب اللعان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القذف</w:t>
      </w:r>
      <w:r>
        <w:rPr>
          <w:rFonts w:eastAsia="IRNazanin" w:cs="IRNazanin"/>
          <w:color w:val="111111"/>
          <w:sz w:val="28"/>
          <w:szCs w:val="28"/>
          <w:rtl w:val="true"/>
          <w:lang w:bidi="fa-IR"/>
        </w:rPr>
        <w:t>...</w:t>
      </w:r>
      <w:r>
        <w:rPr>
          <w:rFonts w:eastAsia="IRNazanin" w:cs="IRNazanin"/>
          <w:color w:val="111111"/>
          <w:sz w:val="28"/>
          <w:szCs w:val="28"/>
          <w:lang w:bidi="fa-IR"/>
        </w:rPr>
        <w:t>229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شروط تحقّق اللعان بالقذف</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قذها بزنیً أضافه إلى ما قبل النكاح</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شروط تحقّق اللعان بإنكار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شروط إلحاق الولد بالأب</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هل يلحق ولد الخصيّ المجبوب؟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إذا أتت امرأته بولد و أراد نفيه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إذا طلق الرجل و أنكر 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لو قذف امرأته و نفى الولد وأقام 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الركن الثاني في الملاعن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شروط الملاعن</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یصحّ لعان الأخرس</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الركن الثالث في الملاعنة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من شروط الملاعنة السلامة من الصمم والخرس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يشترط أن تكون منكوحة بالعقد الدائم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يثبت اللعان بين الحرّ والمملوكة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یصحّ لعان الحامل</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هل تصير الأمة بالوطء فراشاً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أحكام تترتّب على كون الموطوءة فراشاً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الركن الرابع في كيفيّة اللعان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صورة اللعان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الواجب في اللعان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المندوب في اللعان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تغليظ اللعان بالقول والمكان والزمان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هل اللعان هو أيمان أو شهادات؟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النظر في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الأحكام التي يتعلّق بلعانهما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لو أكذب الزوج نفسه في أثناء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نكلت 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لو أكذب نفسه بعد اللعان، وهل يثبت عليه الحدّ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إذا ادّعت الزوجة القذف فأنكر الزوج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إذا قذف زوجته بالزنى برجل 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إذا قذف زوجته فماتت قبل اللعان</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إذا قذفها ولم يلاعن فحدّ ثمّ قذفها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إذا شهد على المرأة بالزنى أربعة رجال أحدهم الزوج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كتاب العتق</w:t>
      </w:r>
    </w:p>
    <w:p>
      <w:pPr>
        <w:pStyle w:val="BookText"/>
        <w:rPr/>
      </w:pPr>
      <w:r>
        <w:rPr>
          <w:rFonts w:ascii="Amiri" w:hAnsi="Amiri" w:eastAsia="Amiri" w:cs="Amiri"/>
          <w:color w:val="111111"/>
          <w:sz w:val="28"/>
          <w:sz w:val="28"/>
          <w:szCs w:val="28"/>
          <w:rtl w:val="true"/>
          <w:lang w:bidi="ar-SA"/>
        </w:rPr>
        <w:t>فضيلة العتق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من يجوز استرقاقه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أسباب إزالة الرقّ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العتق بالمباشرة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صيغة العتق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هل يشترط تعيين المعتَق؟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شروط المعتِق</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شروط المعتَق</w:t>
      </w:r>
      <w:r>
        <w:rPr>
          <w:rFonts w:eastAsia="IRNazanin" w:cs="IRNazanin"/>
          <w:color w:val="111111"/>
          <w:sz w:val="28"/>
          <w:szCs w:val="28"/>
          <w:rtl w:val="true"/>
          <w:lang w:bidi="fa-IR"/>
        </w:rPr>
        <w:t>...</w:t>
      </w:r>
      <w:r>
        <w:rPr>
          <w:rFonts w:eastAsia="IRNazanin" w:cs="IRNazanin"/>
          <w:color w:val="111111"/>
          <w:sz w:val="28"/>
          <w:szCs w:val="28"/>
          <w:lang w:bidi="fa-IR"/>
        </w:rPr>
        <w:t>321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عتق ولد الزنى</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شرط على المعتَق شرطاً في نفس العتق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لو نذر أعتق أوّل مملوك يملكه فملك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لو نذر تحرير أوّل ما تلده فولدت توأمين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لو كان له مماليك فأعتق بعضهم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لو نذر عتق كلّ عبدٍ 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مال العبد المعتق لمن؟</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إذا أعتق ثلث عبيده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إذا أعتق مملوكه عن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العتق في مرض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العتق بالسراية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شروط العتق بالسراية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وقت انعتاق نصيب الشريك مع اجتماع شروط السراية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لو أوصى بعتق بعض عبده وليس له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إذا ادعى كلّ واحد من الشريكين على صاحبه عتق نصيبه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العتق بالملك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متى يتحقّق الانعتاق بالملك؟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إذا أُوصي لصبيّ أو مجنون بمن ينعتق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العتق بالعوارض</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انعتاق العبد بالعمى و الجذام و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هل ينعتق من مثّل به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كتاب التدبير والمكاتبة والاستيلاد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 التدبير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هل یصحّ تعليق التدبير على وفاة غير المولى؟</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المقصد الأوّل في العبارة وما يحصل به التدبير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أقسام التدبير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يشترط في صيغة التدبير النيّة و تجريدها عن الشرط و الصفة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المقصد الثاني في المباشر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شروط المدبِّر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المقصد الثالث في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التدبير بصفة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إنكار المولى للتدبير ليس رجوعاً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المدبّر ينعتق بموت مولاه من الثلث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مسائل من تدبير بعض العبد وتقويم حصّة الشريك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إذا أبق المدبَّر بطل تدبيره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لا يبطل تدبير المملوك لو ارتد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ما يكتسبه المدبَّر لمولاه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إذا جُني على المدبَّر بما دون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إذا جُنى المدبِّر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المال الذي يستفيده المدبَّر بعد موت مولاه لمن؟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المكاتبة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تعريف المكاتبة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الكتابة مستحبّة مع الأمانة والاكتساب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الفرق بين الكتابة والبيع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صيغة الكتابة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الكتابة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مشروطة ومطلقة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حدّ العجز عن مال الكتابة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الكتابة عقد لازم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شروط المكاتِب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شروط المكاتَب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هل يشترط الأجل في الكتابة؟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شروط عوض الكتابة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إذا جمع بين كتابة وبيع أو إجارة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لو كاتب ثلاثة أعبد في عقد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أحكام المكاتبة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اللواحق</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المقصد الأوّل في لواحق تصرّفات المكاتب، وفيه مسائل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المقصد الثاني في جناية المكاتب والجناية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المقصد الثالث في أحكام المكاتَب في الوصايا، وفيه مسائل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الاستيلاد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الأمر الأوّل في كيفية الاستيلاد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الأمر الثاني في الأحكام المتعلّقة بأُمِّ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كتاب الإقرار</w:t>
      </w:r>
    </w:p>
    <w:p>
      <w:pPr>
        <w:pStyle w:val="BookText"/>
        <w:rPr/>
      </w:pPr>
      <w:r>
        <w:rPr>
          <w:rFonts w:ascii="Amiri" w:hAnsi="Amiri" w:eastAsia="Amiri" w:cs="Amiri"/>
          <w:color w:val="111111"/>
          <w:sz w:val="28"/>
          <w:sz w:val="28"/>
          <w:szCs w:val="28"/>
          <w:rtl w:val="true"/>
          <w:lang w:bidi="ar-SA"/>
        </w:rPr>
        <w:t>النظر الأوّل في الصيغة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 الصريحة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یصحّ الإقرار بغير العربيّة</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ألفاظ الإقرار محمولة على المتفاهم عرفاً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إذا أقرّ لميّت بمال و ادّعى انحصار وارثه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إذا أقرّ بمالٍ معلِّقاً على الأجل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المقصد الثاني في المبهمة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مال عظيم و 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إذا أقرّ بأعداد مختلفة و أتى فيها بمميِّز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كذا، أو كذا وكذا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الإقرار للمجهول</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الإقرار بالمجهول</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إذا أقرّ بمال ثمّ دفع وقال هذه كانت وديعة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هذه الدار 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ميراث أبي 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المقصد الثالث في الإقرار المستفاد من 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المقصد الرابع في صيغ الاستثناء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قواعد الاستثناء</w:t>
      </w:r>
      <w:r>
        <w:rPr>
          <w:rFonts w:eastAsia="IRNazanin" w:cs="IRNazanin"/>
          <w:color w:val="111111"/>
          <w:sz w:val="28"/>
          <w:szCs w:val="28"/>
          <w:rtl w:val="true"/>
          <w:lang w:bidi="fa-IR"/>
        </w:rPr>
        <w:t>...</w:t>
      </w:r>
      <w:r>
        <w:rPr>
          <w:rFonts w:eastAsia="IRNazanin" w:cs="IRNazanin"/>
          <w:color w:val="111111"/>
          <w:sz w:val="28"/>
          <w:szCs w:val="28"/>
          <w:lang w:bidi="fa-IR"/>
        </w:rPr>
        <w:t>576</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من الإثبات نفي ومن النفي إثبات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من الجنس جائز</w:t>
      </w:r>
      <w:r>
        <w:rPr>
          <w:rFonts w:eastAsia="IRNazanin" w:cs="IRNazanin"/>
          <w:color w:val="111111"/>
          <w:sz w:val="28"/>
          <w:szCs w:val="28"/>
          <w:rtl w:val="true"/>
          <w:lang w:bidi="fa-IR"/>
        </w:rPr>
        <w:t>...</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صحة الاستثناء بقاء بقيّة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التفريع على القاعدة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التفريع على القاعدة الثانیّة</w:t>
      </w:r>
      <w:r>
        <w:rPr>
          <w:rFonts w:eastAsia="IRNazanin" w:cs="IRNazanin"/>
          <w:color w:val="111111"/>
          <w:sz w:val="28"/>
          <w:szCs w:val="28"/>
          <w:lang w:bidi="fa-IR"/>
        </w:rPr>
        <w:t>587</w:t>
      </w:r>
    </w:p>
    <w:p>
      <w:pPr>
        <w:pStyle w:val="BookText"/>
        <w:rPr/>
      </w:pPr>
      <w:r>
        <w:rPr>
          <w:rFonts w:ascii="Amiri" w:hAnsi="Amiri" w:eastAsia="Amiri" w:cs="Amiri"/>
          <w:color w:val="111111"/>
          <w:sz w:val="28"/>
          <w:sz w:val="28"/>
          <w:szCs w:val="28"/>
          <w:rtl w:val="true"/>
          <w:lang w:bidi="ar-SA"/>
        </w:rPr>
        <w:t>التفريع على القاعدة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النظر الثاني في المقرّ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شروط المقرّ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إقرار المجنون والمكرَه والسكران و المحجور عليه للسفه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إقرار المملوك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p>
    <w:p>
      <w:pPr>
        <w:pStyle w:val="BookText"/>
        <w:rPr/>
      </w:pPr>
      <w:r>
        <w:rPr>
          <w:rFonts w:ascii="IRNazanin" w:hAnsi="IRNazanin" w:eastAsia="IRNazanin"/>
          <w:color w:val="111111"/>
          <w:sz w:val="28"/>
          <w:sz w:val="28"/>
          <w:szCs w:val="28"/>
          <w:rtl w:val="true"/>
          <w:lang w:bidi="fa-IR"/>
        </w:rPr>
        <w:t>إقرار المفلّس</w:t>
      </w:r>
      <w:r>
        <w:rPr>
          <w:rFonts w:eastAsia="IRNazanin" w:cs="IRNazanin"/>
          <w:color w:val="111111"/>
          <w:sz w:val="28"/>
          <w:szCs w:val="28"/>
          <w:rtl w:val="true"/>
          <w:lang w:bidi="fa-IR"/>
        </w:rPr>
        <w:t>...</w:t>
      </w:r>
      <w:r>
        <w:rPr>
          <w:rFonts w:eastAsia="IRNazanin" w:cs="IRNazanin"/>
          <w:color w:val="111111"/>
          <w:sz w:val="28"/>
          <w:szCs w:val="28"/>
          <w:lang w:bidi="fa-IR"/>
        </w:rPr>
        <w:t>598</w:t>
      </w:r>
    </w:p>
    <w:p>
      <w:pPr>
        <w:pStyle w:val="BookText"/>
        <w:rPr/>
      </w:pPr>
      <w:r>
        <w:rPr>
          <w:rFonts w:ascii="Amiri" w:hAnsi="Amiri" w:eastAsia="Amiri" w:cs="Amiri"/>
          <w:color w:val="111111"/>
          <w:sz w:val="28"/>
          <w:sz w:val="28"/>
          <w:szCs w:val="28"/>
          <w:rtl w:val="true"/>
          <w:lang w:bidi="ar-SA"/>
        </w:rPr>
        <w:t>إقرار المريض بالوصيّة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إقرار الصبيّ بالبلوغ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النظر الثالث في المقرّ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pStyle w:val="BookText"/>
        <w:rPr/>
      </w:pPr>
      <w:r>
        <w:rPr>
          <w:rFonts w:ascii="IRNazanin" w:hAnsi="IRNazanin" w:eastAsia="IRNazanin"/>
          <w:color w:val="111111"/>
          <w:sz w:val="28"/>
          <w:sz w:val="28"/>
          <w:szCs w:val="28"/>
          <w:rtl w:val="true"/>
          <w:lang w:bidi="fa-IR"/>
        </w:rPr>
        <w:t>شروط المقرّ له</w:t>
      </w:r>
      <w:r>
        <w:rPr>
          <w:rFonts w:eastAsia="IRNazanin" w:cs="IRNazanin"/>
          <w:color w:val="111111"/>
          <w:sz w:val="28"/>
          <w:szCs w:val="28"/>
          <w:rtl w:val="true"/>
          <w:lang w:bidi="fa-IR"/>
        </w:rPr>
        <w:t>...</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الإقرار للحمل</w:t>
      </w:r>
      <w:r>
        <w:rPr>
          <w:rFonts w:eastAsia="IRNazanin" w:cs="IRNazanin"/>
          <w:color w:val="111111"/>
          <w:sz w:val="28"/>
          <w:szCs w:val="28"/>
          <w:rtl w:val="true"/>
          <w:lang w:bidi="fa-IR"/>
        </w:rPr>
        <w:t>...</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النظر الرابع في اللواحق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المقصد الأول في تعقيب الإقرار بالإقرار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pStyle w:val="BookText"/>
        <w:rPr/>
      </w:pP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لفلان بل لفلان، او قال غصبتها من فلان بل فلان</w:t>
      </w:r>
      <w:r>
        <w:rPr>
          <w:rFonts w:eastAsia="IRNazanin" w:cs="IRNazanin"/>
          <w:color w:val="111111"/>
          <w:sz w:val="28"/>
          <w:szCs w:val="28"/>
          <w:rtl w:val="true"/>
          <w:lang w:bidi="fa-IR"/>
        </w:rPr>
        <w:t>...</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لو أقرّ بعبد لإنسان فأنكر المقرّ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p>
    <w:p>
      <w:pPr>
        <w:pStyle w:val="BookText"/>
        <w:rPr/>
      </w:pPr>
      <w:r>
        <w:rPr>
          <w:rFonts w:ascii="IRNazanin" w:hAnsi="IRNazanin" w:eastAsia="IRNazanin"/>
          <w:color w:val="111111"/>
          <w:sz w:val="28"/>
          <w:sz w:val="28"/>
          <w:szCs w:val="28"/>
          <w:rtl w:val="true"/>
          <w:lang w:bidi="fa-IR"/>
        </w:rPr>
        <w:t>لو أقرّ أنّ المولى أعتق عبده ثمّ اشتراه</w:t>
      </w:r>
      <w:r>
        <w:rPr>
          <w:rFonts w:eastAsia="IRNazanin" w:cs="IRNazanin"/>
          <w:color w:val="111111"/>
          <w:sz w:val="28"/>
          <w:szCs w:val="28"/>
          <w:rtl w:val="true"/>
          <w:lang w:bidi="fa-IR"/>
        </w:rPr>
        <w:t>...</w:t>
      </w:r>
      <w:r>
        <w:rPr>
          <w:rFonts w:eastAsia="IRNazanin" w:cs="IRNazanin"/>
          <w:color w:val="111111"/>
          <w:sz w:val="28"/>
          <w:szCs w:val="28"/>
          <w:lang w:bidi="fa-IR"/>
        </w:rPr>
        <w:t>616</w:t>
      </w:r>
    </w:p>
    <w:p>
      <w:pPr>
        <w:pStyle w:val="BookText"/>
        <w:rPr/>
      </w:pPr>
      <w:r>
        <w:rPr>
          <w:rFonts w:ascii="Amiri" w:hAnsi="Amiri" w:eastAsia="Amiri" w:cs="Amiri"/>
          <w:color w:val="111111"/>
          <w:sz w:val="28"/>
          <w:sz w:val="28"/>
          <w:szCs w:val="28"/>
          <w:rtl w:val="true"/>
          <w:lang w:bidi="ar-SA"/>
        </w:rPr>
        <w:t>المقصد الثاني في تعقيب الإقرار بما يقتضي ظاهره الإبطال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المقصد الثالث في الإقرار بالنسب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p>
    <w:p>
      <w:pPr>
        <w:pStyle w:val="BookText"/>
        <w:rPr/>
      </w:pPr>
      <w:r>
        <w:rPr>
          <w:rFonts w:ascii="IRNazanin" w:hAnsi="IRNazanin" w:eastAsia="IRNazanin"/>
          <w:color w:val="111111"/>
          <w:sz w:val="28"/>
          <w:sz w:val="28"/>
          <w:szCs w:val="28"/>
          <w:rtl w:val="true"/>
          <w:lang w:bidi="fa-IR"/>
        </w:rPr>
        <w:t>شروط الإقرار بنسب الولد</w:t>
      </w:r>
      <w:r>
        <w:rPr>
          <w:rFonts w:eastAsia="IRNazanin" w:cs="IRNazanin"/>
          <w:color w:val="111111"/>
          <w:sz w:val="28"/>
          <w:szCs w:val="28"/>
          <w:rtl w:val="true"/>
          <w:lang w:bidi="fa-IR"/>
        </w:rPr>
        <w:t>...</w:t>
      </w:r>
      <w:r>
        <w:rPr>
          <w:rFonts w:eastAsia="IRNazanin" w:cs="IRNazanin"/>
          <w:color w:val="111111"/>
          <w:sz w:val="28"/>
          <w:szCs w:val="28"/>
          <w:lang w:bidi="fa-IR"/>
        </w:rPr>
        <w:t>625</w:t>
      </w:r>
    </w:p>
    <w:p>
      <w:pPr>
        <w:pStyle w:val="BookText"/>
        <w:rPr/>
      </w:pPr>
      <w:r>
        <w:rPr>
          <w:rFonts w:ascii="Amiri" w:hAnsi="Amiri" w:eastAsia="Amiri" w:cs="Amiri"/>
          <w:color w:val="111111"/>
          <w:sz w:val="28"/>
          <w:sz w:val="28"/>
          <w:szCs w:val="28"/>
          <w:rtl w:val="true"/>
          <w:lang w:bidi="ar-SA"/>
        </w:rPr>
        <w:t>إذا أقرّ بغير الولد للصلب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أقرّ ولد الميت بولد له آخر فأقرا بثالث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 للميِّت إخوة و زوجة فأقرّت له بولد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إذا مات صبيّ مجهول النسب فأقرّ إنسان ببنوّته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لا يثبت النسب إلّا بشهادة رجلين عدلين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لو شهد الأخوان بابنٍ للميّت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p>
    <w:p>
      <w:pPr>
        <w:pStyle w:val="BookText"/>
        <w:rPr/>
      </w:pPr>
      <w:r>
        <w:rPr>
          <w:rFonts w:ascii="IRNazanin" w:hAnsi="IRNazanin" w:eastAsia="IRNazanin"/>
          <w:color w:val="111111"/>
          <w:sz w:val="28"/>
          <w:sz w:val="28"/>
          <w:szCs w:val="28"/>
          <w:rtl w:val="true"/>
          <w:lang w:bidi="fa-IR"/>
        </w:rPr>
        <w:t>لو أقرّ بوارث أولى منه ثمّ بآخرٍ أولى منهما</w:t>
      </w:r>
      <w:r>
        <w:rPr>
          <w:rFonts w:eastAsia="IRNazanin" w:cs="IRNazanin"/>
          <w:color w:val="111111"/>
          <w:sz w:val="28"/>
          <w:szCs w:val="28"/>
          <w:rtl w:val="true"/>
          <w:lang w:bidi="fa-IR"/>
        </w:rPr>
        <w:t>...</w:t>
      </w:r>
      <w:r>
        <w:rPr>
          <w:rFonts w:eastAsia="IRNazanin" w:cs="IRNazanin"/>
          <w:color w:val="111111"/>
          <w:sz w:val="28"/>
          <w:szCs w:val="28"/>
          <w:lang w:bidi="fa-IR"/>
        </w:rPr>
        <w:t>638</w:t>
      </w:r>
    </w:p>
    <w:p>
      <w:pPr>
        <w:pStyle w:val="BookText"/>
        <w:rPr/>
      </w:pPr>
      <w:r>
        <w:rPr>
          <w:rFonts w:ascii="Amiri" w:hAnsi="Amiri" w:eastAsia="Amiri" w:cs="Amiri"/>
          <w:color w:val="111111"/>
          <w:sz w:val="28"/>
          <w:sz w:val="28"/>
          <w:szCs w:val="28"/>
          <w:rtl w:val="true"/>
          <w:lang w:bidi="ar-SA"/>
        </w:rPr>
        <w:t>لو أقرّ بزوج للميّتة و لها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أقرّ بزوجة ثانیّة، أو ثالثة أو رابعة</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bookmarkStart w:id="10" w:name="pg10270_80063"/>
    </w:p>
    <w:p>
      <w:pPr>
        <w:pStyle w:val="Heading2"/>
        <w:numPr>
          <w:ilvl w:val="1"/>
          <w:numId w:val="1"/>
        </w:numPr>
        <w:rPr/>
      </w:pPr>
      <w:bookmarkStart w:id="11" w:name="__RefHeading___Toc3859980_1067777946"/>
      <w:bookmarkStart w:id="12" w:name="_Toc4"/>
      <w:bookmarkEnd w:id="10"/>
      <w:bookmarkEnd w:id="11"/>
      <w:r>
        <w:rPr>
          <w:rtl w:val="true"/>
        </w:rPr>
        <w:t>كتاب الظهار</w:t>
      </w:r>
      <w:bookmarkEnd w:id="12"/>
    </w:p>
    <w:p>
      <w:pPr>
        <w:pStyle w:val="Heading3"/>
        <w:numPr>
          <w:ilvl w:val="2"/>
          <w:numId w:val="1"/>
        </w:numPr>
        <w:rPr/>
      </w:pPr>
      <w:bookmarkStart w:id="13" w:name="__RefHeading___Toc3859982_1067777946"/>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و النظر فيه يستدعي بيان أُمور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الظهار</w:t>
      </w:r>
    </w:p>
    <w:p>
      <w:pPr>
        <w:pStyle w:val="Heading3"/>
        <w:numPr>
          <w:ilvl w:val="2"/>
          <w:numId w:val="1"/>
        </w:numPr>
        <w:rPr/>
      </w:pPr>
      <w:bookmarkStart w:id="15" w:name="__RefHeading___Toc3859984_1067777946"/>
      <w:bookmarkStart w:id="16" w:name="_Toc6"/>
      <w:bookmarkEnd w:id="15"/>
      <w:r>
        <w:rPr>
          <w:rtl w:val="true"/>
        </w:rPr>
        <w:t>تعریف الظهار</w:t>
      </w:r>
      <w:bookmarkEnd w:id="16"/>
    </w:p>
    <w:p>
      <w:pPr>
        <w:pStyle w:val="BookText"/>
        <w:rPr/>
      </w:pPr>
      <w:r>
        <w:rPr>
          <w:rFonts w:ascii="Amiri" w:hAnsi="Amiri" w:eastAsia="Amiri" w:cs="Amiri"/>
          <w:color w:val="111111"/>
          <w:sz w:val="28"/>
          <w:sz w:val="28"/>
          <w:szCs w:val="28"/>
          <w:rtl w:val="true"/>
          <w:lang w:bidi="ar-SA"/>
        </w:rPr>
        <w:t>الظهار مأخوذ من الظهر؛ لأنّ صورته الأصليّة أن يقول الرجل لزوجته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الظهر؛ لأنّه موضع الركوب و المرأة مركوب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طلاقاً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كالإيلاء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الشرع حكمه إلى تحريمها بذلك و لزوم الكفّارة بالعود كما سيأتي</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حقيقته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الزوج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مطلّقة رجعيّة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بمحرّمة نسباً أو رضاعاً،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مصاهرة</w:t>
      </w:r>
      <w:r>
        <w:rPr>
          <w:rStyle w:val="FootnoteAnchor"/>
          <w:rtl w:val="true"/>
        </w:rPr>
        <w:footnoteReference w:id="3"/>
      </w:r>
      <w:r>
        <w:rPr>
          <w:rFonts w:ascii="Amiri" w:hAnsi="Amiri" w:eastAsia="Amiri" w:cs="Amiri"/>
          <w:color w:val="111111"/>
          <w:sz w:val="28"/>
          <w:sz w:val="28"/>
          <w:szCs w:val="28"/>
          <w:rtl w:val="true"/>
          <w:lang w:bidi="ar-SA"/>
        </w:rPr>
        <w:t>على ما سيأتي من الخلاف فيه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الأصل فيه قبل الإجماع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يُظَاهِرُونَ مِنْ نِسَائِهِمْ</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 روي أنّ أوّل من ظاهر في الإسلام أوس بن الصامت من زوجته خولة بنت ثعلبة على اختلاف في اسمها و نسبها، فأتت رسول الله صلّى الله عليه و آله و سلّم فاشتكت منه فأنزل الله تعالى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سَمِعَ اللَّهُ قَوْلَ الَّتِي تُجَادِلُكَ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Style w:val="FootnoteAnchor"/>
          <w:rtl w:val="true"/>
        </w:rPr>
        <w:footnoteReference w:id="6"/>
      </w:r>
      <w:bookmarkStart w:id="17" w:name="pg10270_80064"/>
    </w:p>
    <w:p>
      <w:pPr>
        <w:pStyle w:val="Heading3"/>
        <w:numPr>
          <w:ilvl w:val="2"/>
          <w:numId w:val="1"/>
        </w:numPr>
        <w:rPr/>
      </w:pPr>
      <w:bookmarkStart w:id="18" w:name="__RefHeading___Toc3859986_1067777946"/>
      <w:bookmarkStart w:id="19" w:name="_Toc7"/>
      <w:bookmarkEnd w:id="17"/>
      <w:bookmarkEnd w:id="18"/>
      <w:r>
        <w:rPr>
          <w:rtl w:val="true"/>
        </w:rPr>
        <w:t>الأمرالأوّل في الصيغة</w:t>
      </w:r>
      <w:bookmarkEnd w:id="19"/>
    </w:p>
    <w:p>
      <w:pPr>
        <w:pStyle w:val="Heading4"/>
        <w:numPr>
          <w:ilvl w:val="3"/>
          <w:numId w:val="1"/>
        </w:numPr>
        <w:rPr/>
      </w:pPr>
      <w:bookmarkStart w:id="20" w:name="__RefHeading___Toc3859988_1067777946"/>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و هو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شاكل ذلك من الألفاظ الدالّة على تمييزها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عبرة باختلاف ألفاظ الصفات،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شبّهها بظهر إحدى المحرِّمات نسباً أو رضاعاً كالأُم أو 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روايتان أشهرهما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شاكل ذلك من الألفاظ الدالّة على تمييزها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الوفاق ومورد النص من صيغ الظهار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 و في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شاكلها من الألفاظ الدالّة على تمييزها عن غيرها،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باسمها ولقبها،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من ألفاظ الصلات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ترك الصلة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بينه و بين الطلاق؛ إذ يحتمل صيغة الظهار مجرّدة عن الصلة كونها محرّمة على غيره حرمة ظهر أُمّه عليه، بخلاف الطلاق، فإنّه للإطلاق، وهي في حبسه دون حبس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الأشهر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التحرير استشكل الوقوع مع حذف الصلة</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ما ذكرناه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بقي هنا ألفاظ وقع الخلاف في وقوعه بها، فمنها ما لو شبّهها بظهر إحدى المحرِّمات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نسباً أو رضاعاً،كالأُمّ من الرضاع و الأُخت منهما و العمّة و الخالة و بنت الأخ و بنت الأُخت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وقوعه بذلك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الوقوع</w:t>
      </w:r>
      <w:r>
        <w:rPr>
          <w:rStyle w:val="FootnoteAnchor"/>
          <w:rtl w:val="true"/>
        </w:rPr>
        <w:footnoteReference w:id="9"/>
      </w:r>
      <w:r>
        <w:rPr>
          <w:rFonts w:ascii="IRNazanin" w:hAnsi="IRNazanin" w:eastAsia="IRNazanin"/>
          <w:color w:val="111111"/>
          <w:sz w:val="28"/>
          <w:sz w:val="28"/>
          <w:szCs w:val="28"/>
          <w:rtl w:val="true"/>
          <w:lang w:bidi="fa-IR"/>
        </w:rPr>
        <w:t>لاشتراك الجميع في تحريم الظهر كالأُمّ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الظهار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عن كلّ ذي مَحرَم، أُمّ أو أُخت أو عمّة أو خالة، و لايكون الظهار في 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الرجل لامرأته و هي طاهر في غير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حرام مثل ظهر أُمّي أو أُختي، و هو يريد بذلك الظهار</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حسنة</w:t>
      </w:r>
      <w:r>
        <w:rPr>
          <w:rStyle w:val="FootnoteAnchor"/>
          <w:rtl w:val="true"/>
        </w:rPr>
        <w:footnoteReference w:id="11"/>
      </w:r>
      <w:r>
        <w:rPr>
          <w:rFonts w:ascii="IRNazanin" w:hAnsi="IRNazanin" w:eastAsia="IRNazanin"/>
          <w:color w:val="111111"/>
          <w:sz w:val="28"/>
          <w:sz w:val="28"/>
          <w:szCs w:val="28"/>
          <w:rtl w:val="true"/>
          <w:lang w:bidi="fa-IR"/>
        </w:rPr>
        <w:t>جميل بن درّاج قال، 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يقول لامرأته أنت عليَّ كظهر عمّته أو خالته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الظهار</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يدلّ على تناوله للمحرّمات من الرضاع قوله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يحرم من الرضاع ما يحرم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مضافاً إلى عموم قوله</w:t>
      </w:r>
      <w:r>
        <w:rPr>
          <w:rStyle w:val="FootnoteAnchor"/>
          <w:rtl w:val="true"/>
        </w:rPr>
        <w:footnoteReference w:id="14"/>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كلّ ذي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لاشتراك الجميع في المنكر و قول الزور، و لأنّ حرمة الرضاع كحرمة النسب، و لذلك يُسوّى بينهما في جواز الخلوة بها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لايقع بغير الأُمّ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الشيخ في الخلاف</w:t>
      </w:r>
      <w:r>
        <w:rPr>
          <w:rStyle w:val="FootnoteAnchor"/>
          <w:rtl w:val="true"/>
        </w:rPr>
        <w:footnoteReference w:id="15"/>
      </w:r>
      <w:r>
        <w:rPr>
          <w:rFonts w:ascii="Amiri" w:hAnsi="Amiri" w:eastAsia="Amiri" w:cs="Amiri"/>
          <w:color w:val="111111"/>
          <w:sz w:val="28"/>
          <w:sz w:val="28"/>
          <w:szCs w:val="28"/>
          <w:rtl w:val="true"/>
          <w:lang w:bidi="ar-SA"/>
        </w:rPr>
        <w:t>و ابن إدريس</w:t>
      </w:r>
      <w:r>
        <w:rPr>
          <w:rStyle w:val="FootnoteAnchor"/>
          <w:rtl w:val="true"/>
        </w:rPr>
        <w:footnoteReference w:id="16"/>
      </w:r>
      <w:r>
        <w:rPr>
          <w:rFonts w:ascii="Amiri" w:hAnsi="Amiri" w:eastAsia="Amiri" w:cs="Amiri"/>
          <w:color w:val="111111"/>
          <w:sz w:val="28"/>
          <w:sz w:val="28"/>
          <w:szCs w:val="28"/>
          <w:rtl w:val="true"/>
          <w:lang w:bidi="ar-SA"/>
        </w:rPr>
        <w:t xml:space="preserve">عملاً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بظاهر الآية</w:t>
      </w:r>
      <w:r>
        <w:rPr>
          <w:rStyle w:val="FootnoteAnchor"/>
          <w:rtl w:val="true"/>
        </w:rPr>
        <w:footnoteReference w:id="17"/>
      </w:r>
      <w:r>
        <w:rPr>
          <w:rFonts w:ascii="IRNazanin" w:hAnsi="IRNazanin" w:eastAsia="IRNazanin"/>
          <w:color w:val="111111"/>
          <w:sz w:val="28"/>
          <w:sz w:val="28"/>
          <w:szCs w:val="28"/>
          <w:rtl w:val="true"/>
          <w:lang w:bidi="fa-IR"/>
        </w:rPr>
        <w:t>و صحيحة سيف التمار عن الصادق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يقول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أختي أو عمَّتي أو خالتي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ذكر الله تعالى الأُمّهات، و إنّ هذا لحرام</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ذكر الله تعالى 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يشعر أنّ الظهار لايكون إلّا بالأُمّهات؛ لأنّه حصر المذكورات فى الظهار بالأمّهات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للأصل، و ضعف التشبيه؛ لأنّ الرضاع مكتسب فلا يساوي النسب في القوّة؛ و لذلك لايتعلّق به النفقة والميراث والولاية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الأُمّ بالذكر في الآية لاينفي غيرها، كما لايدلّ على ثبوته، و نحن نثبته بالأخبار الصحيحة</w:t>
      </w:r>
      <w:r>
        <w:rPr>
          <w:rStyle w:val="FootnoteAnchor"/>
          <w:rtl w:val="true"/>
        </w:rPr>
        <w:footnoteReference w:id="19"/>
      </w:r>
      <w:r>
        <w:rPr>
          <w:rFonts w:ascii="Amiri" w:hAnsi="Amiri" w:eastAsia="Amiri" w:cs="Amiri"/>
          <w:color w:val="111111"/>
          <w:sz w:val="28"/>
          <w:sz w:val="28"/>
          <w:szCs w:val="28"/>
          <w:rtl w:val="true"/>
          <w:lang w:bidi="ar-SA"/>
        </w:rPr>
        <w:t>لا بالآية</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ذكر غير الأمّهات المحتجّ به في رواية سيف لايدلّ على نفيه أيضاً، مع أنه أجاب بالتحريم، و لعلّ السائل استفاد مقصوده منه؛ إذ ليس في السؤال ما يدلّ على موضع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 من أنّ الظهار سببه التشبيه بالنسب لا نفس النسب، فلايلزم من كون التشبيه بالنسب سبباً في التحريم كون التشبيه بالرضاع سبباً فيه،</w:t>
      </w:r>
      <w:r>
        <w:rPr>
          <w:rStyle w:val="FootnoteAnchor"/>
          <w:rtl w:val="true"/>
        </w:rPr>
        <w:footnoteReference w:id="21"/>
      </w:r>
      <w:r>
        <w:rPr>
          <w:rFonts w:ascii="IRNazanin" w:hAnsi="IRNazanin" w:eastAsia="IRNazanin"/>
          <w:color w:val="111111"/>
          <w:sz w:val="28"/>
          <w:sz w:val="28"/>
          <w:szCs w:val="28"/>
          <w:rtl w:val="true"/>
          <w:lang w:bidi="fa-IR"/>
        </w:rPr>
        <w:t>فلا دلالة في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يحرم من الرضاع ما يحرم من النسب</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إما تعليليّة مثلها</w:t>
      </w:r>
      <w:r>
        <w:rPr>
          <w:rStyle w:val="FootnoteAnchor"/>
          <w:rtl w:val="true"/>
        </w:rPr>
        <w:footnoteReference w:id="23"/>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خَطِيئَاتِهِمْ أُغْرِقُوا</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يَنْظُرُونَ مِنْ طَرْفٍ خَفِيٍّ </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و التقدير يحرم لأجل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الرضاع أو بسببه ما يحرم لأجل النسب أو بسببه، وكلاهما مفيد للمطلوب؛ لأنّ التحريم في الظهار بسبب النسب ثابت في الجملة إجماعاً، فيثبت بسبب الرضاع لذلك</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ثمّ اعرف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بالجدّة للأب أو للأُمّ محرّم إن قلنا بتحريمه بجميع المحرَّمات نسباً، و إن قصَّرناه على الأُمّ ففي تعدّيه إلى الجدّة مطلقاً وجهان، من أنّها أُمّ و من ثمّ حرمت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 الأصل في الاستعمال الحقيقة، و لأنّ الجدّات لأب أُمّهاتً ولدنه، و يشاركن الأُمّ في حصول العتق و سقوط القصاص و لزوم النفقة، و من جواز سلبها 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أُمّي بل أُمّ أبي و أُمّ أُمّي، و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أُمَّهَاتُهُمْ إِلَّا اللَّائِي وَلَدْنَهُمْ</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 هي مفيدة للحصر، ولكن قد يُدّعى في هذه كونها ولدته و لو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اخترناه من تعدّي التحريم إلى غير الأُمّ يتعدّى إلى الجدّة بطريق أولى، و إنّما تظهر فائدة الخلاف على القول بعدم التعدّي</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القائلين بالتعدّي إلى المحرَّمات بالرضاع عدم الفرق بين من لم تزل محرّمة بالرضاع، كجدّة الرضاع التي أرضعت أباه و أُمّه و أُخته من الرضاع المولودة بعد أن ارتضع، و بين من كانت تحلّ له ثم حرمت عليه، كالّتي أرضعته فصارت أُمّاً و كأُمّها و بنتها المولدة قبل أن ارتضع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فالتشبيه بالجميع يفيد التحريم؛ لعموم الأدلّة، و إن كان القسم الأوّل أقوى تحريماً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فرّق بين الأمرين و خصّ التحريم بالقسم الأوّل، و عموم الأدلّة يدفعه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يفهم من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شبّهها بظهر إحدى المحرّمات نسباً أو رضاعاً فيه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التعدّي عن الأُمّ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قصره على الأُمّ مطلقاً</w:t>
      </w:r>
      <w:r>
        <w:rPr>
          <w:rStyle w:val="FootnoteAnchor"/>
          <w:rtl w:val="true"/>
        </w:rPr>
        <w:footnoteReference w:id="30"/>
      </w:r>
      <w:r>
        <w:rPr>
          <w:rFonts w:ascii="Amiri" w:hAnsi="Amiri" w:eastAsia="Amiri" w:cs="Amiri"/>
          <w:color w:val="111111"/>
          <w:sz w:val="28"/>
          <w:sz w:val="28"/>
          <w:szCs w:val="28"/>
          <w:rtl w:val="true"/>
          <w:lang w:bidi="ar-SA"/>
        </w:rPr>
        <w:t>،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تعدّيه </w:t>
      </w:r>
    </w:p>
    <w:p>
      <w:pPr>
        <w:pStyle w:val="BookText"/>
        <w:rPr/>
      </w:pPr>
      <w:r>
        <w:rPr>
          <w:rFonts w:ascii="Amiri" w:hAnsi="Amiri" w:eastAsia="Amiri" w:cs="Amiri"/>
          <w:color w:val="111111"/>
          <w:sz w:val="28"/>
          <w:sz w:val="28"/>
          <w:szCs w:val="28"/>
          <w:rtl w:val="true"/>
          <w:lang w:bidi="ar-SA"/>
        </w:rPr>
        <w:t>و لو شبّهها بيد أُمّه أو شعرها أو بطنها،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لايقع؛ اقتصاراً على منطوق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بالوقوع رواية فيها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شبّهها بغير أُمّه بما عدا لفظة الظهر لم يقع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إن قصد به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إشكال، منشؤه اختصاص الظهار بمورد الشرع، و التمسّك في الحلّ بمقتضى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المحرّمات بالنسب و الرضاع مطلقاً</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بل الخلاف واقع في التعدّي إلى باقي المحرّمات نسباً مع القول بعدم التعدّي إلى المحرّمات بالرضاع، و في التعدّي من الأمّ إلى الأمّ من الرضاع و إن لم يتعدّ إلى المحارم النسبيّة، و في التعدّي إلى المحرّمات بالرضاع على تقدير القول بثبوته في محرّمات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تلخيص الخلاف في ذلك أنّه يقع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 الظهار على التشبيه بالأمّ 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تعدّيه إلى الأُمّ من الرضاع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الجدّات بها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محارم النسب بها لا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 محارم الرضاع بهنّ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محارم المصاهرة أيضاً و سيأتي</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شبّهها بيد أُمّه أو شعرها أو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قطعاً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النسبة الواقعة بين الزوجة و الأمّ أو ما في حكمها من المحارم بالتشبيه إمّا أن يكون بين جملة المشبّه و جملة المشبّه به، أو بين الجملة و غيره من الأجزاء، أو بين الجملة و الجملة، أو بين أجزاء المشبّه و جملة المشبّه به، أو بينه و بين ظهره، أو بينه و بين غيره من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جميع التقادير، إمّا أن يكون المشبّه به الأُمّ، أو غيرها من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فالأقسام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اثنا عشر، ذكر المصنّف بعضها، و نحن نشير إلى حكم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التشبيه بين جملة الزوجة و ظهر الأُمّ،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الظهار المدلول عليه بالنصّ</w:t>
      </w:r>
      <w:r>
        <w:rPr>
          <w:rStyle w:val="FootnoteAnchor"/>
          <w:rtl w:val="true"/>
        </w:rPr>
        <w:footnoteReference w:id="33"/>
      </w:r>
      <w:r>
        <w:rPr>
          <w:rFonts w:ascii="Amiri" w:hAnsi="Amiri" w:eastAsia="Amiri" w:cs="Amiri"/>
          <w:color w:val="111111"/>
          <w:sz w:val="28"/>
          <w:sz w:val="28"/>
          <w:szCs w:val="28"/>
          <w:rtl w:val="true"/>
          <w:lang w:bidi="ar-SA"/>
        </w:rPr>
        <w:t>و الإجماع، و هو الأصل فى مشروعيّة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ما يدلّ عليه من الكتاب</w:t>
      </w:r>
      <w:r>
        <w:rPr>
          <w:rStyle w:val="FootnoteAnchor"/>
          <w:rtl w:val="true"/>
        </w:rPr>
        <w:footnoteReference w:id="34"/>
      </w:r>
      <w:r>
        <w:rPr>
          <w:rFonts w:ascii="Amiri" w:hAnsi="Amiri" w:eastAsia="Amiri" w:cs="Amiri"/>
          <w:color w:val="111111"/>
          <w:sz w:val="28"/>
          <w:sz w:val="28"/>
          <w:szCs w:val="28"/>
          <w:rtl w:val="true"/>
          <w:lang w:bidi="ar-SA"/>
        </w:rPr>
        <w:t>و السنّة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في هذا القسم بين الحكم على ذات الزوجة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ذاتك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جملة هيكلها المحسوس،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الحكم بالتحريم متعلّق بالبدن و المفهوم عرفاً من الذات هو ذلك، و إن كان له عند آحاد المحقّقين معنى آخر لايراد ذلك في التعليقات الشرعيّة المحمولة على المفهومات العرفيّة و ما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بين جملة الزوجة و جزء آخر من الأُمّ غير الظهر، سواء كان ممّا لايتمّ حياتها بدونه كوجهها و رأسها و بطنها، أم يتمّ بدونه كيدها، و سواء حلّتها الحياة أم لا كشعرها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وقوع الظهار كذلك قولان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الشيخ في كتبه الثلاثة، بل ادّعى عليه في الخلاف الإجماع</w:t>
      </w:r>
      <w:r>
        <w:rPr>
          <w:rStyle w:val="FootnoteAnchor"/>
          <w:rtl w:val="true"/>
        </w:rPr>
        <w:footnoteReference w:id="36"/>
      </w:r>
      <w:r>
        <w:rPr>
          <w:rFonts w:ascii="Amiri" w:hAnsi="Amiri" w:eastAsia="Amiri" w:cs="Amiri"/>
          <w:color w:val="111111"/>
          <w:sz w:val="28"/>
          <w:sz w:val="28"/>
          <w:szCs w:val="28"/>
          <w:rtl w:val="true"/>
          <w:lang w:bidi="ar-SA"/>
        </w:rPr>
        <w:t>، و تبعه عليه القاضي</w:t>
      </w:r>
      <w:r>
        <w:rPr>
          <w:rStyle w:val="FootnoteAnchor"/>
          <w:rtl w:val="true"/>
        </w:rPr>
        <w:footnoteReference w:id="37"/>
      </w:r>
      <w:r>
        <w:rPr>
          <w:rFonts w:ascii="Amiri" w:hAnsi="Amiri" w:eastAsia="Amiri" w:cs="Amiri"/>
          <w:color w:val="111111"/>
          <w:sz w:val="28"/>
          <w:sz w:val="28"/>
          <w:szCs w:val="28"/>
          <w:rtl w:val="true"/>
          <w:lang w:bidi="ar-SA"/>
        </w:rPr>
        <w:t>، و ابن حمزة</w:t>
      </w:r>
      <w:r>
        <w:rPr>
          <w:rStyle w:val="FootnoteAnchor"/>
          <w:rtl w:val="true"/>
        </w:rPr>
        <w:footnoteReference w:id="38"/>
      </w:r>
      <w:r>
        <w:rPr>
          <w:rFonts w:ascii="Amiri" w:hAnsi="Amiri" w:eastAsia="Amiri" w:cs="Amiri"/>
          <w:color w:val="111111"/>
          <w:sz w:val="28"/>
          <w:sz w:val="28"/>
          <w:szCs w:val="28"/>
          <w:rtl w:val="true"/>
          <w:lang w:bidi="ar-SA"/>
        </w:rPr>
        <w:t>، و قبله الصدوق في المقنع</w:t>
      </w:r>
      <w:r>
        <w:rPr>
          <w:rStyle w:val="FootnoteAnchor"/>
          <w:rtl w:val="true"/>
        </w:rPr>
        <w:footnoteReference w:id="39"/>
      </w:r>
      <w:r>
        <w:rPr>
          <w:rFonts w:ascii="IRNazanin" w:hAnsi="IRNazanin" w:eastAsia="IRNazanin"/>
          <w:color w:val="111111"/>
          <w:sz w:val="28"/>
          <w:sz w:val="28"/>
          <w:szCs w:val="28"/>
          <w:rtl w:val="true"/>
          <w:lang w:bidi="fa-IR"/>
        </w:rPr>
        <w:t xml:space="preserve">استناداً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شبهة دعوى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رواية سدير عن الصادق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يقول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كشعر أمّي أو ككفّها أو كبطنها أو كرجلها،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عنى به إن أراد به الظهار فهو الظهار</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اختاره المرتضى و جعله في الانتصار ممّا انفردت به الإماميّة</w:t>
      </w:r>
      <w:r>
        <w:rPr>
          <w:rStyle w:val="FootnoteAnchor"/>
          <w:rtl w:val="true"/>
        </w:rPr>
        <w:footnoteReference w:id="41"/>
      </w:r>
      <w:r>
        <w:rPr>
          <w:rFonts w:ascii="Amiri" w:hAnsi="Amiri" w:eastAsia="Amiri" w:cs="Amiri"/>
          <w:color w:val="111111"/>
          <w:sz w:val="28"/>
          <w:sz w:val="28"/>
          <w:szCs w:val="28"/>
          <w:rtl w:val="true"/>
          <w:lang w:bidi="ar-SA"/>
        </w:rPr>
        <w:t xml:space="preserve">، و تبعه عليه المتأخّرون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الوقوع؛ لأصالة الإباحة إلّا ما خرج عنها بدليل أو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الباقي على الأصل، و لأنّ الظهار مشتقّ من الظهر، فإذا علّق بغيره بطل الاسم المشتقّ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لصحيحة زرارة السابقة لما سأل الباقر علیه السلام عن كيفيّته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حرام مثل ظهر أُمّي</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رواية جميل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يقول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عليَّ كظهر عمّته أو خالته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الظهار</w:t>
      </w:r>
      <w:r>
        <w:rPr>
          <w:rFonts w:eastAsia="IRNazanin" w:cs="IRNazanin"/>
          <w:color w:val="111111"/>
          <w:sz w:val="28"/>
          <w:szCs w:val="28"/>
          <w:rtl w:val="true"/>
          <w:lang w:bidi="fa-IR"/>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يعطي المساواة، و كذا الجواب الأوّل بعد السؤال يعطي أنّ المعنى ذلك لا غير، و لأنّ اللفظ الصريح الظهار المشتقّ من الظهر، و صدق المشتقّ يستدعي صدق المشتقّ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حجّة الشيخ بمنع الإجماع في موضع النزاع، و العجب في معارضته لدعوى المرتضى ذلك، ما هذه إلّا مجازفة في الإجماع كما اتّفق ذلك لهما كثيراً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الخبر فهو صريح في المطلوب لكنّه ضعيف السند بجماعة، و هم سهل بن زياد عن غياث بن إبراهيم، عن محمّد بن سليمان، عن أبيه، عن سدير و سهل ضعيف غال</w:t>
      </w:r>
      <w:r>
        <w:rPr>
          <w:rStyle w:val="FootnoteAnchor"/>
          <w:rtl w:val="true"/>
        </w:rPr>
        <w:footnoteReference w:id="44"/>
      </w:r>
      <w:r>
        <w:rPr>
          <w:rFonts w:ascii="Amiri" w:hAnsi="Amiri" w:eastAsia="Amiri" w:cs="Amiri"/>
          <w:color w:val="111111"/>
          <w:sz w:val="28"/>
          <w:sz w:val="28"/>
          <w:szCs w:val="28"/>
          <w:rtl w:val="true"/>
          <w:lang w:bidi="ar-SA"/>
        </w:rPr>
        <w:t>، و غياث بتري</w:t>
      </w:r>
      <w:r>
        <w:rPr>
          <w:rStyle w:val="FootnoteAnchor"/>
          <w:rtl w:val="true"/>
        </w:rPr>
        <w:footnoteReference w:id="45"/>
      </w:r>
      <w:r>
        <w:rPr>
          <w:rFonts w:ascii="Amiri" w:hAnsi="Amiri" w:eastAsia="Amiri" w:cs="Amiri"/>
          <w:color w:val="111111"/>
          <w:sz w:val="28"/>
          <w:sz w:val="28"/>
          <w:szCs w:val="28"/>
          <w:rtl w:val="true"/>
          <w:lang w:bidi="ar-SA"/>
        </w:rPr>
        <w:t>، و محمّد بن سليمان ضعيف أو مشترك بينه و بين الثقة</w:t>
      </w:r>
      <w:r>
        <w:rPr>
          <w:rStyle w:val="FootnoteAnchor"/>
          <w:rtl w:val="true"/>
        </w:rPr>
        <w:footnoteReference w:id="46"/>
      </w:r>
      <w:r>
        <w:rPr>
          <w:rFonts w:ascii="Amiri" w:hAnsi="Amiri" w:eastAsia="Amiri" w:cs="Amiri"/>
          <w:color w:val="111111"/>
          <w:sz w:val="28"/>
          <w:sz w:val="28"/>
          <w:szCs w:val="28"/>
          <w:rtl w:val="true"/>
          <w:lang w:bidi="ar-SA"/>
        </w:rPr>
        <w:t>، فيسقط اعتباره، و كذلك أبوه</w:t>
      </w:r>
      <w:r>
        <w:rPr>
          <w:rStyle w:val="FootnoteAnchor"/>
          <w:rtl w:val="true"/>
        </w:rPr>
        <w:footnoteReference w:id="47"/>
      </w:r>
      <w:r>
        <w:rPr>
          <w:rFonts w:ascii="Amiri" w:hAnsi="Amiri" w:eastAsia="Amiri" w:cs="Amiri"/>
          <w:color w:val="111111"/>
          <w:sz w:val="28"/>
          <w:sz w:val="28"/>
          <w:szCs w:val="28"/>
          <w:rtl w:val="true"/>
          <w:lang w:bidi="ar-SA"/>
        </w:rPr>
        <w:t>، و حال سدير إلى الضعف أقرب منها إلى غيره</w:t>
      </w:r>
      <w:r>
        <w:rPr>
          <w:rStyle w:val="FootnoteAnchor"/>
          <w:rtl w:val="true"/>
        </w:rPr>
        <w:footnoteReference w:id="48"/>
      </w:r>
      <w:r>
        <w:rPr>
          <w:rFonts w:ascii="IRNazanin" w:hAnsi="IRNazanin" w:eastAsia="IRNazanin"/>
          <w:color w:val="111111"/>
          <w:sz w:val="28"/>
          <w:sz w:val="28"/>
          <w:szCs w:val="28"/>
          <w:rtl w:val="true"/>
          <w:lang w:bidi="fa-IR"/>
        </w:rPr>
        <w:t>، فسقط اعتبار الخبر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يشبّه الجملة بالجملة،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عليَّ كأُمّي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بدنك أو جسمك عليَّ كبدن أُمّي أو جسمها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وقوعه به قولان مبنيّان على السابق، فالشیخ حکم بوقوعه</w:t>
      </w:r>
      <w:r>
        <w:rPr>
          <w:rStyle w:val="FootnoteAnchor"/>
          <w:rtl w:val="true"/>
        </w:rPr>
        <w:footnoteReference w:id="49"/>
      </w:r>
      <w:r>
        <w:rPr>
          <w:rFonts w:ascii="Amiri" w:hAnsi="Amiri" w:eastAsia="Amiri" w:cs="Amiri"/>
          <w:color w:val="111111"/>
          <w:sz w:val="28"/>
          <w:sz w:val="28"/>
          <w:szCs w:val="28"/>
          <w:rtl w:val="true"/>
          <w:lang w:bidi="ar-SA"/>
        </w:rPr>
        <w:t>لأنّ صحّته مع تشبيهه بتلك الأجزاء يستلزم صحّته مع تشبيهها بنفسها بطريق أولى؛ لاشتمالها على تلك الأجزاء و زيادة و لاشتمال جملتها على ظهرها الذي هو مورد النصّ</w:t>
      </w:r>
      <w:r>
        <w:rPr>
          <w:rStyle w:val="FootnoteAnchor"/>
          <w:rtl w:val="true"/>
        </w:rPr>
        <w:footnoteReference w:id="50"/>
      </w:r>
      <w:r>
        <w:rPr>
          <w:rFonts w:ascii="Amiri" w:hAnsi="Amiri" w:eastAsia="Amiri" w:cs="Amiri"/>
          <w:color w:val="111111"/>
          <w:sz w:val="28"/>
          <w:sz w:val="28"/>
          <w:szCs w:val="28"/>
          <w:rtl w:val="true"/>
          <w:lang w:bidi="ar-SA"/>
        </w:rPr>
        <w:t>، فيدلّ عليه تضمّناً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الأصل و الأولويّة، فإنّ الأسباب الشرعيّة لاتقاس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يمنع من دخول الظاهر في ضمن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جاز أن يكون لتخصيصه فائدةً باعثة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الأكثر إلى عدم الوقوع بذلك؛ لفوات الشرط و هو التشبيه بالظهر،كما قد علم من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الخلاف ما إذا لم يقصد بذلك التشبيه بها في الكرامة و التعظيم، و إلّا لم يقع قولاً واحداً؛ لأنّ هذا اللفظ كناية فلابدّ فيها من القصد إلى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يشبّه بعض أجزاء الزوجة بجملة الأُمّ،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يدك أو رأسك أو فرجك عليَّ كأُمّي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القولان السابقان، فالشيخ صحّحه</w:t>
      </w:r>
      <w:r>
        <w:rPr>
          <w:rStyle w:val="FootnoteAnchor"/>
          <w:rtl w:val="true"/>
        </w:rPr>
        <w:footnoteReference w:id="51"/>
      </w:r>
      <w:r>
        <w:rPr>
          <w:rFonts w:ascii="Amiri" w:hAnsi="Amiri" w:eastAsia="Amiri" w:cs="Amiri"/>
          <w:color w:val="111111"/>
          <w:sz w:val="28"/>
          <w:sz w:val="28"/>
          <w:szCs w:val="28"/>
          <w:rtl w:val="true"/>
          <w:lang w:bidi="ar-SA"/>
        </w:rPr>
        <w:t>لأنّه مركّب من أمرين صحيحين، و هما تشبيه الجزء و التشبيه بالجزء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يشبّه جزء الزوجة بظهر الأُمّ،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يدك أو فرجك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صحيح أيضاً عند الشيخ</w:t>
      </w:r>
      <w:r>
        <w:rPr>
          <w:rStyle w:val="FootnoteAnchor"/>
          <w:rtl w:val="true"/>
        </w:rPr>
        <w:footnoteReference w:id="52"/>
      </w:r>
      <w:r>
        <w:rPr>
          <w:rFonts w:ascii="Amiri" w:hAnsi="Amiri" w:eastAsia="Amiri" w:cs="Amiri"/>
          <w:color w:val="111111"/>
          <w:sz w:val="28"/>
          <w:sz w:val="28"/>
          <w:szCs w:val="28"/>
          <w:rtl w:val="true"/>
          <w:lang w:bidi="ar-SA"/>
        </w:rPr>
        <w:t>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العدم؛ لما ذكرناه في الثاني من الأصل و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يشبّه الجزء بالجزء،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يدك عليَّ كيد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صحّحه الشيخ أيضاً مع قصد الظهار</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دليله مركّب من السابق و الأصح عدم الوقوع</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يقع بين الزوجة بصورها الستّ و غير الأُمّ من المحارم، فإن وقع بین الجملة </w:t>
      </w:r>
    </w:p>
    <w:p>
      <w:pPr>
        <w:pStyle w:val="BookText"/>
        <w:rPr/>
      </w:pPr>
      <w:r>
        <w:rPr>
          <w:rFonts w:ascii="Amiri" w:hAnsi="Amiri" w:eastAsia="Amiri" w:cs="Amiri"/>
          <w:color w:val="111111"/>
          <w:sz w:val="28"/>
          <w:sz w:val="28"/>
          <w:szCs w:val="28"/>
          <w:rtl w:val="true"/>
          <w:lang w:bidi="ar-SA"/>
        </w:rPr>
        <w:t>و لو شبّهها بمحرّمة بالمصاهرة تحريماً مؤبّداً كأُمّ الزوجة، و بنت زوجته المدخول بها، و زوجة الأب و الابن، لم يقع به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شبّهها بأخت الزوجة أو عمّتها أو خالتها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الظهر مشبّهاً به فقد تقدّم حكمه</w:t>
      </w:r>
      <w:r>
        <w:rPr>
          <w:rStyle w:val="FootnoteAnchor"/>
          <w:rtl w:val="true"/>
        </w:rPr>
        <w:footnoteReference w:id="54"/>
      </w:r>
      <w:r>
        <w:rPr>
          <w:rFonts w:ascii="Amiri" w:hAnsi="Amiri" w:eastAsia="Amiri" w:cs="Amiri"/>
          <w:color w:val="111111"/>
          <w:sz w:val="28"/>
          <w:sz w:val="28"/>
          <w:szCs w:val="28"/>
          <w:rtl w:val="true"/>
          <w:lang w:bidi="ar-SA"/>
        </w:rPr>
        <w:t>و أنّ الأقوى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وقع بينها و بين جزء من المحارم غير الظهر فقد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لايقع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يؤذن بعدم الخلاف و قال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علمائنا قال بوقوعه، و آخرين بعدمه</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نقل الخلاف ابن إدريس</w:t>
      </w:r>
      <w:r>
        <w:rPr>
          <w:rStyle w:val="FootnoteAnchor"/>
          <w:rtl w:val="true"/>
        </w:rPr>
        <w:footnoteReference w:id="56"/>
      </w:r>
      <w:r>
        <w:rPr>
          <w:rFonts w:ascii="Amiri" w:hAnsi="Amiri" w:eastAsia="Amiri" w:cs="Amiri"/>
          <w:color w:val="111111"/>
          <w:sz w:val="28"/>
          <w:sz w:val="28"/>
          <w:szCs w:val="28"/>
          <w:rtl w:val="true"/>
          <w:lang w:bidi="ar-SA"/>
        </w:rPr>
        <w:t>، و إن كان الأصحّ عدم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التقريب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وقع بين الجملة و الجملة بغير لفظ الظهر فالقولان</w:t>
      </w:r>
      <w:r>
        <w:rPr>
          <w:rStyle w:val="FootnoteAnchor"/>
          <w:rtl w:val="true"/>
        </w:rPr>
        <w:footnoteReference w:id="57"/>
      </w:r>
      <w:r>
        <w:rPr>
          <w:rFonts w:ascii="Amiri" w:hAnsi="Amiri" w:eastAsia="Amiri" w:cs="Amiri"/>
          <w:color w:val="111111"/>
          <w:sz w:val="28"/>
          <w:sz w:val="28"/>
          <w:szCs w:val="28"/>
          <w:rtl w:val="true"/>
          <w:lang w:bidi="ar-SA"/>
        </w:rPr>
        <w:t>، و أولى بالوقوع هنا منه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باقي الصور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هذه الأقسام الاثني عشر تتركّب مع كلّ واحدة من تلك الصور الستّ السابقة، و تتشعّب منها صور كثيرة لاتخفى مع حكمها عليك إذا لاحظت ما قرّرناه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شبّهها بمحرّمة بالمصاهرة تحريماً مؤبَّداً كأُمّ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الأصحاب؛ تمسّكاً باستصحاب الحلّ في غير موضع النصّ و الوفاق، و قد دلّت الآية على حكم تشبيهها بظهر الأُمّ</w:t>
      </w:r>
      <w:r>
        <w:rPr>
          <w:rStyle w:val="FootnoteAnchor"/>
          <w:rtl w:val="true"/>
        </w:rPr>
        <w:footnoteReference w:id="58"/>
      </w:r>
      <w:r>
        <w:rPr>
          <w:rFonts w:ascii="Amiri" w:hAnsi="Amiri" w:eastAsia="Amiri" w:cs="Amiri"/>
          <w:color w:val="111111"/>
          <w:sz w:val="28"/>
          <w:sz w:val="28"/>
          <w:szCs w:val="28"/>
          <w:rtl w:val="true"/>
          <w:lang w:bidi="ar-SA"/>
        </w:rPr>
        <w:t>، و الروايات على إلحاق المحرّمات من النسب و الرضاع</w:t>
      </w:r>
      <w:r>
        <w:rPr>
          <w:rStyle w:val="FootnoteAnchor"/>
          <w:rtl w:val="true"/>
        </w:rPr>
        <w:footnoteReference w:id="59"/>
      </w:r>
      <w:r>
        <w:rPr>
          <w:rFonts w:ascii="Amiri" w:hAnsi="Amiri" w:eastAsia="Amiri" w:cs="Amiri"/>
          <w:color w:val="111111"/>
          <w:sz w:val="28"/>
          <w:sz w:val="28"/>
          <w:szCs w:val="28"/>
          <w:rtl w:val="true"/>
          <w:lang w:bidi="ar-SA"/>
        </w:rPr>
        <w:t>، فيبقى الباقى على الأصل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في المختلف إلى وقوعه إذا شبّهها بالمحرّمات على التأبيد بالمصاهرة؛ محتجّاً </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كظهر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قالت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كظهر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بمشاركتها لمحرّمات النسب و الرضاع في العلّة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لايخفى قصور الدليل؛ لأنّ العلّة المستنبطة لاتقتضي تعدية الحكم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يمكن الاحتجاج له بصحيحة زرارة السابقة عن الباقر علیه السلام و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كلّ ذي محرم</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فتدخل المحرّمات بالمصاهرة مؤبّداً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لاينافيه قوله بعد ذلك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أختاً أو عمّةً أو خالةً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تعداد الثلاثة للمثال لا للحصر؛ للإجماع على عدم انحصار ذي المحرم في الثلاثة، و التمثيل بذي المحرم النسبي لايفيد الحصر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القول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لاتحرم مؤبّداً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كأخت الزوجة و بنت غير المدخول بها ممّا تحرم جمعاً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فحكمها حكم الأجنبيّة في جميع الأحكام؛ لأنّ تحريمها يزول بفراق الأم و الأخت، كما يحرم جميع نساء العالم على المتزوّج أربعاً، و تحلّ له كلّ واحدة ممّن ليست محرّمةً بغير ذلك على وجه التخيير بفراق واحدة من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بعدم الوقوع تشبيهها بعمّة الزوجة و خالتها؛ لأنّ تحريمهما ليس مؤبّداً عيناً و لا جمعاً مطلقاً، بل على وجه مخصوص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كظهر أبي أو أخي أو عمّي لم يكن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الحكم محلّ وفاق استصحاباً للحلّ في غير موضع النص</w:t>
      </w:r>
      <w:r>
        <w:rPr>
          <w:rStyle w:val="FootnoteAnchor"/>
          <w:rtl w:val="true"/>
        </w:rPr>
        <w:footnoteReference w:id="62"/>
      </w:r>
      <w:r>
        <w:rPr>
          <w:rFonts w:ascii="Amiri" w:hAnsi="Amiri" w:eastAsia="Amiri" w:cs="Amiri"/>
          <w:color w:val="111111"/>
          <w:sz w:val="28"/>
          <w:sz w:val="28"/>
          <w:szCs w:val="28"/>
          <w:rtl w:val="true"/>
          <w:lang w:bidi="ar-SA"/>
        </w:rPr>
        <w:t>، و لأنّ الرجل ليس محلّ الاستمتاع و لا في معرض الاستحلال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بذلك على خلاف بعض العامّة حيث حكم بوقوع الظهار بالتشبيه بمحارم الرجال</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المرأة ذلك فلايفيد التحريم، و لايلزم به شيء إجماعاً، و إنّما الحكم مختصّ بالرجال كالطلاق</w:t>
      </w:r>
      <w:r>
        <w:rPr>
          <w:rFonts w:eastAsia="Amiri" w:cs="Amiri" w:ascii="Amiri" w:hAnsi="Amiri"/>
          <w:color w:val="111111"/>
          <w:sz w:val="28"/>
          <w:szCs w:val="28"/>
          <w:rtl w:val="true"/>
          <w:lang w:bidi="ar-SA"/>
        </w:rPr>
        <w:t xml:space="preserve">. </w:t>
      </w:r>
      <w:bookmarkStart w:id="22" w:name="pg10270_80074"/>
    </w:p>
    <w:p>
      <w:pPr>
        <w:pStyle w:val="Heading4"/>
        <w:numPr>
          <w:ilvl w:val="3"/>
          <w:numId w:val="1"/>
        </w:numPr>
        <w:rPr/>
      </w:pPr>
      <w:bookmarkStart w:id="23" w:name="__RefHeading___Toc3859990_1067777946"/>
      <w:bookmarkStart w:id="24" w:name="_Toc9"/>
      <w:bookmarkEnd w:id="22"/>
      <w:bookmarkEnd w:id="23"/>
      <w:r>
        <w:rPr>
          <w:rtl w:val="true"/>
        </w:rPr>
        <w:t>في شرائط وقوع الظهار</w:t>
      </w:r>
      <w:bookmarkEnd w:id="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فى وقوعه حضور عدلين يسمعان نطق المظاهر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جعله يميناً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في وقوعه حضور عدلين يسمعان نطق المظاهر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من كلام الأصحاب الاتّفاق على اشتراط سماع الشاهدين لصيغة الظهار كالطلاق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في رواية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لايكون ظهار إلّا على طهر من غير جماع بشهادة شاهدين مسلمين</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اشتراط كونهما عدلين فلادليل عليه إلّا من عموم اشتراط العدالة في الشاهدين</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إثبات الحكم هنا بمثل ذلك ما لايخفى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الطلاق رواية بالاجتزاء فيهما بالإسلام</w:t>
      </w:r>
      <w:r>
        <w:rPr>
          <w:rStyle w:val="FootnoteAnchor"/>
          <w:rtl w:val="true"/>
        </w:rPr>
        <w:footnoteReference w:id="66"/>
      </w:r>
      <w:r>
        <w:rPr>
          <w:rFonts w:ascii="Amiri" w:hAnsi="Amiri" w:eastAsia="Amiri" w:cs="Amiri"/>
          <w:color w:val="111111"/>
          <w:sz w:val="28"/>
          <w:sz w:val="28"/>
          <w:szCs w:val="28"/>
          <w:rtl w:val="true"/>
          <w:lang w:bidi="ar-SA"/>
        </w:rPr>
        <w:t>كما أطلق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جعله يميناً لم يقع</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بجعله يميناً جعله جزاءً على فعل أو ترك؛ قصداً للزجر عنه أو البعث على الفعل، سواء تعلّق به أو بها،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كلّمت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تركت الصلاة، فأنت عليَّ كظهر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مشارك للشرط في الصورة، و مفارق له في المعنى؛ لأنّ المراد من الشرط مجرّد التعليق، و في اليمين ما ذكرناه من الزجر أو البعث، و الفارق بينهما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لم يقع مع جعله يميناً؛ للنهي عن اليمين بغير الله</w:t>
      </w:r>
      <w:r>
        <w:rPr>
          <w:rStyle w:val="FootnoteAnchor"/>
          <w:rtl w:val="true"/>
        </w:rPr>
        <w:footnoteReference w:id="67"/>
      </w:r>
      <w:r>
        <w:rPr>
          <w:rFonts w:ascii="Amiri" w:hAnsi="Amiri" w:eastAsia="Amiri" w:cs="Amiri"/>
          <w:color w:val="111111"/>
          <w:sz w:val="28"/>
          <w:sz w:val="28"/>
          <w:szCs w:val="28"/>
          <w:rtl w:val="true"/>
          <w:lang w:bidi="ar-SA"/>
        </w:rPr>
        <w:t>، و لأنّ الله تعالى جعل كفّارته غير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حسنة حمران السابقة</w:t>
      </w:r>
      <w:r>
        <w:rPr>
          <w:rStyle w:val="FootnoteAnchor"/>
          <w:rtl w:val="true"/>
        </w:rPr>
        <w:footnoteReference w:id="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ظهار في يمين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لايقع إلّا منجّزاً، فلو علّقه بانقضاء الشهر أو دخول الجمعة لم يقع على القول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يقع في إضرار؟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إشكال، منشؤه التمسّك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وقوعه موقوفاً على الشرط تردّد، أظهره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لايقع إلا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علّق الظهار على شرط، 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دخلت الدار أو فعلت كذا فأنت علىَّ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مريداً به مجرّد التعليق، فهل يقع الظهار عند وجود الشرط أم لا؟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المصنِّف، و جعله قول الأكثر و ما سواه نادراً</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لأصالة بقاء الحلّ، و الشكّ في السبب، و لرواية القاسم بن محمّد الزيّات أنّه قال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قلت لامرأتي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أُمّي إن فعلت كذا وكذا،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لاشيء عليك، و لاتعد</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 لأنّه نكرة في سياق نفي فيلزم منه نفي الكفّارة اللازمة للظهار، و نفي اللازم يدلّ على نفي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معناها مرسلة ابن بكير عن أبي الحسن علیه السلام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ابن فضّال مرسلاً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لايكون الظهار إلّا على مثل موضع الطلاق</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 و الطلاق لايقع معلّقاً على الشرط كما تقدّم</w:t>
      </w:r>
      <w:r>
        <w:rPr>
          <w:rStyle w:val="FootnoteAnchor"/>
          <w:rtl w:val="true"/>
        </w:rPr>
        <w:footnoteReference w:id="73"/>
      </w:r>
      <w:r>
        <w:rPr>
          <w:rFonts w:ascii="Amiri" w:hAnsi="Amiri" w:eastAsia="Amiri" w:cs="Amiri"/>
          <w:color w:val="111111"/>
          <w:sz w:val="28"/>
          <w:sz w:val="28"/>
          <w:szCs w:val="28"/>
          <w:rtl w:val="true"/>
          <w:lang w:bidi="ar-SA"/>
        </w:rPr>
        <w:t>فكذا الظهار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القول بوقوعه معلّقاً للشيخ</w:t>
      </w:r>
      <w:r>
        <w:rPr>
          <w:rStyle w:val="FootnoteAnchor"/>
          <w:rtl w:val="true"/>
        </w:rPr>
        <w:footnoteReference w:id="74"/>
      </w:r>
      <w:r>
        <w:rPr>
          <w:rFonts w:ascii="Amiri" w:hAnsi="Amiri" w:eastAsia="Amiri" w:cs="Amiri"/>
          <w:color w:val="111111"/>
          <w:sz w:val="28"/>
          <w:sz w:val="28"/>
          <w:szCs w:val="28"/>
          <w:rtl w:val="true"/>
          <w:lang w:bidi="ar-SA"/>
        </w:rPr>
        <w:t>و الصدوق و ابن حمزة</w:t>
      </w:r>
      <w:r>
        <w:rPr>
          <w:rStyle w:val="FootnoteAnchor"/>
          <w:rtl w:val="true"/>
        </w:rPr>
        <w:footnoteReference w:id="75"/>
      </w:r>
      <w:r>
        <w:rPr>
          <w:rFonts w:ascii="Amiri" w:hAnsi="Amiri" w:eastAsia="Amiri" w:cs="Amiri"/>
          <w:color w:val="111111"/>
          <w:sz w:val="28"/>
          <w:sz w:val="28"/>
          <w:szCs w:val="28"/>
          <w:rtl w:val="true"/>
          <w:lang w:bidi="ar-SA"/>
        </w:rPr>
        <w:t>،و اختاره المصنِّف في النافع</w:t>
      </w:r>
      <w:r>
        <w:rPr>
          <w:rStyle w:val="FootnoteAnchor"/>
          <w:rtl w:val="true"/>
        </w:rPr>
        <w:footnoteReference w:id="76"/>
      </w:r>
      <w:r>
        <w:rPr>
          <w:rFonts w:ascii="Amiri" w:hAnsi="Amiri" w:eastAsia="Amiri" w:cs="Amiri"/>
          <w:color w:val="111111"/>
          <w:sz w:val="28"/>
          <w:sz w:val="28"/>
          <w:szCs w:val="28"/>
          <w:rtl w:val="true"/>
          <w:lang w:bidi="ar-SA"/>
        </w:rPr>
        <w:t>و العلّامة</w:t>
      </w:r>
      <w:r>
        <w:rPr>
          <w:rStyle w:val="FootnoteAnchor"/>
          <w:rtl w:val="true"/>
        </w:rPr>
        <w:footnoteReference w:id="77"/>
      </w:r>
      <w:r>
        <w:rPr>
          <w:rFonts w:ascii="IRNazanin" w:hAnsi="IRNazanin" w:eastAsia="IRNazanin"/>
          <w:color w:val="111111"/>
          <w:sz w:val="28"/>
          <w:sz w:val="28"/>
          <w:szCs w:val="28"/>
          <w:rtl w:val="true"/>
          <w:lang w:bidi="fa-IR"/>
        </w:rPr>
        <w:t>، و أكثر المتأخرين؛ لصحيحة حريز عن الصادق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الظهار ظهاران، فأحدهما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أُمّي ثمّ يسكت، فذلك الذي يكفّر قبل أن يواقع،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عليَّ كظهر أُمّي إن فعلتِ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وجبت عليه الكفّارة حين الحنث</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صحيحة عبد الرحمن بن الحجاج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 على ضربين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الكفّارة فيه قبل المواقعة، و الآخر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يكفّر قبل الشروع فهو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أمّي، و لايقول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بك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يكفّر بعد المواقعة هو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أُمِّي إن قربتك</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لعموم الآيات الدالّة على وقوع الظهار</w:t>
      </w:r>
      <w:r>
        <w:rPr>
          <w:rStyle w:val="FootnoteAnchor"/>
          <w:rtl w:val="true"/>
        </w:rPr>
        <w:footnoteReference w:id="80"/>
      </w:r>
      <w:r>
        <w:rPr>
          <w:rFonts w:ascii="IRNazanin" w:hAnsi="IRNazanin" w:eastAsia="IRNazanin"/>
          <w:color w:val="111111"/>
          <w:sz w:val="28"/>
          <w:sz w:val="28"/>
          <w:szCs w:val="28"/>
          <w:rtl w:val="true"/>
          <w:lang w:bidi="fa-IR"/>
        </w:rPr>
        <w:t>المتناولة لموضع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8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لموافقته للحكمة، فإنّ المرأة قد تخالف الرجل في بعض مقاصده فتفعل ما يکرهه، و تمتنع عمّا يرغب فيه، و يكره الرجل طلاقها من حيث يرجو موافقتها، فيحتاج إلى تعليق ما يكره بفعل ما تكرهه أو ترك ما تريده، فإمّا أن تمتنع و تفعل فيحصل غرضه، أو تخالف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ذلك جزاءَ معصيتها لضرر جاء 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حجّة المانع ضعف طرق رواياته و بُعدها عن الدلالة، فإنّ القاسم بن محمّد مشترك بين الثقة و الضعيف</w:t>
      </w:r>
      <w:r>
        <w:rPr>
          <w:rStyle w:val="FootnoteAnchor"/>
          <w:rtl w:val="true"/>
        </w:rPr>
        <w:footnoteReference w:id="82"/>
      </w:r>
      <w:r>
        <w:rPr>
          <w:rFonts w:ascii="Amiri" w:hAnsi="Amiri" w:eastAsia="Amiri" w:cs="Amiri"/>
          <w:color w:val="111111"/>
          <w:sz w:val="28"/>
          <w:sz w:val="28"/>
          <w:szCs w:val="28"/>
          <w:rtl w:val="true"/>
          <w:lang w:bidi="ar-SA"/>
        </w:rPr>
        <w:t>، و الأخيرتان مرسلتان، و في طريقهما ابن فضّال</w:t>
      </w:r>
      <w:r>
        <w:rPr>
          <w:rStyle w:val="FootnoteAnchor"/>
          <w:rtl w:val="true"/>
        </w:rPr>
        <w:footnoteReference w:id="83"/>
      </w:r>
      <w:r>
        <w:rPr>
          <w:rFonts w:ascii="Amiri" w:hAnsi="Amiri" w:eastAsia="Amiri" w:cs="Amiri"/>
          <w:color w:val="111111"/>
          <w:sz w:val="28"/>
          <w:sz w:val="28"/>
          <w:szCs w:val="28"/>
          <w:rtl w:val="true"/>
          <w:lang w:bidi="ar-SA"/>
        </w:rPr>
        <w:t>و ابن بكير</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حالهما معلوم مع أنّه لم يذكر في الخبر الأوّل أنّ الشرط المعلّق عليه وجد، فجاز كون الحكم بعدم الكفّارة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لايدلّ على موضع النزاع و الظاهر أنّه يريد بموقع الطلاق الشرائط المعتبرة فيه من الشاهدين و طهارتها من الحيض و انتقالها إلى غير طهر المواقعة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سلّم اشتراط تجريد الطلاق عن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التنجيز الذي اعتبره المصنّف وجعله موضع الخلاف يخرّج به تعليقه على الشرط، و هو ما يجوز وقوعه عند التعليق وعدمه، و الصفة وهو الأمر الذي لا بدّ من وقوعه عادةً من غير احتمال تقدّم و لا تأخّر، كطلوع الشمس و انقضاء الشهر و دخول الجمعة، و مثّل التعليق بمثالين مختصّين بالصفة، و مقتضاه أنّ الخلاف واقع في تعليقه بكلّ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اشتراكهما في المقتضي و هو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 مختص بالشرط؛ عملاً بمدلول الأحاديث</w:t>
      </w:r>
      <w:r>
        <w:rPr>
          <w:rStyle w:val="FootnoteAnchor"/>
          <w:rtl w:val="true"/>
        </w:rPr>
        <w:footnoteReference w:id="85"/>
      </w:r>
      <w:r>
        <w:rPr>
          <w:rFonts w:ascii="Amiri" w:hAnsi="Amiri" w:eastAsia="Amiri" w:cs="Amiri"/>
          <w:color w:val="111111"/>
          <w:sz w:val="28"/>
          <w:sz w:val="28"/>
          <w:szCs w:val="28"/>
          <w:rtl w:val="true"/>
          <w:lang w:bidi="ar-SA"/>
        </w:rPr>
        <w:t>،فإنّ متعلّقها الشرط، فتبقى الصفة على أصل المنع و الأقوى جواز التعليق بالأمرين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 بأنّ الحكم بوقوعه معلّقاً على الشرط يستلزم وقوعه معلّقاً على الصفة بطريق أولى؛ لأنّ الصفة لازمة الوقوع بخلاف الشرط، فإنّه قد لايقع فيكون إرادة إيقاع الظهار في الأوّل أقوى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التعليق بالصفة أقوى؛ لأن الشرط يمكن وقوعه في الحال، و المعلّق على زمان </w:t>
      </w:r>
    </w:p>
    <w:p>
      <w:pPr>
        <w:pStyle w:val="BookText"/>
        <w:rPr/>
      </w:pPr>
      <w:r>
        <w:rPr>
          <w:rFonts w:ascii="Amiri" w:hAnsi="Amiri" w:eastAsia="Amiri" w:cs="Amiri"/>
          <w:color w:val="111111"/>
          <w:sz w:val="28"/>
          <w:sz w:val="28"/>
          <w:szCs w:val="28"/>
          <w:rtl w:val="true"/>
          <w:lang w:bidi="ar-SA"/>
        </w:rPr>
        <w:t>و لو قيّد بمدّة كأن يظاهر منها شهراً أو سنةً،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إشكال مستند إلى 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قصرت المدّة عن زمان التربّص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تخصيص للعموم بالحكم المخصوص و 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يستحيل وقوعه في زمان إيقاعه وإن تحتّم وقوعه في الزمان المستقبل، فالمكلّف لم يرد إيقاع الظهار في زمان إيقاعه على تقدير تعليقه على الصفة، بخلاف الشرط، فإنّ المقصود منه وقوع المشروط عند حصول الشرط، وهو ممكن الحصول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مثل هذا لايصلح لاختلاف الحكم، مع اشتراكهما في أصل التعليق، و 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قيّد بمدّة كأن يظاهر منها شهراً أو سنةً،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لايقع، و فيه إشكال مستند إلى 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وقّت الظهار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كظهر أمّي يوماً أو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شهر أو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صحّته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أجودها أنّه صحيح</w:t>
      </w:r>
      <w:r>
        <w:rPr>
          <w:rStyle w:val="FootnoteAnchor"/>
          <w:rtl w:val="true"/>
        </w:rPr>
        <w:footnoteReference w:id="86"/>
      </w:r>
      <w:r>
        <w:rPr>
          <w:rFonts w:ascii="Amiri" w:hAnsi="Amiri" w:eastAsia="Amiri" w:cs="Amiri"/>
          <w:color w:val="111111"/>
          <w:sz w:val="28"/>
          <w:sz w:val="28"/>
          <w:szCs w:val="28"/>
          <w:rtl w:val="true"/>
          <w:lang w:bidi="ar-SA"/>
        </w:rPr>
        <w:t>لعموم الآية</w:t>
      </w:r>
      <w:r>
        <w:rPr>
          <w:rStyle w:val="FootnoteAnchor"/>
          <w:rtl w:val="true"/>
        </w:rPr>
        <w:footnoteReference w:id="87"/>
      </w:r>
      <w:r>
        <w:rPr>
          <w:rFonts w:ascii="Amiri" w:hAnsi="Amiri" w:eastAsia="Amiri" w:cs="Amiri"/>
          <w:color w:val="111111"/>
          <w:sz w:val="28"/>
          <w:sz w:val="28"/>
          <w:szCs w:val="28"/>
          <w:rtl w:val="true"/>
          <w:lang w:bidi="ar-SA"/>
        </w:rPr>
        <w:t>، و لأنّه منكر من القول و زور كالظهار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فالمرويّ عن سلمة بن صخر الصحابي أنّه كان قد ظاهر من امرأته حتّى ينسلخ رمضان ثمّ وطئها في المدّة، فأمره النبي صلّى الله عليه و آله و سلّم بتحرير رقبة؟</w:t>
      </w:r>
      <w:r>
        <w:rPr>
          <w:rStyle w:val="FootnoteAnchor"/>
          <w:rtl w:val="true"/>
        </w:rPr>
        <w:footnoteReference w:id="8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Style w:val="FootnoteAnchor"/>
          <w:rtl w:val="true"/>
        </w:rPr>
        <w:footnoteReference w:id="89"/>
      </w:r>
      <w:r>
        <w:rPr>
          <w:rFonts w:ascii="Amiri" w:hAnsi="Amiri" w:eastAsia="Amiri" w:cs="Amiri"/>
          <w:color w:val="111111"/>
          <w:sz w:val="28"/>
          <w:sz w:val="28"/>
          <w:szCs w:val="28"/>
          <w:rtl w:val="true"/>
          <w:lang w:bidi="ar-SA"/>
        </w:rPr>
        <w:t xml:space="preserve">لأنّه لم يؤيّد التحريم، فأشبه ما إذا شبّهها بامرأة لاتحرم عليه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لصحيحة سعيد الأعرج عن الكاظم علیه السلام في رجل ظاهر من امرأته يوماً،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عليه شيء</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فإن زادت المدّة عن مدّة التربّص على تقدير المرافعة وقع وإلّا فلا؛ لأنّ الظهار يلزمه التربّص مدّة ثلاثة أشهر من حين الترافع وعدم الطلاق،و هو يدلّ بالاقتضاء على أنّ مدّته تزيد عن ذلك وإلّا لانتفى اللازم الدالّ على انتفاء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التفصيل ذهب في المختلف</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و الرواية الصحيحة لاتنافيه، وإن كان القول بالجواز مطلقاً لايخلو من قوّة، و إلى ترجيحه أشار المصنّف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تخصيص للعموم بالحكم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 أنّ الدليل من الآية عامٌّ للموقّت مطلقاً و المؤبّد، و الحكم بالتربّص تلك المدّة على تقدير المرافعة لايوجب تخصيص العامّ؛ لأنّ المرافعة حكم من أحكام الظهار، وهي غير لازمة، فجاز أن لاترافعه، فيحتاج إلى معرفة حكمه على هذا التقدير، و جاز أن لايعلمها</w:t>
      </w:r>
    </w:p>
    <w:p>
      <w:pPr>
        <w:pStyle w:val="BookText"/>
        <w:rPr/>
      </w:pPr>
      <w:r>
        <w:rPr>
          <w:rFonts w:ascii="Amiri" w:hAnsi="Amiri" w:eastAsia="Amiri" w:cs="Amiri"/>
          <w:color w:val="111111"/>
          <w:sz w:val="28"/>
          <w:sz w:val="28"/>
          <w:szCs w:val="28"/>
          <w:rtl w:val="true"/>
          <w:lang w:bidi="ar-SA"/>
        </w:rPr>
        <w:t>بإيقاعه و يريد معرفة حكمه مع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بتربّصها تلك المدّة على تقدير المرافعة محمول على ما لو كان مؤبّداً أو موقّتاً بزيادة عنها، فإذا قصرت كان حكمه تحريم العود إلى أن يكفّر من غير أن يتوقف على المرافعة أو أن يفيدها فائدة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في الخبر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ذلك؛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الظهار بمجرّده لايوجب عليه شيئاً، وإنّما تجب الكفّارة بالعود قبل انقضاء المدّة، و لمّا كانت مدّة اليوم قصيرة فإذا صبر حتّى مضى 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طريق للجمع بينه وبين عموم الآية</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 الرواية الواردة في صحّته مع توقيته شهراً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جملة الرواية عن سلمة بن صخر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امرءاً قد أوتيت من جماع النساء ما لم يؤتَ غيري، فلمّا دخل رمضان ظاهرت من امرأتي حتّى ينسلخ رمضان، فرقاً من أن أصيب في ليلتي شيئاً فأتتابع في ذلك إلى أن يدركني النهار و لا أقدر على أن أنزع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هي تخدمني من الليل إذ انكشف لي منها شيء فوثبت عليها، فلمّا أصبحت غدوت على قومي فأخبرتهم خبري و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معي إلى رسول الله صلّى الله عليه و آله و سلّم فأخبروه بأمري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لانفعل، نتخوّف أن ينزل فينا قرآن، أو يقول فينا رسول الله صلّی الله علیه و آله و سلّم مقالة يبقى علينا عارها، ولكن اذهب أنت و اصنع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حتّى أتيت النبي صلّى الله عليه وآله وسلّم فأخبرته خبري،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بذاك؟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بذاك،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بذاك؟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بذاك،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بذاك؟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ها أنا ذا فامض فيّ حكم الله عزّ وجلّ، فأنا صابر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فضربت صفحة رقبتي بيدي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والذي بعثك بالحقّ ما أصبحت أملك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فصم شهرين متتابعين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هل أصابني ما أصابني إلّا في الصوم؟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بعثك بالحقّ لقد بتنا ليلتنا وحشاً ما لنا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إلى صاحب صدقة بني زريق فقل له، فليدفعها إليك، فأطعم عنك و سقاً من تمر ستّين مسكيناً، ثمّ استعن بسائره عليك وعلى عيالك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إلى قومي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عندكم الضيق وسوء الرأي، و وجدت عند رسول الله صلّى الله عليه و آله و سلّم السعة و البركة، و قد أمر لي بصدقتكم فادفعوها إليّ،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فدفعوها إليّ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أن النبيّ صلّى الله عليه و آله و سلّم أعطاه مكتلاً فيه خمسة عشر صاعاً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ستّين مسكيناً، و ذلك لكلّ مسكين مدّ</w:t>
      </w:r>
      <w:r>
        <w:rPr>
          <w:rStyle w:val="FootnoteAnchor"/>
          <w:rtl w:val="true"/>
        </w:rPr>
        <w:footnoteReference w:id="9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أتينا على الرواية مع طولها لما تشتمل عليه من الفوائد و النكت </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الطلاق و لغا الظهار، قصده أو لم يقصده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الطلاق والظهار صحّ إذا كانت الطلقة رجعيّةً،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أنت علىَّ كظهر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تردّد؛ لأن النيّة لاتستقلّ بوقوع الظهار ما لم يكن اللفظ الصريح الذي لا احتمال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حرام كظهر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كظهر أُمّي وقع الطلاق و لغا 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حرام كظهر أُمّي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مسألتان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لامرأته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 أحوال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لاينوي شيئاً، فيقع الطلاق؛ لإتيانه بلفظه الصريح، و لایصحّّ الظهار؛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كظهر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استقلال له، وقد انقطع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بالفاصل الحاصل بينهما فخرج عن الأصل، و صار الأصل فيه أن تكون جملته صفة للطلاق، فحيث لم يقصد به الظهار لايقع؛ لأنّ ما عدا اللفظ الصريح لا يقع بدون النیّة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بمجموع كلامه الطلاق وحده، و يجعل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لتحريم الطلاق، بمعنى أنّها طالق طلاقاً يصيّرها كظهر أُمّه بالفعل كالبائن، أو بالقوّة كالرجعي، فيقع الطلاق دون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هذين القسمين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يقصد بالجميع الظهار، فيحصل الطلاق أيضاً دون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حصول الطلاق فللفظه الصريح، و الصريح لايقبل صرفه إلى غيره، حتى لو قال لزوجته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به من وثاق غيري أو نحو ذلك، لم يسمع و حكم به عليه، بخلاف ما لو أتی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بالكناية حتّى یصحّحه بها، و الأصل في ذلك و نظائره أنّ اللفظ الصريح إذا وجد نفاذاً فموضوعه لاينصرف إلى غيره بالنيّة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عدم حصول الظهار؛ فلأنّ الطلاق لاينصرف إلى الظهار، و الثاني ليس بصريح في الظهار كما بيّنّاه، و هو لم ينوِ به الظهار، و إنّما نواه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هنا لزوم الظهار؛ أخذاً بإقراره</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يقصد الطلاق و الظهار جميعاً، نظر فإن قصدهما بمجموع كلامه حصل الطلاق دون الظهار أيضاً، لما 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قصد الطلاق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الظهار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كظهر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كانت تبيّن بالطلاق لم یصحّ الظهار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رجعيّة ففي صحة الظهار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الظهار أيضاً، وهو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لأنّ كلمة الخطاب السابقة و إن صرفت أوّلاً إلى الطلاق لكنّها تعود إلى الظهار أيضاً مع النيّة، و يصير 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أنت كظهر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 الظهار</w:t>
      </w:r>
      <w:r>
        <w:rPr>
          <w:rStyle w:val="FootnoteAnchor"/>
          <w:rtl w:val="true"/>
        </w:rPr>
        <w:footnoteReference w:id="96"/>
      </w:r>
      <w:r>
        <w:rPr>
          <w:rFonts w:ascii="Amiri" w:hAnsi="Amiri" w:eastAsia="Amiri" w:cs="Amiri"/>
          <w:color w:val="111111"/>
          <w:sz w:val="28"/>
          <w:sz w:val="28"/>
          <w:szCs w:val="28"/>
          <w:rtl w:val="true"/>
          <w:lang w:bidi="ar-SA"/>
        </w:rPr>
        <w:t>لأن اللفظ ليس صريحاً فيه بانقطاع الخطاب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النيّة غير كافية عندنا في وقوع ما ليس بصريح، و إنّما يتوجّه هذا عند من يعتدّ بالكنايات</w:t>
      </w:r>
      <w:r>
        <w:rPr>
          <w:rStyle w:val="FootnoteAnchor"/>
          <w:rtl w:val="true"/>
        </w:rPr>
        <w:footnoteReference w:id="97"/>
      </w:r>
      <w:r>
        <w:rPr>
          <w:rFonts w:ascii="Amiri" w:hAnsi="Amiri" w:eastAsia="Amiri" w:cs="Amiri"/>
          <w:color w:val="111111"/>
          <w:sz w:val="28"/>
          <w:sz w:val="28"/>
          <w:szCs w:val="28"/>
          <w:rtl w:val="true"/>
          <w:lang w:bidi="ar-SA"/>
        </w:rPr>
        <w:t>اعتماداً على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بعض من اعتدّ بالكناية</w:t>
      </w:r>
      <w:r>
        <w:rPr>
          <w:rStyle w:val="FootnoteAnchor"/>
          <w:rtl w:val="true"/>
        </w:rPr>
        <w:footnoteReference w:id="98"/>
      </w:r>
      <w:r>
        <w:rPr>
          <w:rFonts w:ascii="Amiri" w:hAnsi="Amiri" w:eastAsia="Amiri" w:cs="Amiri"/>
          <w:color w:val="111111"/>
          <w:sz w:val="28"/>
          <w:sz w:val="28"/>
          <w:szCs w:val="28"/>
          <w:rtl w:val="true"/>
          <w:lang w:bidi="ar-SA"/>
        </w:rPr>
        <w:t xml:space="preserve">ردّ هذا أيضاً، بناء على ما ذكرناه من أنّا إذا استعملنا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إيقاع الطلاق لم يبق إلّا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كظهر أُمّى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لايصلح كناية؛ إذ لاخطاب فيه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فالأصل في هذا التركيب أن تكون الجملة الواقعة بعد النكرة وصفاً لها، فالعدول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 عن أصلها خلاف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كتعدّد الخبر على المبتدإ الواحد؛ لأنّ ذلك حيث يصلح الثاني للخبريّة بالوضع، و ليس كذلك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عدم وقوع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عكس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كظهر أمّي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قصدهما معاً وقع الظهار؛ لصراحته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وقوع الطلاق الوجهان؛ لأنّه من النيّة، و أنّه ليس في لفظ الطلاق مخاطبة و لا ما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على أصله من وقوعهما معاً كالسابق</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هنا بين الطلاق البائن و الرجعي؛ لأنّ طلاق المظاهر منها صحيح على التقديرين، و إنّما الشكّ من عدم صراحة الصيغة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علىَّ حرام كظهر أمّي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لايقع به الظهار، و هو قول الشيخ في المبسوط</w:t>
      </w:r>
      <w:r>
        <w:rPr>
          <w:rStyle w:val="FootnoteAnchor"/>
          <w:rtl w:val="true"/>
        </w:rPr>
        <w:footnoteReference w:id="100"/>
      </w:r>
      <w:r>
        <w:rPr>
          <w:rFonts w:ascii="Amiri" w:hAnsi="Amiri" w:eastAsia="Amiri" w:cs="Amiri"/>
          <w:color w:val="111111"/>
          <w:sz w:val="28"/>
          <w:sz w:val="28"/>
          <w:szCs w:val="28"/>
          <w:rtl w:val="true"/>
          <w:lang w:bidi="ar-SA"/>
        </w:rPr>
        <w:t>، سواء نواه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يخالف مذهب الشيخ في المسألة السابقة، بل وقوع الظهار هنا أقوى؛ لأنّ المتخلّل بين المسند والمسند إليه مؤكّد للحكم، بخلاف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حجّتهم ما سبق من انصراف الخطاب إلى الكلمة الأولى 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فيلغو، لأنّها لاتقتضي الحكم بالظهار،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خالياً عن المسند إليه لفظاً، و النيّة غيركافية، و من ثَمَّ عطف المصنِّف الحكم على السابق تنبيهاً على اشتراكهما في العلّة المقتضية لعدم الوقوع</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الأقوى وقوع الظهار هنا؛ لصحيحة زرارة السابقة عن الباقر علیه السلام و قد سأله عن الظهار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الرجل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حرام مثل ظهر أُمّي</w:t>
      </w:r>
      <w:r>
        <w:rPr>
          <w:rFonts w:eastAsia="IRNazanin" w:cs="IRNazanin"/>
          <w:color w:val="111111"/>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 xml:space="preserve">و هو نصّ في الباب، و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لغرضه فلاينافيه،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علىَّ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 من القصد إلى معناه، وهو يستلزم القصد إلى التحريم، فإذا نطق به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تجويز الشيخ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ظاهر إحدى زوجتيه إن ظاهر ضرّتها، ثمّ ظاهر الضرّة وقع الظهاران</w:t>
      </w:r>
    </w:p>
    <w:p>
      <w:pPr>
        <w:pStyle w:val="BookText"/>
        <w:rPr/>
      </w:pPr>
      <w:r>
        <w:rPr>
          <w:rFonts w:ascii="Amiri" w:hAnsi="Amiri" w:eastAsia="Amiri" w:cs="Amiri"/>
          <w:color w:val="111111"/>
          <w:sz w:val="28"/>
          <w:sz w:val="28"/>
          <w:szCs w:val="28"/>
          <w:rtl w:val="true"/>
          <w:lang w:bidi="ar-SA"/>
        </w:rPr>
        <w:t>و لو ظاهرها إن ظاهر فلانة الأجنبيّة، و قصد النطق بلفظ الظهار صحّ الظهار عند مواجهتها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قصد الظهار الشرعي لم يقع ظهار،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وصف، فتزوّجها و ظاهرها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الظهاران 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وقوعه بالكنايات</w:t>
      </w:r>
      <w:r>
        <w:rPr>
          <w:rStyle w:val="FootnoteAnchor"/>
          <w:rtl w:val="true"/>
        </w:rPr>
        <w:footnoteReference w:id="102"/>
      </w:r>
      <w:r>
        <w:rPr>
          <w:rFonts w:ascii="Amiri" w:hAnsi="Amiri" w:eastAsia="Amiri" w:cs="Amiri"/>
          <w:color w:val="111111"/>
          <w:sz w:val="28"/>
          <w:sz w:val="28"/>
          <w:szCs w:val="28"/>
          <w:rtl w:val="true"/>
          <w:lang w:bidi="ar-SA"/>
        </w:rPr>
        <w:t>و ما هو أبعد من هذه مع خلوّها من نصّ يقتضي صحّتها، و منعه من هذه الصيغة مع ورود النصّ</w:t>
      </w:r>
      <w:r>
        <w:rPr>
          <w:rStyle w:val="FootnoteAnchor"/>
          <w:rtl w:val="true"/>
        </w:rPr>
        <w:footnoteReference w:id="103"/>
      </w:r>
      <w:r>
        <w:rPr>
          <w:rFonts w:ascii="Amiri" w:hAnsi="Amiri" w:eastAsia="Amiri" w:cs="Amiri"/>
          <w:color w:val="111111"/>
          <w:sz w:val="28"/>
          <w:sz w:val="28"/>
          <w:szCs w:val="28"/>
          <w:rtl w:val="true"/>
          <w:lang w:bidi="ar-SA"/>
        </w:rPr>
        <w:t>الصحيح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ظاهر إحدى زوجتيه إن ظاهر ضرّتها، ثمّ ظاهر الضرّة وقع الظهاران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ظاهرها إن ظاهر فلانة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فروع تعليق الظهار على الشرط، فإن صحّحناه فعلّق ظهار إحدى زوجتيه على ظهاره من الأخرى صحّ، فإن ظاهر من المعلّق عليها صار مظاهراً منهما جميعاً، أمّا من إحداهما فبالتنجيز، و أمّا الأُخرى فبموجب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ظاهرت من إحداكما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أيّكما ظاهرت منها، فالأخرى علىَّ كظهر أُمّى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ظاهر من إحداهما صار مظاهراً من الأخرى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علّق ظهار زوجته على ظهار الأجنبيّة، فإن ذكر اسمها و جعل الأجنبيّة وصفاً لم يكن منعقداً و إن خاطب الأجنبیّة بالظهار؛ لأنّ الظهار من الأجنبیّة غير منعقد، إلّا أن يريد التلفّظ بالظهار، فيصير بالتلفّظ مظاهراً من زوجته، و يكون ذلك في قوّة تعليق ظهار زوجته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بتكليمه فلانة الأجنبیّة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أجنبيّة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غير تعيين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نكح الأجنبیّة ثمّ ظاهر منها فهل يقع الظهار بالزوجة الأولى؟ وجهان، من أنّه إذا نكحها خرجت عن كونها أجنبيّة، و من أنّ ظهارها تعلّق بظهار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الأجنبیّة في مثل ذلك للتعريف دون الشرط، كما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لاأدخل دار زيد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فباعها زيد ثُمَّ دخلها فإنَّ في حنثه وجهين؛ نظراً إلى ترجيح الإشارة أو الوصف</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ظاهرت من فلانة أجنبیّة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 هي أجنبیّة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علي كظهر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فسواء نكحها و ظاهر عنها أو خاطبها بلفظ الظهار قبل أن ينكحها لايصير مظاهراً من زوجته التي علّق ظهارها؛ لأنّه شرط وقوع الظهار في حال كونها أجنبیّة، و ما دامت أجنبیّة لاينعقد ظهارها، وإذا انعقد لم تكن أجنبیّة، فكان التعليق بشيء محال، و هو كما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بعت الخمر فأنت عليَّ كظهر أُمّي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أتى بلفظ البيع لايقع الظهار؛ تنزيلاً لألفاظ العقود على العقود الصحيحة، إلّا أن يقصد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وصف بكونها أجنبیّة و لاحاليّة</w:t>
      </w:r>
      <w:r>
        <w:rPr>
          <w:rStyle w:val="FootnoteAnchor"/>
          <w:rtl w:val="true"/>
        </w:rPr>
        <w:footnoteReference w:id="104"/>
      </w:r>
      <w:r>
        <w:rPr>
          <w:rFonts w:ascii="IRNazanin" w:hAnsi="IRNazanin" w:eastAsia="IRNazanin"/>
          <w:color w:val="111111"/>
          <w:sz w:val="28"/>
          <w:sz w:val="28"/>
          <w:szCs w:val="28"/>
          <w:rtl w:val="true"/>
          <w:lang w:bidi="fa-IR"/>
        </w:rPr>
        <w:t>، و كانت أجنبیّة، صحّ التعليق و توقّف على ظهارها صحيحاً، فإن تزوّجها و ظاهر منها وقع الظهاران؛ لحصول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نسبة هذا القول إلى الشيخ</w:t>
      </w:r>
      <w:r>
        <w:rPr>
          <w:rStyle w:val="FootnoteAnchor"/>
          <w:rtl w:val="true"/>
        </w:rPr>
        <w:footnoteReference w:id="105"/>
      </w:r>
      <w:r>
        <w:rPr>
          <w:rFonts w:ascii="IRNazanin" w:hAnsi="IRNazanin" w:eastAsia="IRNazanin"/>
          <w:color w:val="111111"/>
          <w:sz w:val="28"/>
          <w:sz w:val="28"/>
          <w:szCs w:val="28"/>
          <w:rtl w:val="true"/>
          <w:lang w:bidi="fa-IR"/>
        </w:rPr>
        <w:t>تشعر بشبهة فيه، غير أنّه حسن كما ذكره المصنّف لوجود المقتضي و انتفاء المانع؛ إذ ليس إلّا كونها حال التعليق أجنبیّة، و ذلك لايصلح للمانعيّة، إذ لم يقيّد تعليق الظهار بها بوقت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الشبهة أنّ الشرط كما علمت من تعريفه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يجوز حصوله حال التعليق وعدمه، و ظهار الأجنبیّة حال التعليق غير صحيح، و مجرّد الصورة غير مقصود، من تعريفه؛ لأنّه </w:t>
      </w:r>
      <w:bookmarkStart w:id="25" w:name="pg10270_80086"/>
    </w:p>
    <w:p>
      <w:pPr>
        <w:pStyle w:val="Heading3"/>
        <w:numPr>
          <w:ilvl w:val="2"/>
          <w:numId w:val="1"/>
        </w:numPr>
        <w:rPr/>
      </w:pPr>
      <w:bookmarkStart w:id="26" w:name="__RefHeading___Toc3859992_1067777946"/>
      <w:bookmarkStart w:id="27" w:name="_Toc10"/>
      <w:bookmarkEnd w:id="25"/>
      <w:bookmarkEnd w:id="26"/>
      <w:r>
        <w:rPr>
          <w:rtl w:val="true"/>
        </w:rPr>
        <w:t>الأمر الثاني في المظاهر و من يصحّ الظهار منه</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في المظاهر</w:t>
      </w:r>
    </w:p>
    <w:p>
      <w:pPr>
        <w:pStyle w:val="BookText"/>
        <w:rPr/>
      </w:pPr>
      <w:r>
        <w:rPr>
          <w:rFonts w:ascii="Amiri" w:hAnsi="Amiri" w:eastAsia="Amiri" w:cs="Amiri"/>
          <w:color w:val="111111"/>
          <w:sz w:val="28"/>
          <w:sz w:val="28"/>
          <w:szCs w:val="28"/>
          <w:rtl w:val="true"/>
          <w:lang w:bidi="ar-SA"/>
        </w:rPr>
        <w:t>و يعتبر فيه البلوغ و كمال العقل و الاختيار و القصد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فلایصحّ ظهار الطفل و لا المجنون و لا المكره و لا فاقد القصد بالسكر و الإغماء أو الغضب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ظاهر و نوى الطلاق لم يقع طلاق؛ لعدم اللفظ المعتبر، و لا ظهار؛ لعدم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فكان ذلك أشبه بالصفة المتأخّرة عن التعليق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 أنّ ذلك لايخرجه عن أصل الشرطيّة؛ لأنّ المراد بتجویز وجوده بحسب ذاته مع قطع النظر عن الموانع الخارجيّة المقتضية لامتناعه حينئذ، و الأمر هنا كذلك، فإنّ 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حينئذٍ ممكن بحسب ذاته، وإنّما تخلّف لفقد شرط من شروطه و هو كونها أجنبیّة، كما يتخلّف لفقد غيره من الشروط التي لا يتيسّر ذلك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فاشتراط إمكان حصول الشرط حال التعليق لادليل عليه، و مفهوم الشرط متحقّق على التقديرين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ظاهر ونوى الطلاق لم يقع طلاق؛ لعدم اللفظ المعتبر، و لاظهار؛ لعدم القصد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هذا الحكم على أصولنا المفيدة لعدم وقوع الطلاق و الظهار بالكنايات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به على خلاف العامّة حيث جوّزوا وقوع الطلاق بلفظ الظهار مع النيّة، حتى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نوى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كظهر 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وقع عليه طلاقان إن كان الأوّل رجعيّاً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یصحّ ظهار الخصيّ و المجبوب إن قلنا بتحريم ما عدا الوطء مثل</w:t>
      </w:r>
    </w:p>
    <w:p>
      <w:pPr>
        <w:pStyle w:val="BookText"/>
        <w:rPr/>
      </w:pPr>
      <w:r>
        <w:rPr>
          <w:rFonts w:ascii="Amiri" w:hAnsi="Amiri" w:eastAsia="Amiri" w:cs="Amiri"/>
          <w:color w:val="111111"/>
          <w:sz w:val="28"/>
          <w:sz w:val="28"/>
          <w:szCs w:val="28"/>
          <w:rtl w:val="true"/>
          <w:lang w:bidi="ar-SA"/>
        </w:rPr>
        <w:t>الملامسة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یصحّ الظهار من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منعه الشيخ؛ التفاتاً إلى تعذّر الكفّارة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المعتمد ضعيف لإمكانها بتقديم الإسلام و یصحّ من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یصحّ ظهار الخصيّ و المجبوب إن قلنا بتحريم ما عدا الوطء مثل الملامسة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الخصيّ و المجبوب إن بقي لهما ما يمكنهما به الجماع المتحقّق بإدخال الحشفة أو قدرها فظهارهما صحيح مطلقاً؛ لأنّهما حينئذٍ في معنى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يمكنهما الإيلاج بني وقوع ظهارهما على أنّ الظهار هل يختصّ تحريمه بالوطء، أو يشمل جميع الاستمتاعات؟ وسيأتي الكلام فيه</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حرّمنا الجميع صحّ ظهارهما أيضاً؛ لبقاء فائدة الظهار بالامتناع عن الاستمتاع غير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باختصاصه بالوطء لم يقع منهما ظهار؛ لعدم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نشترط الدخول بالمظاهرة، وإلّا لم يقع منهما مطلقاً، حيث لايتحقّق منهما الدخول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وكذا یصحّ الظهار من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منعه الشيخ؛ التفاتاً إلى تعذّر الكفّارة، و المعتمد ضعيف، لإمكانها بتقديم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من العبد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 القولين</w:t>
      </w:r>
      <w:r>
        <w:rPr>
          <w:rStyle w:val="FootnoteAnchor"/>
          <w:rtl w:val="true"/>
        </w:rPr>
        <w:footnoteReference w:id="108"/>
      </w:r>
      <w:r>
        <w:rPr>
          <w:rFonts w:ascii="Amiri" w:hAnsi="Amiri" w:eastAsia="Amiri" w:cs="Amiri"/>
          <w:color w:val="111111"/>
          <w:sz w:val="28"/>
          <w:sz w:val="28"/>
          <w:szCs w:val="28"/>
          <w:rtl w:val="true"/>
          <w:lang w:bidi="ar-SA"/>
        </w:rPr>
        <w:t>وقوع الظهار من كلّ زوج مكلّف، مسلماً كان أم كافراً، حرّاً كان أم عبداً؛ لعموم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يُظَاهِرُونَ مِنْ نِسَائِهِمْ</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و غيره من العمومات</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الكلام هنا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من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منعه الشيخ في كتابي الفروع</w:t>
      </w:r>
      <w:r>
        <w:rPr>
          <w:rStyle w:val="FootnoteAnchor"/>
          <w:rtl w:val="true"/>
        </w:rPr>
        <w:footnoteReference w:id="111"/>
      </w:r>
      <w:r>
        <w:rPr>
          <w:rFonts w:ascii="Amiri" w:hAnsi="Amiri" w:eastAsia="Amiri" w:cs="Amiri"/>
          <w:color w:val="111111"/>
          <w:sz w:val="28"/>
          <w:sz w:val="28"/>
          <w:szCs w:val="28"/>
          <w:rtl w:val="true"/>
          <w:lang w:bidi="ar-SA"/>
        </w:rPr>
        <w:t>و ابن الجنيد</w:t>
      </w:r>
      <w:r>
        <w:rPr>
          <w:rStyle w:val="FootnoteAnchor"/>
          <w:rtl w:val="true"/>
        </w:rPr>
        <w:footnoteReference w:id="112"/>
      </w:r>
      <w:r>
        <w:rPr>
          <w:rFonts w:ascii="Amiri" w:hAnsi="Amiri" w:eastAsia="Amiri" w:cs="Amiri"/>
          <w:color w:val="111111"/>
          <w:sz w:val="28"/>
          <w:sz w:val="28"/>
          <w:szCs w:val="28"/>
          <w:rtl w:val="true"/>
          <w:lang w:bidi="ar-SA"/>
        </w:rPr>
        <w:t>، استناداً إلى أن من یصحّ ظهاره تصحّ الكفّارة منه؛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يُظَاهِرُونَ مِنْ نِسَائِهِمْ ثُمَّ يَعُودُونَ لِمَا قَالُواْ فَتَحْرِيرُ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13"/>
      </w:r>
      <w:r>
        <w:rPr>
          <w:rFonts w:ascii="IRNazanin" w:hAnsi="IRNazanin" w:eastAsia="IRNazanin"/>
          <w:color w:val="111111"/>
          <w:sz w:val="28"/>
          <w:sz w:val="28"/>
          <w:szCs w:val="28"/>
          <w:rtl w:val="true"/>
          <w:lang w:bidi="fa-IR"/>
        </w:rPr>
        <w:t>، والكافر لاتصحّ منه الكفّارة؛ لأنّها عبادة تفتقر إلى النيّة، و لأنّ الظهار يفيد تحريماً یصحّ إزالته بالكفّارة، فلايتحقّق في حقّ الكافر، فلا يترتّب أثر الظهار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أجيب عليه بمنع عدم صحّتها منه مطلقاً، غايته توقّفها على شرط و هو قادر عليه بالإسلام</w:t>
      </w:r>
      <w:r>
        <w:rPr>
          <w:rStyle w:val="FootnoteAnchor"/>
          <w:rtl w:val="true"/>
        </w:rPr>
        <w:footnoteReference w:id="114"/>
      </w:r>
      <w:r>
        <w:rPr>
          <w:rFonts w:ascii="Amiri" w:hAnsi="Amiri" w:eastAsia="Amiri" w:cs="Amiri"/>
          <w:color w:val="111111"/>
          <w:sz w:val="28"/>
          <w:sz w:val="28"/>
          <w:szCs w:val="28"/>
          <w:rtl w:val="true"/>
          <w:lang w:bidi="ar-SA"/>
        </w:rPr>
        <w:t>، كتكليف المسلم بالصلاة المتوقّفة على شرط الطهارة، و هو غير متطهّر لكنّه قادر على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الذمّي مُقرّ على دينه، فحمله على الإسلام لذلك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الخطاب بالعبادة البدنيّة لايتوجّه على الكافر الأصلى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بأنّا لانحمل الذمّي على الإسلام و لانخاطبه بالصوم، 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لانمكّنك من الوطء إلّا هكذا، فإمّا أن تتركه أو تسلك طريق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من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علمائنا أجمع</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خالف فيه بعض العامة؛ نظراً إلى أنّ لازم الظهار إيجاب تحرير الرقبة، و العبد لايملكها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28" w:name="pg10270_80089"/>
    </w:p>
    <w:p>
      <w:pPr>
        <w:pStyle w:val="Heading3"/>
        <w:numPr>
          <w:ilvl w:val="2"/>
          <w:numId w:val="1"/>
        </w:numPr>
        <w:rPr/>
      </w:pPr>
      <w:bookmarkStart w:id="29" w:name="__RefHeading___Toc3859994_1067777946"/>
      <w:bookmarkStart w:id="30" w:name="_Toc11"/>
      <w:bookmarkEnd w:id="28"/>
      <w:bookmarkEnd w:id="29"/>
      <w:r>
        <w:rPr>
          <w:rtl w:val="true"/>
        </w:rPr>
        <w:t>الأمر الثالث في المظاهرة و من يقع علیه الظهار</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في المظاهرة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يشترط أن تكون منكوحةً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لايقع بالأجنبیّة و لو علّقه على</w:t>
      </w:r>
    </w:p>
    <w:p>
      <w:pPr>
        <w:pStyle w:val="BookText"/>
        <w:rPr/>
      </w:pPr>
      <w:r>
        <w:rPr>
          <w:rFonts w:ascii="Amiri" w:hAnsi="Amiri" w:eastAsia="Amiri" w:cs="Amiri"/>
          <w:color w:val="111111"/>
          <w:sz w:val="28"/>
          <w:sz w:val="28"/>
          <w:szCs w:val="28"/>
          <w:rtl w:val="true"/>
          <w:lang w:bidi="ar-SA"/>
        </w:rPr>
        <w:t>النكاح</w:t>
      </w:r>
    </w:p>
    <w:p>
      <w:pPr>
        <w:pStyle w:val="BookText"/>
        <w:rPr/>
      </w:pPr>
      <w:r>
        <w:rPr>
          <w:rFonts w:ascii="Amiri" w:hAnsi="Amiri" w:eastAsia="Amiri" w:cs="Amiri"/>
          <w:color w:val="111111"/>
          <w:sz w:val="28"/>
          <w:sz w:val="28"/>
          <w:szCs w:val="28"/>
          <w:rtl w:val="true"/>
          <w:lang w:bidi="ar-SA"/>
        </w:rPr>
        <w:t>و أن تكون طاهراً طهراً لم يجامعها فيه، إذا كان زوجها حاضراً و كانت مثلها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غائباً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حاضراً وهي يائسة أو لم تبلغ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 وجوبها في الآية مشروط بوجدانها،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شَهْرَيْنِ مُتَتَابِعَيْنِ مِن قَبْلِ أَن يَتَمَاسّا</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و العبد غير واجد فيلزمه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ويشترط أن تكون منكوحة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لايقع بالأجنبیّة و لو علّقه على النكاح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عندنا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أن الله تعالى علّق الظهار على الأزواج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يُظَاهِرُونَ مِنْ نِسَائِهِم</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فيبقى غيرهنّ على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خالف فيه بعض العامّة، فصحّحه بالأجنبیّة إذا علّقه بنكاحها</w:t>
      </w:r>
      <w:r>
        <w:rPr>
          <w:rStyle w:val="FootnoteAnchor"/>
          <w:rtl w:val="true"/>
        </w:rPr>
        <w:footnoteReference w:id="118"/>
      </w:r>
      <w:r>
        <w:rPr>
          <w:rFonts w:ascii="Amiri" w:hAnsi="Amiri" w:eastAsia="Amiri" w:cs="Amiri"/>
          <w:color w:val="111111"/>
          <w:sz w:val="28"/>
          <w:sz w:val="28"/>
          <w:szCs w:val="28"/>
          <w:rtl w:val="true"/>
          <w:lang w:bidi="ar-SA"/>
        </w:rPr>
        <w:t>، كما صحّحه كذلك في الطلاق</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تكون طاهراً طهراً لم يجامعها فيه، إذا كان زوجها حاضراً وكانت مثلها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غائباً صحّ</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الشرط أيضاً موضع وفاق بين علمائنا و هو مختصّ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مستنده نصوصهم الصحيحة الدالّة عليه، كصحيحة زرارة عن أبي جعفر علیه السلام و قد سأله عن كيفيّته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اشتراط الدخول تردّد، والمرويّ اشتراطه، و القول الآخر مستنده</w:t>
      </w:r>
    </w:p>
    <w:p>
      <w:pPr>
        <w:pStyle w:val="BookText"/>
        <w:rPr/>
      </w:pPr>
      <w:r>
        <w:rPr>
          <w:rFonts w:ascii="Amiri" w:hAnsi="Amiri" w:eastAsia="Amiri" w:cs="Amiri"/>
          <w:color w:val="111111"/>
          <w:sz w:val="28"/>
          <w:sz w:val="28"/>
          <w:szCs w:val="28"/>
          <w:rtl w:val="true"/>
          <w:lang w:bidi="ar-SA"/>
        </w:rPr>
        <w:t>التمسّك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لامرأته و هي طاهر في غير 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حرام كظهر أُمّي</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رواية حمران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ظهار إلّا على طهر بغير جماع بشهادة شاهدين مسلمين</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قول أبي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الظهار إلّا على مثل موضع الطلاق</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اشتراط الدخول تردّد، و المروىّ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الأصحاب في اشتراط الدخول بالمرأة و عدمه بالنسبة إلى صحّة الظهار، فذهب المفيد</w:t>
      </w:r>
      <w:r>
        <w:rPr>
          <w:rStyle w:val="FootnoteAnchor"/>
          <w:rtl w:val="true"/>
        </w:rPr>
        <w:footnoteReference w:id="123"/>
      </w:r>
      <w:r>
        <w:rPr>
          <w:rFonts w:ascii="IRNazanin" w:hAnsi="IRNazanin" w:eastAsia="IRNazanin"/>
          <w:color w:val="111111"/>
          <w:sz w:val="28"/>
          <w:sz w:val="28"/>
          <w:szCs w:val="28"/>
          <w:rtl w:val="true"/>
          <w:lang w:bidi="fa-IR"/>
        </w:rPr>
        <w:t>و المرتضى</w:t>
      </w:r>
      <w:r>
        <w:rPr>
          <w:rStyle w:val="FootnoteAnchor"/>
          <w:rtl w:val="true"/>
        </w:rPr>
        <w:footnoteReference w:id="124"/>
      </w:r>
      <w:r>
        <w:rPr>
          <w:rFonts w:ascii="Amiri" w:hAnsi="Amiri" w:eastAsia="Amiri" w:cs="Amiri"/>
          <w:color w:val="111111"/>
          <w:sz w:val="28"/>
          <w:sz w:val="28"/>
          <w:szCs w:val="28"/>
          <w:rtl w:val="true"/>
          <w:lang w:bidi="ar-SA"/>
        </w:rPr>
        <w:t>و ابن إدريس</w:t>
      </w:r>
      <w:r>
        <w:rPr>
          <w:rStyle w:val="FootnoteAnchor"/>
          <w:rtl w:val="true"/>
        </w:rPr>
        <w:footnoteReference w:id="125"/>
      </w:r>
      <w:r>
        <w:rPr>
          <w:rFonts w:ascii="Amiri" w:hAnsi="Amiri" w:eastAsia="Amiri" w:cs="Amiri"/>
          <w:color w:val="111111"/>
          <w:sz w:val="28"/>
          <w:sz w:val="28"/>
          <w:szCs w:val="28"/>
          <w:rtl w:val="true"/>
          <w:lang w:bidi="ar-SA"/>
        </w:rPr>
        <w:t>و جماعة</w:t>
      </w:r>
      <w:r>
        <w:rPr>
          <w:rStyle w:val="FootnoteAnchor"/>
          <w:rtl w:val="true"/>
        </w:rPr>
        <w:footnoteReference w:id="126"/>
      </w:r>
      <w:r>
        <w:rPr>
          <w:rFonts w:ascii="Amiri" w:hAnsi="Amiri" w:eastAsia="Amiri" w:cs="Amiri"/>
          <w:color w:val="111111"/>
          <w:sz w:val="28"/>
          <w:sz w:val="28"/>
          <w:szCs w:val="28"/>
          <w:rtl w:val="true"/>
          <w:lang w:bidi="ar-SA"/>
        </w:rPr>
        <w:t>إلى عدمه؛ لعموم الآية</w:t>
      </w:r>
      <w:r>
        <w:rPr>
          <w:rStyle w:val="FootnoteAnchor"/>
          <w:rtl w:val="true"/>
        </w:rPr>
        <w:footnoteReference w:id="127"/>
      </w:r>
      <w:r>
        <w:rPr>
          <w:rFonts w:ascii="Amiri" w:hAnsi="Amiri" w:eastAsia="Amiri" w:cs="Amiri"/>
          <w:color w:val="111111"/>
          <w:sz w:val="28"/>
          <w:sz w:val="28"/>
          <w:szCs w:val="28"/>
          <w:rtl w:val="true"/>
          <w:lang w:bidi="ar-SA"/>
        </w:rPr>
        <w:t>و ذهب الشيخ</w:t>
      </w:r>
      <w:r>
        <w:rPr>
          <w:rStyle w:val="FootnoteAnchor"/>
          <w:rtl w:val="true"/>
        </w:rPr>
        <w:footnoteReference w:id="128"/>
      </w:r>
      <w:r>
        <w:rPr>
          <w:rFonts w:ascii="IRNazanin" w:hAnsi="IRNazanin" w:eastAsia="IRNazanin"/>
          <w:color w:val="111111"/>
          <w:sz w:val="28"/>
          <w:sz w:val="28"/>
          <w:szCs w:val="28"/>
          <w:rtl w:val="true"/>
          <w:lang w:bidi="fa-IR"/>
        </w:rPr>
        <w:t>و الصدوق</w:t>
      </w:r>
      <w:r>
        <w:rPr>
          <w:rStyle w:val="FootnoteAnchor"/>
          <w:rtl w:val="true"/>
        </w:rPr>
        <w:footnoteReference w:id="129"/>
      </w:r>
      <w:r>
        <w:rPr>
          <w:rFonts w:ascii="IRNazanin" w:hAnsi="IRNazanin" w:eastAsia="IRNazanin"/>
          <w:color w:val="111111"/>
          <w:sz w:val="28"/>
          <w:sz w:val="28"/>
          <w:szCs w:val="28"/>
          <w:rtl w:val="true"/>
          <w:lang w:bidi="fa-IR"/>
        </w:rPr>
        <w:t>و أكثر المتأخّرين إلى الاشتراط؛ لصحيحة محمّد بن مسلم عن أحدهما علیهما السلام قال في غير المدخول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يقع عليها إيلاء و لا ظهار</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يقع بالمستمتع بها ؟ فيه خلاف والأظهر الوقوع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صحيحة الفضيل بن يسار أنّ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لايكون ظهار و لا إيلاء حتّى يدخل بها</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قد تقدّم في رواية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ظهار إلّا على طهر بعد جماع</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و هذا هو الأصحّ؛ لتقديم الخاصّ على العامّ عند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قدّم العامّ نظر إلى أنّ خبر الواحد ليس بحجّة كما هو أصل المرتضى و ابن إدريس</w:t>
      </w:r>
      <w:r>
        <w:rPr>
          <w:rStyle w:val="FootnoteAnchor"/>
          <w:rtl w:val="true"/>
        </w:rPr>
        <w:footnoteReference w:id="133"/>
      </w:r>
      <w:r>
        <w:rPr>
          <w:rFonts w:ascii="Amiri" w:hAnsi="Amiri" w:eastAsia="Amiri" w:cs="Amiri"/>
          <w:color w:val="111111"/>
          <w:sz w:val="28"/>
          <w:sz w:val="28"/>
          <w:szCs w:val="28"/>
          <w:rtl w:val="true"/>
          <w:lang w:bidi="ar-SA"/>
        </w:rPr>
        <w:t>، أو أنّ عموم الكتاب لايخصّ بخبر الواحد وإن عملنا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يقع بالمستمتع بها؟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بالوقوع مذهب الأكثر؛ لعموم الآية</w:t>
      </w:r>
      <w:r>
        <w:rPr>
          <w:rStyle w:val="FootnoteAnchor"/>
          <w:rtl w:val="true"/>
        </w:rPr>
        <w:footnoteReference w:id="134"/>
      </w:r>
      <w:r>
        <w:rPr>
          <w:rFonts w:ascii="Amiri" w:hAnsi="Amiri" w:eastAsia="Amiri" w:cs="Amiri"/>
          <w:color w:val="111111"/>
          <w:sz w:val="28"/>
          <w:sz w:val="28"/>
          <w:szCs w:val="28"/>
          <w:rtl w:val="true"/>
          <w:lang w:bidi="ar-SA"/>
        </w:rPr>
        <w:t>، فإن المستمتع بها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بعدم الوقوع لابن إدريس</w:t>
      </w:r>
      <w:r>
        <w:rPr>
          <w:rStyle w:val="FootnoteAnchor"/>
          <w:rtl w:val="true"/>
        </w:rPr>
        <w:footnoteReference w:id="135"/>
      </w:r>
      <w:r>
        <w:rPr>
          <w:rFonts w:ascii="Amiri" w:hAnsi="Amiri" w:eastAsia="Amiri" w:cs="Amiri"/>
          <w:color w:val="111111"/>
          <w:sz w:val="28"/>
          <w:sz w:val="28"/>
          <w:szCs w:val="28"/>
          <w:rtl w:val="true"/>
          <w:lang w:bidi="ar-SA"/>
        </w:rPr>
        <w:t>و جماعة</w:t>
      </w:r>
      <w:r>
        <w:rPr>
          <w:rStyle w:val="FootnoteAnchor"/>
          <w:rtl w:val="true"/>
        </w:rPr>
        <w:footnoteReference w:id="136"/>
      </w:r>
      <w:r>
        <w:rPr>
          <w:rFonts w:ascii="Amiri" w:hAnsi="Amiri" w:eastAsia="Amiri" w:cs="Amiri"/>
          <w:color w:val="111111"/>
          <w:sz w:val="28"/>
          <w:sz w:val="28"/>
          <w:szCs w:val="28"/>
          <w:rtl w:val="true"/>
          <w:lang w:bidi="ar-SA"/>
        </w:rPr>
        <w:t>نظراً إلى انتفاء لازم الظهار، فإنّ منه المرافعة المرتّبة</w:t>
      </w:r>
      <w:r>
        <w:rPr>
          <w:rStyle w:val="FootnoteAnchor"/>
          <w:rtl w:val="true"/>
        </w:rPr>
        <w:footnoteReference w:id="137"/>
      </w:r>
      <w:r>
        <w:rPr>
          <w:rFonts w:ascii="Amiri" w:hAnsi="Amiri" w:eastAsia="Amiri" w:cs="Amiri"/>
          <w:color w:val="111111"/>
          <w:sz w:val="28"/>
          <w:sz w:val="28"/>
          <w:szCs w:val="28"/>
          <w:rtl w:val="true"/>
          <w:lang w:bidi="ar-SA"/>
        </w:rPr>
        <w:t>على الإخلال بالواجب من الوطء و إلزامه بأحد الأمرين، الفيئة أو الطلاق و هو ممتنع فيها، وإقامة هبة المدّة مقامه قياس، و انتفاء اللازم يدلّ على انتفاء الملزومات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جوابه أنّ هذه اللوازم مشروطة بزوجةٍ يمكن في حقّها ذلك، فلايلزم من انتفائها انتفاء جميع الأحكام التي أهمّها تحريم الاستمتاع من دون المرافعة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الموطوءة بالملك تردّد، و المرويّ أنّه يقع كما يقع بالحرّة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البحث في ذلك في بابها من النكاح</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الموطوءة بالملك تردّد، والمرويّ أنّه يقع كما يقع بالحرّة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الأصحاب أيضاً في وقوعه بالأمة الموطوءة بملك اليمين و لو مدبّرة أو أُمّ ولد، فذهب جماعة منهم الشيخ</w:t>
      </w:r>
      <w:r>
        <w:rPr>
          <w:rStyle w:val="FootnoteAnchor"/>
          <w:rtl w:val="true"/>
        </w:rPr>
        <w:footnoteReference w:id="139"/>
      </w:r>
      <w:r>
        <w:rPr>
          <w:rFonts w:ascii="Amiri" w:hAnsi="Amiri" w:eastAsia="Amiri" w:cs="Amiri"/>
          <w:color w:val="111111"/>
          <w:sz w:val="28"/>
          <w:sz w:val="28"/>
          <w:szCs w:val="28"/>
          <w:rtl w:val="true"/>
          <w:lang w:bidi="ar-SA"/>
        </w:rPr>
        <w:t>و ابن حمزة</w:t>
      </w:r>
      <w:r>
        <w:rPr>
          <w:rStyle w:val="FootnoteAnchor"/>
          <w:rtl w:val="true"/>
        </w:rPr>
        <w:footnoteReference w:id="140"/>
      </w:r>
      <w:r>
        <w:rPr>
          <w:rFonts w:ascii="Amiri" w:hAnsi="Amiri" w:eastAsia="Amiri" w:cs="Amiri"/>
          <w:color w:val="111111"/>
          <w:sz w:val="28"/>
          <w:sz w:val="28"/>
          <w:szCs w:val="28"/>
          <w:rtl w:val="true"/>
          <w:lang w:bidi="ar-SA"/>
        </w:rPr>
        <w:t>و جماعة المتأخّرين</w:t>
      </w:r>
      <w:r>
        <w:rPr>
          <w:rStyle w:val="FootnoteAnchor"/>
          <w:rtl w:val="true"/>
        </w:rPr>
        <w:footnoteReference w:id="141"/>
      </w:r>
      <w:r>
        <w:rPr>
          <w:rFonts w:ascii="Amiri" w:hAnsi="Amiri" w:eastAsia="Amiri" w:cs="Amiri"/>
          <w:color w:val="111111"/>
          <w:sz w:val="28"/>
          <w:sz w:val="28"/>
          <w:szCs w:val="28"/>
          <w:rtl w:val="true"/>
          <w:lang w:bidi="ar-SA"/>
        </w:rPr>
        <w:t>، إلى الوقوع، و هو أصحّ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لدخولها في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يُظهِرُونَ مِن نِّسَآئهِم</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كدخولها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 نِسَائِكُمْ</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فحرّمت بذلك أُمّ الموطوءة بالملك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خصوص صحيحة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الظهار على الحرّة و الأمة،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حسنة حفص بن البختري عن الصادق والكاظم علیهما السلام في رجل كان له عشر جوار فظاهر منهنّ جميعاً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عشر كفّارات</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موثّقة إسحاق بن عمار عن الكاظم علیه السلام قال في الرجل يظاهر من جاريته،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الحرّة و الأمة في هذا سواء</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المفيد</w:t>
      </w:r>
      <w:r>
        <w:rPr>
          <w:rStyle w:val="FootnoteAnchor"/>
          <w:rtl w:val="true"/>
        </w:rPr>
        <w:footnoteReference w:id="147"/>
      </w:r>
      <w:r>
        <w:rPr>
          <w:rFonts w:ascii="IRNazanin" w:hAnsi="IRNazanin" w:eastAsia="IRNazanin"/>
          <w:color w:val="111111"/>
          <w:sz w:val="28"/>
          <w:sz w:val="28"/>
          <w:szCs w:val="28"/>
          <w:rtl w:val="true"/>
          <w:lang w:bidi="fa-IR"/>
        </w:rPr>
        <w:t>و المرتضى</w:t>
      </w:r>
      <w:r>
        <w:rPr>
          <w:rStyle w:val="FootnoteAnchor"/>
          <w:rtl w:val="true"/>
        </w:rPr>
        <w:footnoteReference w:id="148"/>
      </w:r>
      <w:r>
        <w:rPr>
          <w:rFonts w:ascii="Amiri" w:hAnsi="Amiri" w:eastAsia="Amiri" w:cs="Amiri"/>
          <w:color w:val="111111"/>
          <w:sz w:val="28"/>
          <w:sz w:val="28"/>
          <w:szCs w:val="28"/>
          <w:rtl w:val="true"/>
          <w:lang w:bidi="ar-SA"/>
        </w:rPr>
        <w:t>و ابن إدريس</w:t>
      </w:r>
      <w:r>
        <w:rPr>
          <w:rStyle w:val="FootnoteAnchor"/>
          <w:rtl w:val="true"/>
        </w:rPr>
        <w:footnoteReference w:id="149"/>
      </w:r>
      <w:r>
        <w:rPr>
          <w:rFonts w:ascii="Amiri" w:hAnsi="Amiri" w:eastAsia="Amiri" w:cs="Amiri"/>
          <w:color w:val="111111"/>
          <w:sz w:val="28"/>
          <w:sz w:val="28"/>
          <w:szCs w:val="28"/>
          <w:rtl w:val="true"/>
          <w:lang w:bidi="ar-SA"/>
        </w:rPr>
        <w:t>و جماعة من المتقدّمين</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لايقع بها؛ لقوله علیه السلام في الخبر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لايكون ظهار إلّا على مثل موضع الطلاق</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الظهار كان فى الجاهليّة طلاقاً كما سبق</w:t>
      </w:r>
      <w:r>
        <w:rPr>
          <w:rStyle w:val="FootnoteAnchor"/>
          <w:rtl w:val="true"/>
        </w:rPr>
        <w:footnoteReference w:id="152"/>
      </w:r>
      <w:r>
        <w:rPr>
          <w:rFonts w:ascii="Amiri" w:hAnsi="Amiri" w:eastAsia="Amiri" w:cs="Amiri"/>
          <w:color w:val="111111"/>
          <w:sz w:val="28"/>
          <w:sz w:val="28"/>
          <w:szCs w:val="28"/>
          <w:rtl w:val="true"/>
          <w:lang w:bidi="ar-SA"/>
        </w:rPr>
        <w:t>، و الطلاق لايقع بها، و لأنّ المفهوم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لورود السبب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لرواية حمزة بن حمران عن الصادق علیه السلام فيمن يظاهر من أمته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يأتيها و ليس علیه شيء</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 الأوّل فلا يعارض الصحيح، وإنّما جعلناه في السابق شاهداً لا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لا حجّة فيه، و قد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يظاهرون من الأُمّة أيضاً، ويعتزل سيّدها فراشها؛ و لأنّ الطلاق أيضاً كان في الجاهليّة، كما ينبّه عليه 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جارتي بيني فإنّك طالقة</w:t>
      </w:r>
      <w:r>
        <w:rPr>
          <w:rStyle w:val="FootnoteAnchor"/>
          <w:rtl w:val="true"/>
        </w:rPr>
        <w:footnoteReference w:id="15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نمنع الحمل على الزوجة مع وجود ما يصلح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ليس مخصّصاً كما حقّق في الأصول</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الدخول يقع و لو كان الوطء دبراً صغيرةً كانت أو كبيرة، مجنونةً أو 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يقع بالرتقاء و المريضة التي لاتوطأ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الأخيرة ضعيفة السند أيضاً، فلا تعارض الصحيح و الأصل إنّما يتمّ مع عدم وجود دليل مخرج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على القول بوقوعه بها يأتي فيها الخلاف السابق في اشتراط الدخول و عدمه؛ لتناول الروايات الدالّة عليه لها كما تناولت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اختصاص ذلك الخلاف بالحرّة ضعيف جداً، بل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الدخول يقع و لو كان الوطء 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وجهه أنّ إطلاق الدخول يشمل الدبر كما تحقّق في باب المهر و غيره</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إطلاق الحكم يتناول الصغيرة و إن حرم الدخول بها، و الكبيرة المجنونة و العاقلة، و الرتقاء على تقدير وطئها في الدبر، و المريضة التي لا توطأ حال الظهار مع وجوده قبله؛ لتحقّق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نشترط الدخول فدخول الجميع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بناء الحكم على ذلك القول، بقرينة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المريضة التي لا توطأ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بإطلاقه للقبل و الدبر في سائر الأوقات،وإن لم تدخل الرتقاء في هذا العموم غالباً بالنظر إلى الدبر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إطلاق المصنّف الحكم بصحة ظهار الخصيّ والمجبوب اللذين لا يمكنهما الوطء؛</w:t>
      </w:r>
      <w:r>
        <w:rPr>
          <w:rStyle w:val="FootnoteAnchor"/>
          <w:rtl w:val="true"/>
        </w:rPr>
        <w:footnoteReference w:id="157"/>
      </w:r>
      <w:r>
        <w:rPr>
          <w:rFonts w:ascii="Amiri" w:hAnsi="Amiri" w:eastAsia="Amiri" w:cs="Amiri"/>
          <w:color w:val="111111"/>
          <w:sz w:val="28"/>
          <w:sz w:val="28"/>
          <w:szCs w:val="28"/>
          <w:rtl w:val="true"/>
          <w:lang w:bidi="ar-SA"/>
        </w:rPr>
        <w:t>فإنّه لايتمّ مع القول باشتراط الدخول، فلا بدّ في إطلاق هذه الأحكام من تكلّف</w:t>
      </w:r>
      <w:r>
        <w:rPr>
          <w:rFonts w:eastAsia="Amiri" w:cs="Amiri" w:ascii="Amiri" w:hAnsi="Amiri"/>
          <w:color w:val="111111"/>
          <w:sz w:val="28"/>
          <w:szCs w:val="28"/>
          <w:rtl w:val="true"/>
          <w:lang w:bidi="ar-SA"/>
        </w:rPr>
        <w:t xml:space="preserve">. </w:t>
      </w:r>
      <w:bookmarkStart w:id="31" w:name="pg10270_80095"/>
    </w:p>
    <w:p>
      <w:pPr>
        <w:pStyle w:val="Heading3"/>
        <w:numPr>
          <w:ilvl w:val="2"/>
          <w:numId w:val="1"/>
        </w:numPr>
        <w:rPr/>
      </w:pPr>
      <w:bookmarkStart w:id="32" w:name="__RefHeading___Toc3859996_1067777946"/>
      <w:bookmarkStart w:id="33" w:name="_Toc12"/>
      <w:bookmarkEnd w:id="31"/>
      <w:bookmarkEnd w:id="32"/>
      <w:r>
        <w:rPr>
          <w:rtl w:val="true"/>
        </w:rPr>
        <w:t>الأمر الرابع في الأحكام</w:t>
      </w:r>
      <w:bookmarkEnd w:id="33"/>
    </w:p>
    <w:p>
      <w:pPr>
        <w:pStyle w:val="Heading4"/>
        <w:numPr>
          <w:ilvl w:val="3"/>
          <w:numId w:val="1"/>
        </w:numPr>
        <w:rPr/>
      </w:pPr>
      <w:bookmarkStart w:id="34" w:name="__RefHeading___Toc3859998_1067777946"/>
      <w:bookmarkStart w:id="35" w:name="_Toc13"/>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و هي مسائل</w:t>
      </w:r>
    </w:p>
    <w:p>
      <w:pPr>
        <w:pStyle w:val="Heading4"/>
        <w:numPr>
          <w:ilvl w:val="3"/>
          <w:numId w:val="1"/>
        </w:numPr>
        <w:rPr/>
      </w:pPr>
      <w:bookmarkStart w:id="36" w:name="__RefHeading___Toc3860000_1067777946"/>
      <w:bookmarkStart w:id="37" w:name="_Toc14"/>
      <w:bookmarkEnd w:id="36"/>
      <w:r>
        <w:rPr>
          <w:rtl w:val="true"/>
        </w:rPr>
        <w:t>الظهار محرّم</w:t>
      </w:r>
      <w:bookmarkEnd w:id="37"/>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الظهار محرّم؛ لاتّصافه بالمنكر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لاعقاب فيه؛ لتعقيبه بالعفو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الظهار محرّم؛ لاتّصافه بالمنكر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لاعقاب فيه؛ لتعقيبه بالعفو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بين العلماء في تحريم الظهار؛ لوصفه بالمنكر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لَيَقُولُونَ مُنكَرًا مِّنَ الْقَوْلِ وَزُورًا</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و المنكر و الزور محرّمان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يُعفى عنه و لايعاقب عليه في الآخرة؛ لقوله تعالى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لَعَفُوٌّ غَفُورٌ</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فعقبّه بالعفو و هو يستلزم نفي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ذكره بعض المفسّرين</w:t>
      </w:r>
      <w:r>
        <w:rPr>
          <w:rStyle w:val="FootnoteAnchor"/>
          <w:rtl w:val="true"/>
        </w:rPr>
        <w:footnoteReference w:id="160"/>
      </w:r>
      <w:r>
        <w:rPr>
          <w:rFonts w:ascii="Amiri" w:hAnsi="Amiri" w:eastAsia="Amiri" w:cs="Amiri"/>
          <w:color w:val="111111"/>
          <w:sz w:val="28"/>
          <w:sz w:val="28"/>
          <w:szCs w:val="28"/>
          <w:rtl w:val="true"/>
          <w:lang w:bidi="ar-SA"/>
        </w:rPr>
        <w:t>،ولم يثبت عن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لأنّه لايلزم من وصفه تعالى بالعفو و الغفران تعلّقهما بهذا النوع من المعصية، و ذكره بعده لايدلّ عليه، و نحن لا نشكّ في أنّه تعالى عفوّ غفور، سواء عفا عن هذا الذنب الخاصّ أم لم يعفُ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تعقبّه له لايخلو من باعث على الرجاء و الطمع في عفو الله تعالى، إلّا أنّه لايلزم منه وقوعه به بالفعل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نظائره في القرآن كثيرة، مثل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عَلَيْكُمْ جُنَاحٌ فِيمَا أَخْطَأْتُم بِهِ، وَلَكِن مَّا تَعَمَّدَتْ قُلُوبُكُمْ وَكَانَ اللَّهُ غَفُورًا رَّحِيمًا</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 مع أنّه لم يقل أحد بوجوب عفوه عن هذا الذنب المذكور قبله، مع أنّ الوصف يصدق مع عفوه عن بعض أفراده دون بعض، </w:t>
      </w:r>
      <w:bookmarkStart w:id="38" w:name="pg10270_80096"/>
    </w:p>
    <w:p>
      <w:pPr>
        <w:pStyle w:val="Heading4"/>
        <w:numPr>
          <w:ilvl w:val="3"/>
          <w:numId w:val="1"/>
        </w:numPr>
        <w:rPr/>
      </w:pPr>
      <w:bookmarkStart w:id="39" w:name="__RefHeading___Toc3860002_1067777946"/>
      <w:bookmarkStart w:id="40" w:name="_Toc15"/>
      <w:bookmarkEnd w:id="38"/>
      <w:bookmarkEnd w:id="39"/>
      <w:r>
        <w:rPr>
          <w:rtl w:val="true"/>
        </w:rPr>
        <w:t>لاتجب الكفّارة بالتلفّظ بل بالعود</w:t>
      </w:r>
      <w:bookmarkEnd w:id="4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لاتجب الكفّارة بالتلفّظ، وإنّما تجب بالعود، و هو إرادة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أنّه لا استقرار لها، بل معنى الوجوب تحريم الوطء حتى يكفّر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يصدق به في غيره، فلزوم العفو عنه مطلقاً غير لازم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أنّه كغيره من الذنوب أمر عقابها راجع إلى مشيئة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نسبة المصنّف ذلك إلى القيل مشعر بعدم ظهوره عنده، و الأمر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لاتجب الكفّارة بالتلفّظ، و إنّما تجب بالعود، و هو إرادة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أنّ الكفّارة الواجبة في الظهار تتعلّق بالعود،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يُظَاهِرُونَ مِنْ نِسَائِهِمْ ثُمَّ يَعُودُونَ لِمَا قَالُوا فَتَحْرِيرُ رَقَبَةٍ</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لكن اختلفوا في المراد من العود فمذهب أكثر أصحابنا أنّه إرادة الوطء لا مجرّد إمساكهنّ في النكاح، و القول كناية عنه، و الإرادة مضمرة، مثلها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الْقُرْءَانَ فَاسْتَعِذْ بِاللَّهِ</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 فَاغْسِلُوا</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أي أردت القراءة، و أردتم القيام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واستدلوا عليه بصحيحة أبي بصير قال، 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تجب الكفّارة على المظاهر؟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أن يواقع</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به إمساكها في النكاح بقدر ما يمكنه مفارقتها فيه؛ محتجّاً بأن العود للقول عبارة عن مخالفته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قولاً ثم عاد فيه وعاد له، أي خالفه و نقضه، و هو قريب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هبته، و مقصود الظهار و معناه وصف المرأة بالتحريم، فكان بالإمساك عائداً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القولان للعامّة</w:t>
      </w:r>
      <w:r>
        <w:rPr>
          <w:rStyle w:val="FootnoteAnchor"/>
          <w:rtl w:val="true"/>
        </w:rPr>
        <w:footnoteReference w:id="16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قول ثالث أنّه هو الوطء نفسه</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 الثاني أنّ حقيقة الظهار كما اعترفوا به تحريم المرأة عليه، و ذلك لاينافي بقاءها في عصمته، فلايكون إبقاؤها كذلك عوداً فيه، وإنّما يظهر العود في قوله بإرادة فعل ماينافيه، و ذلك بإرادة الاستمتاع أو به نفسه، لكنّ الثاني غير مراد هنا؛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مِّن قَبْلِ أَن يَتَمَاسّا</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فجعل الكفّارة مرتّبةً على العود و جعلها قبل أن يتماسّا، فدلّ على أنّ العود يتحقّق قبل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يضعّف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أيضاً أن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يَعُودُونَ</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يقتضي التراخي بين الظهار و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على قولهم لايتحقّق التراخي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قيل مثله في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وقوعه بعد الظهار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الجواب بجريانه على الغالب من أنّ المظاهر لايقدم في الحال على مخالفة مقتضاه، و إنّما يحصل ذلك منه بعد التروّي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وجوبها بالعود، لكن هل هو وجوب مستقرّ، حتّى لو عزم بعد ذلك على ترك وطئها أو طلّقها قبل المسيس و بعد العود تبقى الكفّارة لازمة له، أم استقرار الوجوب مشروط بالوطء بالفعل، بمعنى تحريم الوطء حتى يكفّر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بين الأصحاب الثاني؛ لصحيحة الحلبي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يظاهر من امرأته ثمّ يريد أن يتمّ على طلاقها،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كفّارة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w:t>
      </w:r>
    </w:p>
    <w:p>
      <w:pPr>
        <w:pStyle w:val="BookText"/>
        <w:rPr/>
      </w:pPr>
      <w:r>
        <w:rPr>
          <w:rFonts w:ascii="Amiri" w:hAnsi="Amiri" w:eastAsia="Amiri" w:cs="Amiri"/>
          <w:color w:val="111111"/>
          <w:sz w:val="28"/>
          <w:sz w:val="28"/>
          <w:szCs w:val="28"/>
          <w:rtl w:val="true"/>
          <w:lang w:bidi="ar-SA"/>
        </w:rPr>
        <w:t>أن يمسّها؟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لايمسّها حتّى يكفّر</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فإنّ ظاهرها أنّ جواز المسّ متوقّف على التكفير، فمتى لم يفعل لايستقرّ عليه، و إنّما يكون شرطاً في جواز المسّ، و هو المراد من الوجوب غير المستقرّ ، لا الوجوب بالمعنى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يستقرّ بإرادة الوطء وإن لم يفعل؛ لأنّ الله تعالى رتّب وجوبها على العود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يَعُودُونَ لِما قَالُوا فَتَحْرِيرُ رَقَبَةٍ</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أي فعليهم ذلك، و الأصل بقاء هذا الوجوب المرتّب</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دلالتها على الوجوب مطلقاً، بل غايته أن يدلّ على توقّف التماس عليها، و ذلك مطلوبنا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الوجوب فالمراد به المقيّد بقبليّة التماس و القبليّة من الأُمور الإضافيّة لايتحقّق بدون المتضايفين، فما لم يحصل التماس لا يثبت الوجوب، و ذلك هو المراد من الوجوب غير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هذا عدم وجوبها؛ لأنّ الواجب هو الذى لايجوز تركه لا إلى بدل، و هذه الكفّارة قبل المسيس يجوز تركها مطلقاً حيث يعزم على عدم المسيس إمّا مطلقاً أو مع فعل ما يرفع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على ذلك أنّه لو أخرجها قبل المسيس لاتجزئ؛ لأنّه لم تجب، و لأنّ نيّة الوجوب بها غير 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الذي أطلقتموه عليه غير الوجوب المتعارف، بل هو بالشرط أشبه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كما ذكرت، و إطلاق الوجوب عليها بهذا المعنى مجازي، وقد نبّهوا عليه بقولهم بمعنى تحريم الوطء حتّى يكفّر، فهي حينئذٍ شرط في جواز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الواجب على الشرط من حيث إنّه لا بُدّ منه في صحّة المشروط مستعمل كثيراً و منه وجوب الوضوء للصلاة المندوبة، و وجوب الترتيب في الأذان، بمعنى الشرطيّة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نيّة الوجوب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وطئ قبل الكفّارة لزمه كفّارتان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كرّر الوطء تكرّرت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بالكفّارة فجاز إطلاقها بهذا المعنى؛ لأن نيّة كلّ شيء بحسبه و لو لم نعتبر نيّة الوجه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حقّقناه في أبواب العبادات، لعدم الدليل الناهض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تخلّصاً</w:t>
      </w:r>
      <w:r>
        <w:rPr>
          <w:rStyle w:val="FootnoteAnchor"/>
          <w:rtl w:val="true"/>
        </w:rPr>
        <w:footnoteReference w:id="174"/>
      </w:r>
      <w:r>
        <w:rPr>
          <w:rFonts w:ascii="Amiri" w:hAnsi="Amiri" w:eastAsia="Amiri" w:cs="Amiri"/>
          <w:color w:val="111111"/>
          <w:sz w:val="28"/>
          <w:sz w:val="28"/>
          <w:szCs w:val="28"/>
          <w:rtl w:val="true"/>
          <w:lang w:bidi="ar-SA"/>
        </w:rPr>
        <w:t>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وطئ قبل الكفّارة لزمه كفّارتان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كرّر الوطء تكرّرت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الأصحاب المتقدّمين منهم و جميع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مستنده صحيحة الحلبي السابقة عن الصادق علیه السلام و في آخرها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أن يمسّها؟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لايمسّها حتّى يكفّر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فعليه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والله إنّه لآثم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كفّارة غير الأُولى؟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يعتق أيضاً رقبةً</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صحيحة أبي بصير قال، 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تجب الكفّارة على المظاهر؟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أن يواقع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واقع قبل أن يكفّر؟ 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كفّارة أُخرى</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الحسن الصيقل عن الصادق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ظاهر من امرأته فلم يف،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الكفّارة من قبل أن يتماسّا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أتاها قبل أن يكفّر،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عليه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أساء و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فيلزمه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رقبة أيضاً</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المظاهر إذا أقام على إمساك زوجته بعد الظهار بالعقد الأوّل زماناً و إن قلّ فقد عاد لما قال، و لم يستحبّ له أن يطأ حتى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وطئ لم يعاود الوطء ثانياً حتى يكفّر، فإن فعل وجب عليه لكلّ وطء كفّارة، إلّا أن يكون ممّن لايجد العتق و لايقدر على الصيام و كفّارته هي الإطعام، فإنّه إن عاود إلى جماع ثانٍ قبل الإطعام فالفقه لايوجب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كفّارة؛ لأنّ الله شرط في العتق و الصيام أن يكون قبل العود و لم يشترط ذلك في الإطعام و الاختيار أن لايعاود إلى جماع ثانٍ حتّى يتصدّق</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يدلّ على ما اختاره من عدم تعدّد الكفّارة أيضاً صحيحة زرارة قال، 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ظاهر، ثمّ واقع قبل أن يكفّر،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ليس هكذا يفعل الفقيه؟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حسنة الحلبي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ظاهر من امرأته ثلاث مرّات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يكفّر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واقع قبل أن يكفّر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يستغفر الله ويمسّك حتّى يكفّر</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رواية زرارة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إذا ظاهر من امرأته ثمّ غشيها قبل أن يكفّر فإنّما عليه كفّارة واحدة، و يكفّ عنها حتى يكفّر</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تقدّم من حديث سلمة بن صخر و أمر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أخبره أنه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بعتق رقبة، و لو وجبت عليه كفّارتان لأمره بعتق رقبتين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عنه عن النبيّ صلّى الله عليه و آله و سلّم في المظاهر يواقع قبل أن يكفّر،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واحدة</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على هذا حمل الأخبار الواردة بتعدّد الكفّارة</w:t>
      </w:r>
      <w:r>
        <w:rPr>
          <w:rStyle w:val="FootnoteAnchor"/>
          <w:rtl w:val="true"/>
        </w:rPr>
        <w:footnoteReference w:id="184"/>
      </w:r>
      <w:r>
        <w:rPr>
          <w:rFonts w:ascii="Amiri" w:hAnsi="Amiri" w:eastAsia="Amiri" w:cs="Amiri"/>
          <w:color w:val="111111"/>
          <w:sz w:val="28"/>
          <w:sz w:val="28"/>
          <w:szCs w:val="28"/>
          <w:rtl w:val="true"/>
          <w:lang w:bidi="ar-SA"/>
        </w:rPr>
        <w:t>على الاستحباب جمعاً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تينك الروايتين رائحة الاستحباب؛ لأنه لم يصرّح بأنّ عليه كفّارة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أخرى إلّا بعد مراجعات، و عدول عن الجواب كما لايخفى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الرواية الأولى من الصحيح،و كذلك الثانیّة، وليس في الباب صحيح غيرهما، فتأويلهما للجمع لا يخلو من إشكال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الشيخ حمل الروايات الدالّة على عدم تكرّر الكفّارة على من فعل ذلك جاهلاً</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استشهد عليه بصحيحة محمّد بن مسلم عن أبي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 لايكون إلّا على الحنث، فإذا حنث فليس له أن يواقعها حتّى يكفّر، فإن جهل و فعل فإنّما عليه كفّارة واحدة</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و حملَ الرواية الأُولى منها على ما إذا كان الظهار مشروطاً بالمواقعة، فإنّ الكفّارة لاتجب إلّا بعد الوطء، فلو أنّه كفّرَ قبل الوطء لما كان مجزئاً عمّا يجب عليه بعد الوطء، و لكان يلزمه كفّارة أخرى إذا وطئ، فنبّه علیه السلام على أنّ المواقعة لمن هذا حكمه من أفعال الفقيه الذي يطلب الخلاص من وجوب كفّارة أخرى عليه، و ليس ذلك إلّا بالمواقعة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لايخفى عليك بّعد هذه المحامل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ابن الجنيد لايخلو من قوّة، و فيه جمع بين الأخبار، إلّا أنّ الأشهر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نقول بتعدّد الكفّارة فيستثنى منه ما لو فعل موجبه نسياناً أو جهلاً، فإنّه لايتعدّد؛ لما سبق، و لرفع حكم الخطأ والنسيان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تكرّر الكفّارة بتكرّر الوطء فيدلّ عليه الأخبار الدالّة على تعدّد الكفّارة قبل الوطء</w:t>
      </w:r>
      <w:r>
        <w:rPr>
          <w:rStyle w:val="FootnoteAnchor"/>
          <w:rtl w:val="true"/>
        </w:rPr>
        <w:footnoteReference w:id="189"/>
      </w:r>
      <w:r>
        <w:rPr>
          <w:rFonts w:ascii="IRNazanin" w:hAnsi="IRNazanin" w:eastAsia="IRNazanin"/>
          <w:color w:val="111111"/>
          <w:sz w:val="28"/>
          <w:sz w:val="28"/>
          <w:szCs w:val="28"/>
          <w:rtl w:val="true"/>
          <w:lang w:bidi="fa-IR"/>
        </w:rPr>
        <w:t>الشامل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 حسنة أبي بصير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واقع المرّة الثانیّة قبل أن يكفّر فعليه كفّارة أخرى، ليس في هذا اختلاف</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و لأنّ كلّ واحد سبب لكفّارة، و الأصل عدم تداخل المسبّبات عند تعدّد الأسباب</w:t>
      </w:r>
      <w:r>
        <w:rPr>
          <w:rFonts w:eastAsia="Amiri" w:cs="Amiri" w:ascii="Amiri" w:hAnsi="Amiri"/>
          <w:color w:val="111111"/>
          <w:sz w:val="28"/>
          <w:szCs w:val="28"/>
          <w:rtl w:val="true"/>
          <w:lang w:bidi="ar-SA"/>
        </w:rPr>
        <w:t xml:space="preserve">. </w:t>
      </w:r>
      <w:bookmarkStart w:id="41" w:name="pg10270_80102"/>
    </w:p>
    <w:p>
      <w:pPr>
        <w:pStyle w:val="Heading4"/>
        <w:numPr>
          <w:ilvl w:val="3"/>
          <w:numId w:val="1"/>
        </w:numPr>
        <w:rPr/>
      </w:pPr>
      <w:bookmarkStart w:id="42" w:name="__RefHeading___Toc3860004_1067777946"/>
      <w:bookmarkStart w:id="43" w:name="_Toc16"/>
      <w:bookmarkEnd w:id="41"/>
      <w:bookmarkEnd w:id="42"/>
      <w:r>
        <w:rPr>
          <w:rtl w:val="true"/>
        </w:rPr>
        <w:t>إذا طلّقها رجعيّاً ثمّ راجعها عاد حکم الظهار</w:t>
      </w:r>
      <w:bookmarkEnd w:id="43"/>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طلّقها رجعيّاً ثمّ راجعها لم تحلّ له حتى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خرجت من العدّة ثم تزوّجها و وطئها فلا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طلّقها بائناً و تزوّجها في العدّة و وطئها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ماتا أو مات أحدهما أو ارتدّا أو ارتدّ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تكرّر منه الوطء قبل التكفير الأوّل لم يلزمه غير واحدة، وإن كفّر عن الأول لزمته عن الثاني، و هكذا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سبق</w:t>
      </w:r>
      <w:r>
        <w:rPr>
          <w:rStyle w:val="FootnoteAnchor"/>
          <w:rtl w:val="true"/>
        </w:rPr>
        <w:footnoteReference w:id="192"/>
      </w:r>
      <w:r>
        <w:rPr>
          <w:rFonts w:ascii="Amiri" w:hAnsi="Amiri" w:eastAsia="Amiri" w:cs="Amiri"/>
          <w:color w:val="111111"/>
          <w:sz w:val="28"/>
          <w:sz w:val="28"/>
          <w:szCs w:val="28"/>
          <w:rtl w:val="true"/>
          <w:lang w:bidi="ar-SA"/>
        </w:rPr>
        <w:t>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طلّقها رجعيّاً ثمّ راجعها لم تحلّ له حتّى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 المظاهر طلاقاً رجعيّاً ثمّ راجعها فلا خلاف في أنّه يعود الظهار و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عليه بالظهار السابق و تجب الكفّارة بالعود، و لاتجب بالرجعة مجرّدةً؛ لأنّها لا تستلزم العزم على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طلّقها بائناً أو رجعيّاً و تركها حتّى بانت ثُمّ جدّد نكاحها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العدّة إذا كان الطلاق بائنا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عود الظهار قولان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قال المعظم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يعود؛ لأصالة البراءة، و الخروج عن العهدة بالطلاق، و صيرورته كالأجنبي بعد خروج العدّة،و استباحة الوطء بعد ذلك ليس بالعقد الأوّل الذي لحقه التحريم بالظهار، بل بعقدٍ لم يلحقه ظهار، و لصيرورتها أجنبيّةً قبل العقد الثاني، فكما لایصحّ ابتداء الظهار بها لا یصحّ استدامته؛ لأنّ حكمه معلّق بالزوجة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لصحيحة بريد بن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رجل ظاهر من امرأته ثمّ طلّقها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تطليقةً،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هو طلّقها تطليقةً فقد بطل الظهار و هدم الطلاق الظهار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يراجعها؟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هي امرأته، فإن راجعها وجب عليه ما يجب على المظاهر من قبل أن يتماسّا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تركها حتّى يحلّ أجلها و تملك نفسها ثم تزوّجها بعد ذلك هل يلزمه الظهار من قبل أن يتماسّا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بانت و ملكت نفسها</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نص في الحكمين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ذهب أبو الصلاح</w:t>
      </w:r>
      <w:r>
        <w:rPr>
          <w:rStyle w:val="FootnoteAnchor"/>
          <w:rtl w:val="true"/>
        </w:rPr>
        <w:footnoteReference w:id="195"/>
      </w:r>
      <w:r>
        <w:rPr>
          <w:rFonts w:ascii="Amiri" w:hAnsi="Amiri" w:eastAsia="Amiri" w:cs="Amiri"/>
          <w:color w:val="111111"/>
          <w:sz w:val="28"/>
          <w:sz w:val="28"/>
          <w:szCs w:val="28"/>
          <w:rtl w:val="true"/>
          <w:lang w:bidi="ar-SA"/>
        </w:rPr>
        <w:t>و سلّار</w:t>
      </w:r>
      <w:r>
        <w:rPr>
          <w:rStyle w:val="FootnoteAnchor"/>
          <w:rtl w:val="true"/>
        </w:rPr>
        <w:footnoteReference w:id="196"/>
      </w:r>
      <w:r>
        <w:rPr>
          <w:rFonts w:ascii="Amiri" w:hAnsi="Amiri" w:eastAsia="Amiri" w:cs="Amiri"/>
          <w:color w:val="111111"/>
          <w:sz w:val="28"/>
          <w:sz w:val="28"/>
          <w:szCs w:val="28"/>
          <w:rtl w:val="true"/>
          <w:lang w:bidi="ar-SA"/>
        </w:rPr>
        <w:t>إلى عود حكم الظهار بتزويجها و لو بعد العدّة البائنة؛ لعموم الآية</w:t>
      </w:r>
      <w:r>
        <w:rPr>
          <w:rStyle w:val="FootnoteAnchor"/>
          <w:rtl w:val="true"/>
        </w:rPr>
        <w:footnoteReference w:id="197"/>
      </w:r>
      <w:r>
        <w:rPr>
          <w:rFonts w:ascii="IRNazanin" w:hAnsi="IRNazanin" w:eastAsia="IRNazanin"/>
          <w:color w:val="111111"/>
          <w:sz w:val="28"/>
          <w:sz w:val="28"/>
          <w:szCs w:val="28"/>
          <w:rtl w:val="true"/>
          <w:lang w:bidi="fa-IR"/>
        </w:rPr>
        <w:t>، و خصوص حسنة عليّ بن جعفر عن أخيه علیه السلام أنّه سأله عن رجل ظاهر من امرأته ثمّ طلقها بعد ذلك بشهر أو بشهرين فتزوّجت، ثمّ طلّقها الذي تزوّجها فراجعها الأوّل، هل عليه فيها الكفّارة للظهار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عتق رقبة أو صوم أو صدقة</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أُجيب</w:t>
      </w:r>
      <w:r>
        <w:rPr>
          <w:rStyle w:val="FootnoteAnchor"/>
          <w:rtl w:val="true"/>
        </w:rPr>
        <w:footnoteReference w:id="199"/>
      </w:r>
      <w:r>
        <w:rPr>
          <w:rFonts w:ascii="Amiri" w:hAnsi="Amiri" w:eastAsia="Amiri" w:cs="Amiri"/>
          <w:color w:val="111111"/>
          <w:sz w:val="28"/>
          <w:sz w:val="28"/>
          <w:szCs w:val="28"/>
          <w:rtl w:val="true"/>
          <w:lang w:bidi="ar-SA"/>
        </w:rPr>
        <w:t>بمنع دلالة الآية على ذلك؛ لأنّ العود إلى استباحة ما حرّمه الظهار في عقد إنّما يكون بإرادة الوطء في ذلك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الشيخ الحديث على التقيّة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 لأنّ العامّة مختلفون في ذلك</w:t>
      </w:r>
      <w:r>
        <w:rPr>
          <w:rStyle w:val="FootnoteAnchor"/>
          <w:rtl w:val="true"/>
        </w:rPr>
        <w:footnoteReference w:id="201"/>
      </w:r>
      <w:r>
        <w:rPr>
          <w:rFonts w:ascii="Amiri" w:hAnsi="Amiri" w:eastAsia="Amiri" w:cs="Amiri"/>
          <w:color w:val="111111"/>
          <w:sz w:val="28"/>
          <w:sz w:val="28"/>
          <w:szCs w:val="28"/>
          <w:rtl w:val="true"/>
          <w:lang w:bidi="ar-SA"/>
        </w:rPr>
        <w:t>كالخاصّة ، فلا وجه للتقيّة في أحد القولين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حمله العلّامة على فساد النكاح؛ لأنّه عقب تزويجها بعد طلاقها بشهر أو شهرين فيكون قد وقع في العدّة فيكون باطلاً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استحسنه بعضهم</w:t>
      </w:r>
      <w:r>
        <w:rPr>
          <w:rStyle w:val="FootnoteAnchor"/>
          <w:rtl w:val="true"/>
        </w:rPr>
        <w:footnoteReference w:id="203"/>
      </w:r>
      <w:r>
        <w:rPr>
          <w:rFonts w:ascii="Amiri" w:hAnsi="Amiri" w:eastAsia="Amiri" w:cs="Amiri"/>
          <w:color w:val="111111"/>
          <w:sz w:val="28"/>
          <w:sz w:val="28"/>
          <w:szCs w:val="28"/>
          <w:rtl w:val="true"/>
          <w:lang w:bidi="ar-SA"/>
        </w:rPr>
        <w:t>، و أيّده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 التزويج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المقتضية للفوريّة، و ذلك يقتضي عدم الخروج من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حكاية الحديث تشعر 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فراجعها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ما في هذا التنزيل والتأييد؛ لأنّ إطلاق التزويج محمول على الصحيح، و الشهر و الشهران متخلّلان بين الظهار والطلاق، لا بين الطلاق والتزويج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تعقيب التزويج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التعقيب و الفوريّة بحسب الممكن لا مطلقاً، كما نبّهوا عليه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فلان فولد له؛ فإنّ المراد به وجود الولادة في أوّل أوقات الإمكان، و ذلك بعد مضيّ مدّة الحمل، لا عقيب التزويج بلا فصل، و كذلك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بغداد فالبصرة، و أمثال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أنه تزوّجها في أوّل أوقات الإمكان شرعاً، وهو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سلّم دلالتها في مثل هذا المقام على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تسليم وقوع الشهر و الشهرين بين التزويج و الطلاق فيمكن انقضاء العدّة بهما و بأقل منهما كما مر</w:t>
      </w:r>
      <w:r>
        <w:rPr>
          <w:rStyle w:val="FootnoteAnchor"/>
          <w:rtl w:val="true"/>
        </w:rPr>
        <w:footnoteReference w:id="20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طلّقها فراجعها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كالكلام في الأُولى، فإنّ المراجعة بعد الطلاق كناية عن التزويج، و أطلق عليه المراجعة من حيث كانت زوجةً له أوّلاً، فأقام ردّها إلى النكاح بعقد جديد مقام الرجوع، و هو رجوع لغةً، فحمله على الرجوع الشرعي و إبقاء العدّة الأولى فى غاية السماجة والبُعد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حملت الكفّارة فيه على الاستحباب جمعاً كان أَولى، مع أن الأُولى أرجح؛ لصحّة سندها فكانت مقدّمةً لو تحقّق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سقوط حكم الظهار مع موتهما أو موت أحدهما فواضح</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 الارتداد، فإن لم يشرط الدخول و كان الارتداد قبله انقطع النكاح ثمّ لايعود </w:t>
      </w:r>
      <w:bookmarkStart w:id="44" w:name="pg10270_80105"/>
    </w:p>
    <w:p>
      <w:pPr>
        <w:pStyle w:val="Heading4"/>
        <w:numPr>
          <w:ilvl w:val="3"/>
          <w:numId w:val="1"/>
        </w:numPr>
        <w:rPr/>
      </w:pPr>
      <w:bookmarkStart w:id="45" w:name="__RefHeading___Toc3860006_1067777946"/>
      <w:bookmarkStart w:id="46" w:name="_Toc17"/>
      <w:bookmarkEnd w:id="44"/>
      <w:bookmarkEnd w:id="45"/>
      <w:r>
        <w:rPr>
          <w:rtl w:val="true"/>
        </w:rPr>
        <w:t>لو ظاهر من زوجته الأمة ثمّ ابتاعها</w:t>
      </w:r>
      <w:bookmarkEnd w:id="46"/>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ظاهر من زوجته الأمة ثمّ ابتاعها فقد 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وطئها بالملك لم تجب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ابتاعها من مولاها غير الزوج ففسخ سقط حكم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تزوّجها الزوج بعقد مستأنف لم تجب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الظهار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الدخول فإن كان الارتداد من الرجل عن فطرة بانت منه، و سقط الحكم في حقه؛ لعدم إمكان تزويجها عند من لايقبل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بالقبول و جواز تزويجه بعد ذلك يسقط حكم الظهار كما لو طلّق بائناً، بل هنا أقوى؛ لأنّها تعتدّ عدّة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الارتداد من المرأة، أو كان ملّيّاً و كان ذلك بعد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اشترطناه في صحّة 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فالعدّة رجعيّة، فيترتّب حكمها من عوده مع العود في العدّة، و عدمه مع انقضائها قبل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 المصنّف بأنّ ارتداد أحدهما يسقط الكفّارة مطلقاً فليس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ظاهر من زوجته الأمة ثمّ ابتاعها فقد 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الزوجة المظاهر منها أمة فابتاعها الزوج المظاهر من مولاها بطل العقد؛ لما تقدّم من أنّ البضع لايستباح بسببين</w:t>
      </w:r>
      <w:r>
        <w:rPr>
          <w:rStyle w:val="FootnoteAnchor"/>
          <w:rtl w:val="true"/>
        </w:rPr>
        <w:footnoteReference w:id="205"/>
      </w:r>
      <w:r>
        <w:rPr>
          <w:rFonts w:ascii="Amiri" w:hAnsi="Amiri" w:eastAsia="Amiri" w:cs="Amiri"/>
          <w:color w:val="111111"/>
          <w:sz w:val="28"/>
          <w:sz w:val="28"/>
          <w:szCs w:val="28"/>
          <w:rtl w:val="true"/>
          <w:lang w:bidi="ar-SA"/>
        </w:rPr>
        <w:t>، و السبب الطارئ أقوى، و العقد لايجامع ملك اليمين، فزال التحريم المترتّب على العقد، و استباحها حينئذٍ بالملك، و كان ذلك كما لو طلّقها و تزوّجها بعد انقضاء العدّة، بل هنا أقوى؛ لاختلاف جنس السبب الذاهب و العائد،بخلاف من تزوّجها بعد البينونة، فإنّ السبب وإن تعدّد إلّا أنّه متّحد في الجنس و إن اختلف في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معناه ما لو اشتراها غيره ثمّ فسخ النكاح و زوّجه إيّاها بعقد مستأنف، و لاتتوقّف صحّة العقد على الاستبراء و لا الاعتداد؛ لأنّ الماء 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لو طلّقها بائناً ثم تزوّجها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تحصل الحيلة على إسقاط حكم الظهار بغير تكفير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قلنا بوقوعه بملك اليمين فظاهر من أمته ثمّ باعها من غيره بطل حكم الظهار، فإن </w:t>
      </w:r>
      <w:bookmarkStart w:id="47" w:name="pg10270_80106"/>
    </w:p>
    <w:p>
      <w:pPr>
        <w:pStyle w:val="Heading4"/>
        <w:numPr>
          <w:ilvl w:val="3"/>
          <w:numId w:val="1"/>
        </w:numPr>
        <w:rPr/>
      </w:pPr>
      <w:bookmarkStart w:id="48" w:name="__RefHeading___Toc3860008_1067777946"/>
      <w:bookmarkStart w:id="49" w:name="_Toc18"/>
      <w:bookmarkEnd w:id="47"/>
      <w:bookmarkEnd w:id="48"/>
      <w:r>
        <w:rPr>
          <w:rtl w:val="true"/>
        </w:rPr>
        <w:t>تعلیق الظهار علی مشیئة الغیر</w:t>
      </w:r>
      <w:bookmarkEnd w:id="49"/>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كظهر أُمّى إن شاء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 وقع على القول بدخول الشرط فى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اشتراها منه لم يعد، كما لو طلّق بائناً ثمّ 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منه ما لو أعتقها ثمّ تزوّجها، لاختلاف السبب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ظاهر من زوجته الأمة و عاد ثمّ قال لمالكها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أعتقها عن ظهاري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وقع عتقها عن كفّارته و انفسخ النكاح بينهما؛ لأنّ إعتاقها عنه يتضمّن تمليكه كما سيأتي</w:t>
      </w:r>
      <w:r>
        <w:rPr>
          <w:rStyle w:val="FootnoteAnchor"/>
          <w:rtl w:val="true"/>
        </w:rPr>
        <w:footnoteReference w:id="206"/>
      </w:r>
      <w:r>
        <w:rPr>
          <w:rFonts w:ascii="Amiri" w:hAnsi="Amiri" w:eastAsia="Amiri" w:cs="Amiri"/>
          <w:color w:val="111111"/>
          <w:sz w:val="28"/>
          <w:sz w:val="28"/>
          <w:szCs w:val="28"/>
          <w:rtl w:val="true"/>
          <w:lang w:bidi="ar-SA"/>
        </w:rPr>
        <w:t>، و إذا ملك زوجته انفسخ النكاح، و كذا لو أعتقها عنه باستدعائه عن كفّارة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ملكها بعد ما ظاهر منها و عاد فانفسخ النكاح بينهما ثمّ أعتقها عن ظهاره منها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آلى من زوجته الأمة و وطئها و لزمته الكفّارة، فقال لسيّدها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أعتقها عن كفّارة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جاز و انفسخ النكاح كالظهار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ظاهر من زوجته الذمّيّة و عاد، ثمّ نقضت المرأة العهد فاسترقّت فملكها الزوج و أسلمت، فأعتقها عن كفّارة ظهاره أو غيرها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كظهر أمّى إن شاء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فروع تعليق الظهار على الشرط، فإن صحّحناه صحّ هنا، و توقّف وقوعه على حصول الشرط وهو المشيئة، فإن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تعليقه على مشيئتها ومشيئة غيرها،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كظهر أمّي إن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لأنّ المشيئة لاتقبل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مشيئة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وشاء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وقوعه على مشيئتهما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علّقه على مشيئة صبيّ، فإن لم يكن مميّزاً لم تعتبر 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المميّز وجهان، مِن سلب عبارته شرعاً، و إمكان مشيئته عقلاً، و قبول خبره في نظائر ذلك</w:t>
      </w:r>
      <w:r>
        <w:rPr>
          <w:rFonts w:eastAsia="Amiri" w:cs="Amiri" w:ascii="Amiri" w:hAnsi="Amiri"/>
          <w:color w:val="111111"/>
          <w:sz w:val="28"/>
          <w:szCs w:val="28"/>
          <w:rtl w:val="true"/>
          <w:lang w:bidi="ar-SA"/>
        </w:rPr>
        <w:t xml:space="preserve">. </w:t>
      </w:r>
      <w:bookmarkStart w:id="50" w:name="pg10270_80107"/>
    </w:p>
    <w:p>
      <w:pPr>
        <w:pStyle w:val="Heading4"/>
        <w:numPr>
          <w:ilvl w:val="3"/>
          <w:numId w:val="1"/>
        </w:numPr>
        <w:rPr/>
      </w:pPr>
      <w:bookmarkStart w:id="51" w:name="__RefHeading___Toc3860010_1067777946"/>
      <w:bookmarkStart w:id="52" w:name="_Toc19"/>
      <w:bookmarkEnd w:id="50"/>
      <w:bookmarkEnd w:id="51"/>
      <w:r>
        <w:rPr>
          <w:rtl w:val="true"/>
        </w:rPr>
        <w:t>لو ظاهر من أربع بلفظ واحد</w:t>
      </w:r>
      <w:bookmarkEnd w:id="52"/>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ظاهر من أربع بلفظ واحد كان عليه عن كلّ واحدة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ظاهر من واحدة مراراً وجب عليه بكلّ مرّة كفّارة، فرّق الظهار أو 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فقهائنا من فصّل و لو وطئها قبل التكفير لزمه عن كلّ ،وطء كفّارة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علّقه على مشيئتها فشاءت باللفظ كارهةً بالقلب وقع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وقوعه باطناً بالنسبة إليها وجهان من أنّه تعليق بلفظ المشيئة ، و لو كان بالباطن لكان إذا علّق بمشيئة زيد لم يصدّق زيد في حقّها، و من ظهور عدم الشرط و هو المشيئة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كظهر أُمّي إن شئتِ أو أبيتِ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فقضيّة اللفظ وقوعه بأحد الأمرين، إمّا المشيئة أو الإباء،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قمتِ أو قعدتِ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دلّ العرف على إرادته منجّزاً، فإن انضبط قدّم و إلّا فالمعتبر مدلوله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شئتِ أو أبيتِ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وقع في الحال قطعاً، إذ لاتعليق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تعليقه على مشيئة الله، فإن قصد به التبرّك كان كالمنجّز، و إن قصد التعليق لم يقع، أمّا على رأي العدليّة فواضح؛ لأنّ الله تعالى لايشأ الظهار؛ لكونه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رأي الأشعريّة فللجهل بحصول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عکس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كظهر أمّي إن لم يشأ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 إن كان عدليّاً؛ لما ذكرناه من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عدم مشيئة الله تعالى له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قيّده في القواعد بكون المظاهر يعلم التحريم</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بواضح؛ لحصول الشرط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أشعريّاً فوجهان، أجودهما الوقوع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ظاهر من أربع بلفظ واحد كان عليه عن كلّ واحدة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ظاهر من أربع نسوة بكلمة واحدة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أنتنّ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مظاهراً منهنّ إجماعاً، ثم إن فارقهنّ بما يرفع الظهار فلا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عاد إليهنّ جمع فقولان،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أشهرهما أنّه يلزمه عن كلّ واحدة كفّارة؛ لأنّه أوجد الظهار و العود في حقهنّ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لحسنة حفص بن البختري عن الصادق و الكاظم علیهما السلام في رجل كان له عشر جوار فظاهر منهنّ كلّهنّ جميعاً بكلام واحد،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عشر كفّارات</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لايجب إلا كفّارة واحدة، وهو قول ابن الجنيد</w:t>
      </w:r>
      <w:r>
        <w:rPr>
          <w:rStyle w:val="FootnoteAnchor"/>
          <w:rtl w:val="true"/>
        </w:rPr>
        <w:footnoteReference w:id="209"/>
      </w:r>
      <w:r>
        <w:rPr>
          <w:rFonts w:ascii="IRNazanin" w:hAnsi="IRNazanin" w:eastAsia="IRNazanin"/>
          <w:color w:val="111111"/>
          <w:sz w:val="28"/>
          <w:sz w:val="28"/>
          <w:szCs w:val="28"/>
          <w:rtl w:val="true"/>
          <w:lang w:bidi="fa-IR"/>
        </w:rPr>
        <w:t>لأنّ الظهار كلمة يقتضي مخالفتها الكفّارة، فإذا تعلّقت بجماعة لم يقتض الّاكفّارة واحدة كاليمين؛ و لرواية غياث بن إبراهيم عن الصادق علیه السلام، عن أبيه علیه السلام، عن عليّ علیه السلام في رجل ظاهر من أربع نسوة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كفّارة واحدة</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 ضعف 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عملنا بالحسن كان مضمونه رافعاً للتعليل الموجب للوحدة مع أنه معتضد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بني الخلاف على أنّ المغلّب في الظهار مشابهة الطلاق أو الأيمان، فإن غلّبنا مشابهة الطلاق لزمته أربع كفّارات، و لم يختلف الحال بين أن يظاهر بكلمة أو كلمات، كما لايختلف الحال بين أن يطلّقهنّ بكلمة أو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غلّبنا مشابهة الأيمان لم تجب إلّا كفّارة واحدة، كما لو حلف أن لا يكلّم جماعة فكلّمهم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الظهار يرجع إلى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الأشهر من وجوب أربع كفّارات و حَصَلَ العودُ في بعضهنّ دون بعض وجبت الكفّارة بعدد من حصل فيها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نوجب إلّا كفّارة واحدة كفى العود في بعضهنّ لوجوب الكفّارة، حتى لو طلّق ثلاثاً وجبت الكفّارة للرابعة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على هذا أن لاتجب، كما لو حلف أن لايكلّم جماعة لاتلزمه الكفّارة بتكليم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الفرق بينه وبين اليمين أنّ كفّارة اليمين إنّما تجب بالحنث، و الحنث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لايحصل إلّا بأن يكلّم الجميع، و في الظهار إنّما وجبت الكفّارة؛ لأنّه بالإمساك خالف قوله، و المخالفة تحصل بإمساك واحدة كما تحصل بإمساك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بلفظ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ظاهر عنهنّ بأربعة ألفاظ، فإنّ الكفّارة تتعدّد بتعدّدهنّ بغير خلاف؛ لتعدّد الظهار لفظاً ومعنى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ظاهر من واحدةٍ مراراً متعدّدةً ففي تعدد الظهار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التعدّد مطلقاً</w:t>
      </w:r>
      <w:r>
        <w:rPr>
          <w:rStyle w:val="FootnoteAnchor"/>
          <w:rtl w:val="true"/>
        </w:rPr>
        <w:footnoteReference w:id="211"/>
      </w:r>
      <w:r>
        <w:rPr>
          <w:rFonts w:ascii="Amiri" w:hAnsi="Amiri" w:eastAsia="Amiri" w:cs="Amiri"/>
          <w:color w:val="111111"/>
          <w:sz w:val="28"/>
          <w:sz w:val="28"/>
          <w:szCs w:val="28"/>
          <w:rtl w:val="true"/>
          <w:lang w:bidi="ar-SA"/>
        </w:rPr>
        <w:t>، سواء اتّحد المجلس أم تعدّد، و سواء اتّحدت المشبّه بها أم اختلفت؛ لأنّ كلّ ظهار سبب تامّ موجب للكفّارة مع العود بالآية</w:t>
      </w:r>
      <w:r>
        <w:rPr>
          <w:rStyle w:val="FootnoteAnchor"/>
          <w:rtl w:val="true"/>
        </w:rPr>
        <w:footnoteReference w:id="212"/>
      </w:r>
      <w:r>
        <w:rPr>
          <w:rFonts w:ascii="IRNazanin" w:hAnsi="IRNazanin" w:eastAsia="IRNazanin"/>
          <w:color w:val="111111"/>
          <w:sz w:val="28"/>
          <w:sz w:val="28"/>
          <w:szCs w:val="28"/>
          <w:rtl w:val="true"/>
          <w:lang w:bidi="fa-IR"/>
        </w:rPr>
        <w:t>، و تعدّد الأسباب يقتضي تعدّد المسبّبات، إلّا أن يدلّ دليل من خارج على التداخل أو الاتّحاد،و الصحيحة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ظاهر من امرأته خمس مرّات أو أكثر،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كلّ مرّة كفّارة</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و حسنة الحلبي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ظاهر من امرأته ثلاث مرّات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يكفّر ثلاث مرّات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و مثله رواية أبي بصير عنه علیه السلام</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تعدّدها مع تراخي أحدهما عن الآخر أو تواليها من غير أن يقصد به التأكيد، وإلّا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الشيخ في المبسوط</w:t>
      </w:r>
      <w:r>
        <w:rPr>
          <w:rStyle w:val="FootnoteAnchor"/>
          <w:rtl w:val="true"/>
        </w:rPr>
        <w:footnoteReference w:id="216"/>
      </w:r>
      <w:r>
        <w:rPr>
          <w:rFonts w:ascii="Amiri" w:hAnsi="Amiri" w:eastAsia="Amiri" w:cs="Amiri"/>
          <w:color w:val="111111"/>
          <w:sz w:val="28"/>
          <w:sz w:val="28"/>
          <w:szCs w:val="28"/>
          <w:rtl w:val="true"/>
          <w:lang w:bidi="ar-SA"/>
        </w:rPr>
        <w:t>، و تبعه ابن حمزة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بتعدّد المشبّه بها كالأُمّ و 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فتتعدّد الكفّارة، و اتّحادها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فتتّحد و إن فرّق، إلّا أن يتخلّل التكفير فتتعدّد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ابن الجنيد؛ محتجّاً مع التعدّد بأنّهما حرمتان انتهكهما فيجب لكلّ واحدة كفّارة، و مع الاتّحاد بأنّه واحد</w:t>
      </w:r>
      <w:r>
        <w:rPr>
          <w:rStyle w:val="FootnoteAnchor"/>
          <w:rtl w:val="true"/>
        </w:rPr>
        <w:footnoteReference w:id="218"/>
      </w:r>
      <w:r>
        <w:rPr>
          <w:rFonts w:ascii="Amiri" w:hAnsi="Amiri" w:eastAsia="Amiri" w:cs="Amiri"/>
          <w:color w:val="111111"/>
          <w:sz w:val="28"/>
          <w:sz w:val="28"/>
          <w:szCs w:val="28"/>
          <w:rtl w:val="true"/>
          <w:lang w:bidi="ar-SA"/>
        </w:rPr>
        <w:t>، و الكفّارة معلّقة على مطلق الظهار، و هو يتناول الواحد و الكثير، و برواية عبد الرحمن بن الحجّاج</w:t>
      </w:r>
      <w:r>
        <w:rPr>
          <w:rStyle w:val="FootnoteAnchor"/>
          <w:rtl w:val="true"/>
        </w:rPr>
        <w:footnoteReference w:id="219"/>
      </w:r>
      <w:r>
        <w:rPr>
          <w:rFonts w:ascii="IRNazanin" w:hAnsi="IRNazanin" w:eastAsia="IRNazanin"/>
          <w:color w:val="111111"/>
          <w:sz w:val="28"/>
          <w:sz w:val="28"/>
          <w:szCs w:val="28"/>
          <w:rtl w:val="true"/>
          <w:lang w:bidi="fa-IR"/>
        </w:rPr>
        <w:t>عن الصادق علیه السلام في رجل ظاهر من امرأته أربع مرّات في مجلس واحد،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كفّارة واحدة</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حمل هذا الخبر على أنّ عليه كفّارة واحدة في الجنس لاتختلف كما تختلف الكفّارات فيما عدا الظهار، و ليس المراد أنّ عليه كفّارة واحدة عن المرّات الكثيرة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لايخفى بُعد هذا التأويل في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قيل بترجيح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أصح إسناداً 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المسألة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الظهار أو تابعه، و مِن فقهائنا من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منهم من فرّق بين ما لو تابع و فرّق، فحكم بتعدّد الكفّارة في الثاني دون الأوّل</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الحجّاج ما يرشد إليه؛ لأنّه حكم باتّحاد الكفّارة مع اتّحاد المجلس، و تلك الأخبار الدالّة على تعدّدها مطلقة فتحمل على اختلاف المجلس؛ جمعاً بين الأخبار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قول موجّه بالنسبة إلى دلالة الأخبار و طريق الجمع بينها، إلّا أنّا لم نقف على قائل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نقله الشيخ في المبسوط عن بعضهم</w:t>
      </w:r>
      <w:r>
        <w:rPr>
          <w:rStyle w:val="FootnoteAnchor"/>
          <w:rtl w:val="true"/>
        </w:rPr>
        <w:footnoteReference w:id="223"/>
      </w:r>
      <w:r>
        <w:rPr>
          <w:rFonts w:ascii="Amiri" w:hAnsi="Amiri" w:eastAsia="Amiri" w:cs="Amiri"/>
          <w:color w:val="111111"/>
          <w:sz w:val="28"/>
          <w:sz w:val="28"/>
          <w:szCs w:val="28"/>
          <w:rtl w:val="true"/>
          <w:lang w:bidi="ar-SA"/>
        </w:rPr>
        <w:t>، و مقتضى طريقته أنّه من العامّة</w:t>
      </w:r>
      <w:r>
        <w:rPr>
          <w:rStyle w:val="FootnoteAnchor"/>
          <w:rtl w:val="true"/>
        </w:rPr>
        <w:footnoteReference w:id="224"/>
      </w:r>
      <w:r>
        <w:rPr>
          <w:rFonts w:ascii="IRNazanin" w:hAnsi="IRNazanin" w:eastAsia="IRNazanin"/>
          <w:color w:val="111111"/>
          <w:sz w:val="28"/>
          <w:sz w:val="28"/>
          <w:szCs w:val="28"/>
          <w:rtl w:val="true"/>
          <w:lang w:bidi="fa-IR"/>
        </w:rPr>
        <w:t>لا من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 المصنّف بتعدّد الكفّارة يقتضي عدم الفرق بين ما إذا قصد بالثاني وما بعده التأكيد للأوّل، و ما إذا قصد الظهار أو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الظاهر من إطلاق جماعة</w:t>
      </w:r>
      <w:r>
        <w:rPr>
          <w:rStyle w:val="FootnoteAnchor"/>
          <w:rtl w:val="true"/>
        </w:rPr>
        <w:footnoteReference w:id="225"/>
      </w:r>
      <w:r>
        <w:rPr>
          <w:rFonts w:ascii="Amiri" w:hAnsi="Amiri" w:eastAsia="Amiri" w:cs="Amiri"/>
          <w:color w:val="111111"/>
          <w:sz w:val="28"/>
          <w:sz w:val="28"/>
          <w:szCs w:val="28"/>
          <w:rtl w:val="true"/>
          <w:lang w:bidi="ar-SA"/>
        </w:rPr>
        <w:t>، و المتبادر من مذهب العلّامة في المختلف؛ لأنّه أجاب عن حجّة الشيخ باتّحاد الظهار مع إرادة التأكيد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نمنع الوحدة، فإنّ التأكيد غير المؤكّد و المطلق موجود في كلّ فرد، و هو يستلزم تعدّد المعلول بحسب تعدّد العلّة</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لكنّه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نقل عن الشيخ في النهاية إطلاق القول بتعدّد الكفّارة</w:t>
      </w:r>
      <w:r>
        <w:rPr>
          <w:rStyle w:val="FootnoteAnchor"/>
          <w:rtl w:val="true"/>
        </w:rPr>
        <w:footnoteReference w:id="227"/>
      </w:r>
      <w:r>
        <w:rPr>
          <w:rFonts w:ascii="Amiri" w:hAnsi="Amiri" w:eastAsia="Amiri" w:cs="Amiri"/>
          <w:color w:val="111111"/>
          <w:sz w:val="28"/>
          <w:sz w:val="28"/>
          <w:szCs w:val="28"/>
          <w:rtl w:val="true"/>
          <w:lang w:bidi="ar-SA"/>
        </w:rPr>
        <w:t>، و عن المبسوط بعدم وجوبها مع قصد التأكيد على ذلك الوجه</w:t>
      </w:r>
      <w:r>
        <w:rPr>
          <w:rStyle w:val="FootnoteAnchor"/>
          <w:rtl w:val="true"/>
        </w:rPr>
        <w:footnoteReference w:id="228"/>
      </w:r>
      <w:r>
        <w:rPr>
          <w:rFonts w:ascii="Amiri" w:hAnsi="Amiri" w:eastAsia="Amiri" w:cs="Amiri"/>
          <w:color w:val="111111"/>
          <w:sz w:val="28"/>
          <w:sz w:val="28"/>
          <w:szCs w:val="28"/>
          <w:rtl w:val="true"/>
          <w:lang w:bidi="ar-SA"/>
        </w:rPr>
        <w:t>، و عن الخلاف قريباً منه</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غير مخالف لقوله في النهاية ؛ لأنّ قوله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ظاهر من امرأته مرّةً بعد أخرى، و تأكيد الظهار ليس ظهاراً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يرشد إلى أنّ التأكيد لايوجب التعدّد مطلقاً، و هو خلاف ما سبق منه و خلاف ما فصّله الشيخ، فإنّه قيّد اتّحاد الكفّارة مع قصد التأكيد بما لو وقع الظهار متتابعاً، و أوجب مع التفريق تعدّدها مطلقاً </w:t>
      </w:r>
      <w:bookmarkStart w:id="53" w:name="pg10270_80112"/>
    </w:p>
    <w:p>
      <w:pPr>
        <w:pStyle w:val="Heading4"/>
        <w:numPr>
          <w:ilvl w:val="3"/>
          <w:numId w:val="1"/>
        </w:numPr>
        <w:rPr/>
      </w:pPr>
      <w:bookmarkStart w:id="54" w:name="__RefHeading___Toc3860012_1067777946"/>
      <w:bookmarkStart w:id="55" w:name="_Toc20"/>
      <w:bookmarkEnd w:id="53"/>
      <w:bookmarkEnd w:id="54"/>
      <w:r>
        <w:rPr>
          <w:rtl w:val="true"/>
        </w:rPr>
        <w:t>حکم الوطء إذا أطلق الظهار أو علّقه بشرط</w:t>
      </w:r>
      <w:bookmarkEnd w:id="55"/>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أطلق الظهار حرم عليه الوطء حتّى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علّقه بشرط جاز الوطء ما لم يحصل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وطئ قبله لم يكفّر و لو كان الوطء هو الشرط ثبت الظهار بعد فعله، و لا تستقرّ الكفّارة حتى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بنفس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ولده في الشرح أنّ موضع الخلاف ما إذا لم يقصد التأكيد</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بإطلاقه على ما ذكره والده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صرّح في التحرير</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المعتمد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الخلاف على تقدير الحكم باتّحاد الكفّارة مخصوص بما إذا لم يتخلّل التكفير، أمّا لوكفّر من السابق ثمّ جدّد الظهار فلا شبهة في وجوب الكفّارة به؛ لأنّ حكم الأوّل قد سقط بالتكفير فلا يتوجّه الاجتزاء بتلك الكفّارة عن الظهار المتأخّر عنها، مع أنّه سبب تامّ في إيجابها مع العود، و الكفّارة المتقدّمة على سبب الوجوب لاتجزئ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أطلق الظهار حرم عليه الوطء حتّى يكفّر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حكم الظهار الصحيح تحريم الوطء إذا وجبت الكفّارة إلى أن يكفّر، فلو وطئ قبل التكفير عصى و حرم عليه العود ثانياً إلى أن يكفّر أيضاً،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مِّن قَبْلِ أن يَتَمَاسا</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كان الظهار مطلقاً غير معلّق على شرط فوقوع الظهار يحصل بنفس الصيغة، و وجوب الكفّارة بالعود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معلّقاً على شرطٍ فوقوعه مشروط بحصول ذلك الشرط قضيّة للتعليق، فيجوز الوطء قبل حصوله، فإذا حصل وقع الظهار حينئذٍ، و لحقه حكمه من تحريم الوطء وتوقّف وجوب الكفّارة على العود بعد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كون الشرط وطئاً و غيره؛ لاشتراكهما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تقدير كونه وطئاً،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وطئتكِ فأنتِ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وطؤها أوّل مرّة، فإذا وطئ انعقد الظهار،و توقّف وجوب الكفّارة على العزم على وطئها مرّةً أُخرى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الشرط هو الوطء وجبت الكفّارة بنفس الوطء</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ابتداؤه جائزاً، بناءً على أنّ الاستمرار وطء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فإنّما يباح منه مسمّاه، و تجب الكفّارة و لو بالنزع بعد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 فإنّ الوطء أمر واحد عرفاً من ابتدائه إلى النزع، و الإطلاق محمول على العرف، و المشروط إنّما يقع بعد وقوع الشرط 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نزع كاملاً ثمّ عاد وجبت الكفّارة و إن كان في حالة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هنا مباحث و صور متفرّعة على التعليق يتدرّب بها على ما يرد من نظائرها، فإنّها غير 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علّقه بفعل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دخلت دار فلان أو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بعد الدخول و التكليم،سواء طال الزمان أم قصر، ولا يقع قبله كما قد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علّقه بنفي فعل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تدخلي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إلّا عند اليأس من الدخول،كأن مات أحدهما قبله، فيحكم بوقوعه 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أتزوّج عليكِ فأنتِ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تصير مظاهراً عند اليأس و ذلك بالموت، فتبيّن أنّه قبل الموت صار مظاهراً و لا كفّارة عليه؛ لعدم العود بعده؛ لأنّ الموت عقيب صيرورته مظاهراً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علّق النفي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تدخلي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عند مضيّ زمن يمكن فيه ذلك الفعل من وقت التعليق فلم تفعل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الفرق بين الأداتين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 لا إشعار له بالزمان،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التناول للأوقات، فإذا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ألقاك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شئت، و لایصحّ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تدخلي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فاتك دخولها، و فواته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تدخلي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وقت فاتك الدخول، فيقع الظهار بمضيّ زمان يمكن فيه الدخول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وقوعه في الموضعين بمضيّ زمن يمكن فيه الفعل؛ لدلالة العرف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يقوى الاحتمال مع انضباطه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علّقه بالحمل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حاملاً فأنتِ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بها حمل ظاهر وقع في الحال، و إلّا فإن ولدت لدون ستّة أشهر من التعليق بانَ وقوعه حين التعليق؛ لوجود الحمل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ولدت لأكثر من أقصى مدّة الحمل أو بينهما و وطئت بعد التعليق؛ و أمكن حدوثه به بأن كان بين الوطء و الوضع ستّة أشهر فأكثر لم يقع؛ لتبيّن انتفاء الحمل في الأوّل، و احتمال حدوثه بعد التعليق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يطأها بعد التعليق بحيث يمكن حدوثه به ففي وقوعه وجهان، من احتمال حدوثه بغير الوطء كاستدخال المنيّ، و الأصل عدم تقدّمه و من أنّ ذلك نادر، و الظاهر وجوده عند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نظيره فيما لو أوصى للحمل</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ولدتِ أنثى فأنتِ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فولدتها وقع حين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حاملاً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تبيّن بولادتها وقوعه حين التعليق، و إن توقّف ظهوره على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في احتساب المدّة من حينه لو كان قد وقّته بمدّة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علّقه بالحيض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حضتِ حيضة فأنتِ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حتّى ينقضي حيض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وقع إذا رأت دماً محكوماً بكونه حيضاً، فإن كانت معتادةً و رأته في عادتها وقع برؤية الدم، و إلّا فبمضيّ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بتحيّضها برؤية الدم مطلقاً أو مع ظنّه يقع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توقّفه على ثلاثة مطلقاً؛ إذ به يتحقّق أنه ليس بدم فساد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بينه و بين العبادة و التحريم أنّ الظهار لايقع إلّا بيقين و أحكام الحيض تثبت بالظاهر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لها ذلك وهي حائض لم يقع إلّا بحيضة مستأنفة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مهما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فالقول قولها، بخلاف ما لو علّقه على دخولها الدار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تحتاج إلى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عسر إقامة البيّنة على الحيض، و غاية غيرها مشاهدة الدم، و ذلك لايعرف إذا لم تعرف عادتها و أدوارها، فلعلّه دم فساد، فاكتفى الشارع فيه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الطلاق ما يدلّ عليه من النصّ</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أضمرت بغضي فأنتِ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فالقول قولها، لعسر الاطّلاع، بخلاف الأفعال الظاهرة كدخول الدار؛ لسهولة إقامة البيّنة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الشرط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دخلت دار زيد أو كلّمته فأنت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بأيّ واحد من الشرطين وجد، ثم لايقع بالآخر شيء؛ لأنّه ظهار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قدّم الجزاء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دخلت الدار و إن كلّمت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دخلت هذه الدار وإن دخلت الأخرى فأنت علىَّ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 دار فلان فأنت عليَّ كظهر أُمّي و إن كلّمته فأنت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دخلت هذه الدار فأنت كظهر أُمّي و إن دخلت هذه الدار فأنت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 الشرطان وقع الظهاران؛ لتعدّد الشرط والجزاء</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دخلت الدار و كلّمت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من وجودهما معاً لوقوعه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أن يتقدّم الكلام أو يتأخّر؛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لمطلق الجمع على أصحّ القولين</w:t>
      </w:r>
      <w:r>
        <w:rPr>
          <w:rStyle w:val="FootnoteAnchor"/>
          <w:rtl w:val="true"/>
        </w:rPr>
        <w:footnoteReference w:id="237"/>
      </w:r>
      <w:r>
        <w:rPr>
          <w:rFonts w:ascii="Amiri" w:hAnsi="Amiri" w:eastAsia="Amiri" w:cs="Amiri"/>
          <w:color w:val="111111"/>
          <w:sz w:val="28"/>
          <w:sz w:val="28"/>
          <w:szCs w:val="28"/>
          <w:rtl w:val="true"/>
          <w:lang w:bidi="ar-SA"/>
        </w:rPr>
        <w:t>، و يجيء على قول من يجعلها للترتيب</w:t>
      </w:r>
      <w:r>
        <w:rPr>
          <w:rStyle w:val="FootnoteAnchor"/>
          <w:rtl w:val="true"/>
        </w:rPr>
        <w:footnoteReference w:id="238"/>
      </w:r>
      <w:r>
        <w:rPr>
          <w:rFonts w:ascii="Amiri" w:hAnsi="Amiri" w:eastAsia="Amiri" w:cs="Amiri"/>
          <w:color w:val="111111"/>
          <w:sz w:val="28"/>
          <w:sz w:val="28"/>
          <w:szCs w:val="28"/>
          <w:rtl w:val="true"/>
          <w:lang w:bidi="ar-SA"/>
        </w:rPr>
        <w:t>اشتراط أن يتقدّم الدخول على الكلام، 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دخلت الدار ثمّ كلّمته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 الدار فكلّمته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يشترط جمعهما و تقديم الدخول في وقوعه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دخلت الدار، إن كلّمت زيداً، فأنت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قدّم الجزاء عليهما فلا بدّ منهما في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تقدّم المذكور 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المذكور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جعل الكلام شرطاً لتعلّق الظهار بالدخول، و يسمّى ذلك اعتراض الشرط على الشرط و التعليق يقبل التعليق، كما أنّ التنجيز يقبله، نظير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يَنفَعُكُمْ نُصْحِي إِنْ أَرَدتُّ أَنْ أَنصَحَ لَكُمْ إِن كَانَ اللَّهُ يُرِيدُ أَن يُغْوِيَكُمْ</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يريد أن يغويكم فلاينفعكم نصحي إن أردت أن أنصح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الترتيب، و يقع الظهار بحصولهما كيف اتّفق؛ لأنّه ذكر صفتين من غير عاطف، فلا وجه لاعتبار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علّق الظهار على مخالفتها الأمر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خالفت أمري فأنت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لاتكلّمي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لاتخرجي 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فكلّمته أو خرجت لم يقع الظهار؛ لأنّها ما خالفت أمره، و إنّما خالفت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الوقوع؛ نظراً إلى أنّه يسمّى في العرف</w:t>
      </w:r>
    </w:p>
    <w:p>
      <w:pPr>
        <w:pStyle w:val="BookText"/>
        <w:rPr/>
      </w:pPr>
      <w:r>
        <w:rPr>
          <w:rFonts w:ascii="Amiri" w:hAnsi="Amiri" w:eastAsia="Amiri" w:cs="Amiri"/>
          <w:color w:val="111111"/>
          <w:sz w:val="28"/>
          <w:sz w:val="28"/>
          <w:szCs w:val="28"/>
          <w:rtl w:val="true"/>
          <w:lang w:bidi="ar-SA"/>
        </w:rPr>
        <w:t>مخالفة أمره، و يقوى ذلك إن استقرّ العرف عليه، و إلّا فالعبرة بالمعنى المصطلح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خالفت نهيي فأنت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فقعدت، ففي وقوعه أوجه مبنيّة على أن الأمر بالشيء هل هو نهى عن ضدّه مطلقاً، أو ضدّه العام، أو ليس نهياً عنهما؟ فعلى الأوّل يقع الظهار بفعلها ما يخالف أمره دون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يدلّ العرف على شيء، و إلّا عمل بمقتضاه مقدّماً على القاعدة الأصوليّة؛ لأنّ التعليقات تحمل على الأُمور العرفيّة لا على القواعد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انضبط العرف و إلّا رجع إلى الاصطلاح</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علّقه بقذفها زيداً وقع بقذفها له حيّاً و ميّتاً؛ لأنّ قذف الميّت كقذف الحيّ في الحكم، و سواء سمع المقذوف القذف أم لا؛ لصدقه في الحالين، بخلاف ما لو علّقه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بكلامه، فإنّه لايقع إلّا أن يسمع كلامها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منع من السماع لعارضٍ كلغطٍ و ذهولٍ و صممٍ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علّقه بالضرب لم يقع بضربه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اشتراط إيلامه به وجهان أجودهما العدم؛ لأنّه أعمّ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قذفته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كونها في المسجد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ضربته في المسجد اعتبر كون المضروب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أنّ قرينة الحال تشعر بأنّ المقصود الامتناع عمّا يهتك حرمة المساجد، و هتك الحرمة تكون بالقذف و القتل في المسجد، و هو يحصل إذا كان القاذف فيه و القتل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علّقه بالرؤية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 فلاناً فأنت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برؤيتها له حيّاً و ميّتاً، مستيقظاً ونائماً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رؤية شيء من بدنه 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كلّه مستوراً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لاتكفي رؤيته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رأته في ماء صاف لايمنع الرؤية فالأصحّ وقوعه؛ لأنّ الماء المتخلّل بينهما كأجزاء الهواء بينهما، و لهذا لاتصحّ صلاة المستتر بالماء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رأته من وراء جسم شفّاف كالزجاج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نظرت في المرآة أو الماء فرأته ففي وقوعه وجهان، من حصول الرؤية في الجملة، و كون المرئيّ مثاله لاشخصه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المرأة عمياء، فإن عرض عماها بعد إيقاعه الصيغة لم يقع بحضورها عنده؛ لأنّ ذلك لايعد رؤيةً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عمياء من حين إيقاعه احتمل كونه كذلك؛ لما ذكر، و حمله على حضورها عنده؛ لأنّ الأعمى يقول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اليوم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الحضور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عدم وقوعه فيهما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علّقه بالمسّ وقع إذا مسّت شيئاً من بدنه، حيّاً كان أم ميتاً، و يشترط كون الممسوس ممّا تحلّه الحياة، فلايقع بمسّ الشعر و الظفر؛ إذ لايقال لمن مسّهما من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مسّه، مع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اعتبار كون مسّها بباطن كفّها أو يعمّ سائر بدنها وجهان، أجودهما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والوجهان آتيان في مسّ المحدث للقرآن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يشترط كونه بما تحلّه الحياة من بدنها، كما يشترط ذلك في الممسوس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يأتي في مسّ الميّت على الوجه الذي يوجب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بوقوعه معلّقاً على الصفة كالشرط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أقوى القولين</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كظهر أُمّي في شهر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عند استهلال هلاله؛ لأنّ اسمه يتحقّق عند مجيء أوّل جزء منه،كما أنّه لو علّق بدخول الدار فحصلت في أوّلها وقع و لم يعتبر توسّطها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نهار شهر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يوم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عند طلوع الفجر من اليوم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آخر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فأوجهٌ، أصحّها وقوعه في آخر جزء منه؛ لأنّه المفهوم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 في أوّل جزء من ليلة السادس عشر؛ لأنّ النصف الثاني كلّه آخر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 في أوّل 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انتصافه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عند غروب شمس اليوم الخامس عشر و إن كان الشهر ناقصاً؛ لأنّه المفهوم من إطلاق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وقوعه في أوّل اليوم الخامس عشر؛ لأنّه يسمّى النصف و 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 مثلاً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المعلّق عليه إن فعله فاعله عامداً أو كان الغرض مجرّد التعليق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كقدوم الحاج و السلطان ومن لايبالي بتعليقه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الظهار عند حصول الشرط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الغرض منه المنع كما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دخلت دار فلان أو كلّمته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فكلّمته ناسيةً أو جاهلةً بالتعليق أو مجنونةً أو مكرهةً، أو علّق هو ذلك على فعله قاصداً منع نفسه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وقوعه وجهان، من وجود المعلّق به، و ليس النسيان و نحوه دافعاً للوقوع، ومن 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وضع عن أُمّتي الخطأ، والنسيان، وما استكرهوا عليه</w:t>
      </w:r>
      <w:r>
        <w:rPr>
          <w:rFonts w:eastAsia="IRNazanin" w:cs="IRNazanin"/>
          <w:color w:val="111111"/>
          <w:sz w:val="28"/>
          <w:szCs w:val="28"/>
          <w:rtl w:val="true"/>
          <w:lang w:bidi="fa-IR"/>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رفع المؤاخذة أو رفع الأحكام و التفصيل متوجّه نظراً إلى القصد</w:t>
      </w:r>
      <w:r>
        <w:rPr>
          <w:rFonts w:eastAsia="Amiri" w:cs="Amiri" w:ascii="Amiri" w:hAnsi="Amiri"/>
          <w:color w:val="111111"/>
          <w:sz w:val="28"/>
          <w:szCs w:val="28"/>
          <w:rtl w:val="true"/>
          <w:lang w:bidi="ar-SA"/>
        </w:rPr>
        <w:t xml:space="preserve">. </w:t>
      </w:r>
      <w:bookmarkStart w:id="56" w:name="pg10270_80119"/>
    </w:p>
    <w:p>
      <w:pPr>
        <w:pStyle w:val="Heading4"/>
        <w:numPr>
          <w:ilvl w:val="3"/>
          <w:numId w:val="1"/>
        </w:numPr>
        <w:rPr/>
      </w:pPr>
      <w:bookmarkStart w:id="57" w:name="__RefHeading___Toc3860014_1067777946"/>
      <w:bookmarkStart w:id="58" w:name="_Toc21"/>
      <w:bookmarkEnd w:id="56"/>
      <w:bookmarkEnd w:id="57"/>
      <w:r>
        <w:rPr>
          <w:rtl w:val="true"/>
        </w:rPr>
        <w:t>يحرم الوطء على المظاهر قبل تكفير</w:t>
      </w:r>
      <w:bookmarkEnd w:id="58"/>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الوطء على المظاهر ما لم يكفّر ، سواء كفّر بالعتق أو الصيام أو 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الوطء على المظاهر ما لم يكفّر، سواء كفّر بالعتق أو الصيام أو 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تحريم الوطء قبل العتق و الصيام فموضع و فاق بين المسلمين؛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مِّن قَبْلِ أَن يَتَمَآسّا</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شَهْرَيْنِ مُتَتَابِعَيْنِ مِن قَبْلِ أن يتماسّا</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أمّا تحريمه قبل الإطعام على تقدير عجزه عن الأوّلين فالأكثر منّا و من الجمهور عليه؛ لأنّ الله تعالى جعله بدلاً عنهما بقوله عقيب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يَسْتَطعْ فَإِطْعَامُ سِتِّينَ مِسْكِينًا</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و البدل يجب مساواته للمبدل في الحكم، و المطلق محمول على المقيّد مع اتّحاد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روي أنّ النبي صلّى الله عليه و آله وسلّم قال لرجل ظاهر من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لاتقربها حتّى تكفّر</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اعتزلها حتّى تكفّر</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و هو شامل للخصال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طريق الخاصّة ما تقدّم من صحيحة الحلبي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لايمسّها حتى يكفّر، فإن فعل يعتق أيضاً رقبة</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و غيرها من الأخبار الشاملة للخصال الثلاث</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 منّا و بعض العامّة</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انتقل فرضه إلى الإطعام لم يحرم الوطء قبله؛ لأنّ الله تعالى شرط في العتق و الصيام أن يكون قبل العود، و لم يشترط ذلك في الإطعام</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جوابه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وطئها خلال الصوم استأنف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شاذّ منّا لايبطل التتابع لو وطئ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وطئها خلال الصوم استأنف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شاذّ منّا لايبطل التتابع لو وطئ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أنّ الوطء موقوف على فعل الكفّارة الذي لايتمّ إلّا بالإتيان بها أجمع، فمتى وطئ في خلال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بعد أن صام شهراً و من الثاني يوماً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صدق عليه الوطء قبل أن يكفّر، فلايحصل الامتثال بالإكمال على هذا الوجه؛ لأنّ المأمور به هو صيام شهرين متتابعين من قبل أن يتماسّا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الحكم لايختصّ بالنهار، بل تحريم الوطء حاصل إلى أن يصوم شهرين، سواء كان في حالة مجوّزة للتفريق، كما لو صام شهراً و من الثانى يوماً أم لا، كما لو كان أقلّ من ذلك، و سواء كان الجماع مفسداً للصوم، كما لو وقع نهاراً أم لا، كما إذا وقع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هذا ذهب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لايبطل التتابع بالوطء ليلاً مطلقاً؛ لأنّ التتابع عبارة عن إتّباع صوم اللاحق للسابق من غير فارق، و هو متحقّق وإن وطئ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لايستأنف الكفّارة؛ لأنّه لم يبطل من الصوم شيء،و عليه إتمامه و كفّارة أخرى للوطء</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قوله بذلك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استدلّوا به أن يكون قد أثم بالوطء خلال الصوم كما يأثم به لو فعله قبل الشروع في الكفّارة، و إيجابه كفّارة أخرى، أما وجوب استئناف هذه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إنّ المأمور به صيام شهرين متتابعين قبل المسيس لاينفعهم؛ لأنّ الاستيناف يوجب كون الشهرين واقعين بعد التماس وإذا لم نوجبه كان بعض الشهرين قبل التماس و هذا أقرب إلى ما هو مأمور به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سلّمنا لكن بمخالفته يحصل الإثم 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وقع قبل الشروع، فإنّه إذا صام بعده فقد صدق عليه أنّه لم يأت بالمأمور به قبل أن يتماسّا، و مع ذلك وقع مجزياً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يحرم عليه ما دون الوطء كالقبلة و الملامسة؟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مماسّة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إشكال ينشأ من اختلاف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مختار ابن إدريس، و وافقه العلّامة في القواعد</w:t>
      </w:r>
      <w:r>
        <w:rPr>
          <w:rStyle w:val="FootnoteAnchor"/>
          <w:rtl w:val="true"/>
        </w:rPr>
        <w:footnoteReference w:id="252"/>
      </w:r>
      <w:r>
        <w:rPr>
          <w:rFonts w:ascii="Amiri" w:hAnsi="Amiri" w:eastAsia="Amiri" w:cs="Amiri"/>
          <w:color w:val="111111"/>
          <w:sz w:val="28"/>
          <w:sz w:val="28"/>
          <w:szCs w:val="28"/>
          <w:rtl w:val="true"/>
          <w:lang w:bidi="ar-SA"/>
        </w:rPr>
        <w:t>و الشهيد في الدروس</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يحرم عليه ما دون الوطء كالقبلة و الملامسة؟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لأنّه مماسّة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إشكال ينشأ من اختلاف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العلماء في القدر المحرّم منها المعبّر عنه بالمسيس هل هو الوطء أم جميع الاستمتاعات المحرّمة على غير الزوج كالقبلة و اللمس بشهوة و غيرها ؟</w:t>
      </w:r>
    </w:p>
    <w:p>
      <w:pPr>
        <w:pStyle w:val="BookText"/>
        <w:rPr/>
      </w:pPr>
      <w:r>
        <w:rPr>
          <w:rFonts w:ascii="Amiri" w:hAnsi="Amiri" w:eastAsia="Amiri" w:cs="Amiri"/>
          <w:color w:val="111111"/>
          <w:sz w:val="28"/>
          <w:sz w:val="28"/>
          <w:szCs w:val="28"/>
          <w:rtl w:val="true"/>
          <w:lang w:bidi="ar-SA"/>
        </w:rPr>
        <w:t>فقال بعضهم بالثاني؛ لأنّ المسيس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يَتَمَاسّا</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حقيقة في تلاقي الأبدان لغة</w:t>
      </w:r>
      <w:r>
        <w:rPr>
          <w:rStyle w:val="FootnoteAnchor"/>
          <w:rtl w:val="true"/>
        </w:rPr>
        <w:footnoteReference w:id="255"/>
      </w:r>
      <w:r>
        <w:rPr>
          <w:rFonts w:ascii="Amiri" w:hAnsi="Amiri" w:eastAsia="Amiri" w:cs="Amiri"/>
          <w:color w:val="111111"/>
          <w:sz w:val="28"/>
          <w:sz w:val="28"/>
          <w:szCs w:val="28"/>
          <w:rtl w:val="true"/>
          <w:lang w:bidi="ar-SA"/>
        </w:rPr>
        <w:t>،و الأصل عدم النقل والاشتراك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Style w:val="FootnoteAnchor"/>
          <w:rtl w:val="true"/>
        </w:rPr>
        <w:footnoteReference w:id="256"/>
      </w:r>
      <w:r>
        <w:rPr>
          <w:rFonts w:ascii="Amiri" w:hAnsi="Amiri" w:eastAsia="Amiri" w:cs="Amiri"/>
          <w:color w:val="111111"/>
          <w:sz w:val="28"/>
          <w:sz w:val="28"/>
          <w:szCs w:val="28"/>
          <w:rtl w:val="true"/>
          <w:lang w:bidi="ar-SA"/>
        </w:rPr>
        <w:t>بالأوّل؛ لأنّ المسيس يطلق على الوطء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تَمَسوهنَّ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و الأصل في الإطلاق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w:t>
      </w:r>
      <w:r>
        <w:rPr>
          <w:rStyle w:val="FootnoteAnchor"/>
          <w:rtl w:val="true"/>
        </w:rPr>
        <w:footnoteReference w:id="258"/>
      </w:r>
      <w:r>
        <w:rPr>
          <w:rFonts w:ascii="Amiri" w:hAnsi="Amiri" w:eastAsia="Amiri" w:cs="Amiri"/>
          <w:color w:val="111111"/>
          <w:sz w:val="28"/>
          <w:sz w:val="28"/>
          <w:szCs w:val="28"/>
          <w:rtl w:val="true"/>
          <w:lang w:bidi="ar-SA"/>
        </w:rPr>
        <w:t>باستلزامه النقل أو الاشتراك؛ إذ لاخلاف في عموم معناه لغةً، و جاز استعماله في بعض أفراده مجازاً، و هو أولى منهما ، و كثيراً ما يعدل في القرآن عمّا يستهجن التصريح به إلى المجاز لذلك، و لأنّ مقتضى تشبيهها بالأُمّ كون تحريمها على حدّ تحريمها إلى أن يكفّر، و هو متناول لغير الوطء من ضروبه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بأنّ ذلك يقتضي تحريم النظر بشهوة،و الآية</w:t>
      </w:r>
      <w:r>
        <w:rPr>
          <w:rStyle w:val="FootnoteAnchor"/>
          <w:rtl w:val="true"/>
        </w:rPr>
        <w:footnoteReference w:id="259"/>
      </w:r>
      <w:r>
        <w:rPr>
          <w:rFonts w:ascii="Amiri" w:hAnsi="Amiri" w:eastAsia="Amiri" w:cs="Amiri"/>
          <w:color w:val="111111"/>
          <w:sz w:val="28"/>
          <w:sz w:val="28"/>
          <w:szCs w:val="28"/>
          <w:rtl w:val="true"/>
          <w:lang w:bidi="ar-SA"/>
        </w:rPr>
        <w:t xml:space="preserve">لاتدلّ عليه،و ظاهر بعض </w:t>
      </w:r>
      <w:bookmarkStart w:id="59" w:name="pg10270_80122"/>
    </w:p>
    <w:p>
      <w:pPr>
        <w:pStyle w:val="Heading4"/>
        <w:numPr>
          <w:ilvl w:val="3"/>
          <w:numId w:val="1"/>
        </w:numPr>
        <w:rPr/>
      </w:pPr>
      <w:bookmarkStart w:id="60" w:name="__RefHeading___Toc3860016_1067777946"/>
      <w:bookmarkStart w:id="61" w:name="_Toc22"/>
      <w:bookmarkEnd w:id="59"/>
      <w:bookmarkEnd w:id="60"/>
      <w:r>
        <w:rPr>
          <w:rtl w:val="true"/>
        </w:rPr>
        <w:t>إذا عجز المظاهر عن الكفّارة</w:t>
      </w:r>
      <w:bookmarkEnd w:id="61"/>
    </w:p>
    <w:p>
      <w:pPr>
        <w:pStyle w:val="BookText"/>
        <w:rPr/>
      </w:pPr>
      <w:r>
        <w:rPr>
          <w:rFonts w:ascii="Amiri" w:hAnsi="Amiri" w:eastAsia="Amiri" w:cs="Amiri"/>
          <w:color w:val="111111"/>
          <w:sz w:val="28"/>
          <w:sz w:val="28"/>
          <w:szCs w:val="28"/>
          <w:rtl w:val="true"/>
          <w:lang w:bidi="ar-SA"/>
        </w:rPr>
        <w:t>التاسعة • إذا عجز المظاهر عن الكفّارة أو ما يقوم مقامها عدا الاستغفار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عليه حتّى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يجزئه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الأصحاب أنّه غير محرّم</w:t>
      </w:r>
      <w:r>
        <w:rPr>
          <w:rStyle w:val="FootnoteAnchor"/>
          <w:rtl w:val="true"/>
        </w:rPr>
        <w:footnoteReference w:id="260"/>
      </w:r>
      <w:r>
        <w:rPr>
          <w:rFonts w:ascii="Amiri" w:hAnsi="Amiri" w:eastAsia="Amiri" w:cs="Amiri"/>
          <w:color w:val="111111"/>
          <w:sz w:val="28"/>
          <w:sz w:val="28"/>
          <w:szCs w:val="28"/>
          <w:rtl w:val="true"/>
          <w:lang w:bidi="ar-SA"/>
        </w:rPr>
        <w:t>لعدم الدليل عليه، و إنّما الكلام فيما يدخل في مفهوم التماس لغةً من ضروب 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بأنّها لم تخرج عن ملك الاستمتاع بالظهار، فأشبه الصوم و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استصحاب الحلّ فيما عدا موضع الوفاق هو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تحريم المرأة شرعاً تارةً يختصّ بالوطء كحالة الحيض و الصوم، و تارة يعمّ كحالة الإحرام و الاعتكاف، و تارةً يقع فيه الاختلاف كحالة الاستبراء و الظهار و استمتاع المالك بالجارية المرهونة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قسم العموم الاستمتاع بالمعتدّة و المرتدّة و الأمة المزوّجة لغير المالك بالنسبة إليه، و المعتدّة عن وطء الشبهة في صلب النكاح، و يلحق في الصوم النظر و اللمس لمن يخشى الإنزال بالوطء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عجز المظاهر عن الكفّارة أو ما يقوم مقامها عدا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المظاهر إن قدر على إحدى الخصال الثلاث لم يحلّ الوطء حتّى يكفّر إجماعاً، و هو المعبّر عنه في كلام المصنّف بالكفّارة، وإن عجز عن الثلاث فهل لها بدل يتوقّف عليه حلّ الوطء؟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اختلفوا في البدل، فقال الشيخ في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للإطعام بدلاً و هو صيام ثمانیّة عشر يوماً ، فإن عجز عنها حرم عليه وطؤها إلى أن يكفّر</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ابنا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مع العجز عن إطعام الستّين يتصدّق بما يطيق</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عجز عن صوم شهرين متتابعين صام ثمانیّة عشر يوماً، فإن عجز تصدّق عن كلّ يوم بمدّين من طعام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عن الخصال الثلاث فبدلها الاستغفار</w:t>
      </w:r>
      <w:r>
        <w:rPr>
          <w:rStyle w:val="FootnoteAnchor"/>
          <w:rtl w:val="true"/>
        </w:rPr>
        <w:footnoteReference w:id="264"/>
      </w:r>
      <w:r>
        <w:rPr>
          <w:rFonts w:ascii="Amiri" w:hAnsi="Amiri" w:eastAsia="Amiri" w:cs="Amiri"/>
          <w:color w:val="111111"/>
          <w:sz w:val="28"/>
          <w:sz w:val="28"/>
          <w:szCs w:val="28"/>
          <w:rtl w:val="true"/>
          <w:lang w:bidi="ar-SA"/>
        </w:rPr>
        <w:t>، و يكفي في حلّ الوطء، و لايجب عليه قضاء الكفّارة بعد ذلك و إن قدر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قول آخر بذلك لكن تجب الكفّارة بعد القدرة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في قول ثالث</w:t>
      </w:r>
      <w:r>
        <w:rPr>
          <w:rStyle w:val="FootnoteAnchor"/>
          <w:rtl w:val="true"/>
        </w:rPr>
        <w:footnoteReference w:id="266"/>
      </w:r>
      <w:r>
        <w:rPr>
          <w:rFonts w:ascii="Amiri" w:hAnsi="Amiri" w:eastAsia="Amiri" w:cs="Amiri"/>
          <w:color w:val="111111"/>
          <w:sz w:val="28"/>
          <w:sz w:val="28"/>
          <w:szCs w:val="28"/>
          <w:rtl w:val="true"/>
          <w:lang w:bidi="ar-SA"/>
        </w:rPr>
        <w:t>، و المفيد</w:t>
      </w:r>
      <w:r>
        <w:rPr>
          <w:rStyle w:val="FootnoteAnchor"/>
          <w:rtl w:val="true"/>
        </w:rPr>
        <w:footnoteReference w:id="267"/>
      </w:r>
      <w:r>
        <w:rPr>
          <w:rFonts w:ascii="Amiri" w:hAnsi="Amiri" w:eastAsia="Amiri" w:cs="Amiri"/>
          <w:color w:val="111111"/>
          <w:sz w:val="28"/>
          <w:sz w:val="28"/>
          <w:szCs w:val="28"/>
          <w:rtl w:val="true"/>
          <w:lang w:bidi="ar-SA"/>
        </w:rPr>
        <w:t>، و ابن الجنيد</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الخصال الثلاث لا بدل لها أصلاً، بل يحرم عليه وطؤها إلى أن يؤدّي الواجب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يقتضيه نصّ القرآن</w:t>
      </w:r>
      <w:r>
        <w:rPr>
          <w:rStyle w:val="FootnoteAnchor"/>
          <w:rtl w:val="true"/>
        </w:rPr>
        <w:footnoteReference w:id="269"/>
      </w:r>
      <w:r>
        <w:rPr>
          <w:rFonts w:ascii="Amiri" w:hAnsi="Amiri" w:eastAsia="Amiri" w:cs="Amiri"/>
          <w:color w:val="111111"/>
          <w:sz w:val="28"/>
          <w:sz w:val="28"/>
          <w:szCs w:val="28"/>
          <w:rtl w:val="true"/>
          <w:lang w:bidi="ar-SA"/>
        </w:rPr>
        <w:t>، و إثبات حكم غيره يحتاج إلى دليل صالح، و هو 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رواية سلمة بن صخر و أمر النبي صلّى الله عليه و آله و سلّم إيَّاه بالخصال، و أمره مع إقراره بالعجز أن يأخذ من الصدقة و يكفّر</w:t>
      </w:r>
      <w:r>
        <w:rPr>
          <w:rStyle w:val="FootnoteAnchor"/>
          <w:rtl w:val="true"/>
        </w:rPr>
        <w:footnoteReference w:id="270"/>
      </w:r>
      <w:r>
        <w:rPr>
          <w:rFonts w:ascii="IRNazanin" w:hAnsi="IRNazanin" w:eastAsia="IRNazanin"/>
          <w:color w:val="111111"/>
          <w:sz w:val="28"/>
          <w:sz w:val="28"/>
          <w:szCs w:val="28"/>
          <w:rtl w:val="true"/>
          <w:lang w:bidi="fa-IR"/>
        </w:rPr>
        <w:t>، و لو كان الاستغفار للعاجز كافياً لأمره به و كذا غيره من الأبدال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رواية أبي بصير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عجز عن الكفّارة التي تجب عليه من صوم أو عتق أو صدقة في يمين أو نذر أو قتل أو غير ذلك ممّا يجب على صاحبه فيه الكفّارة، فالاستغفار له كفّارة، ما خلا يمين الظهار، فإنّه إذا لم يجد ما يكفّر به حرمت عليه أن يجامعها، و فرّق بينهما إلّا أن ترضى المرأة أن يكون معها و لايجامعها</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في المختلف للاجتزاء بالاستغفار بعد العجز عن الخصال الثلاث بأصالة براءة الذمّة، و إباحة الوطء، و إيجاب الكفّارة مع العجز تكليف بغير المقدور فيكون مدفوعاً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الظهار إذا عجز صاحبه عن الكفّارة فليستغفر ربّه و ليَنوِ أن لايعود قبل أن يواقع ثمّ ليواقع و قد أجزأ ذلك عنه من الكفّارة، فإذا وجد السبيل إلى ما يكفّر به يوماً من الأيّام فليكفّر، و إن تصدّق بكفّه فأطعم نفسه و عياله فإنّه يجزئه إذا كان محتاجاً، و إلّا يجد ذلك فليستغفر الله ربّه و ينوى أن لايعود فحسبه بذلك و الله كفّارة</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البراءة وإباحة الوطء انقطعا بالظهار، فإنّه حرّم الوطء بإجماع المسلمين و أوجب الكفّارة مع العود، فإسقاطهما بعد ذلك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 من هذا الفاضل مثل 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فدلالتها لاتخلو من اضطراب لتضمّن صدرها وجوب الكفّارة إذا قدر عليها بعد الاستغفار وآخرها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العمل بمضمونها موقوف على قبول الموثّق، خصوصاً مع معارضة القرآن</w:t>
      </w:r>
      <w:r>
        <w:rPr>
          <w:rStyle w:val="FootnoteAnchor"/>
          <w:rtl w:val="true"/>
        </w:rPr>
        <w:footnoteReference w:id="274"/>
      </w:r>
      <w:r>
        <w:rPr>
          <w:rFonts w:ascii="Amiri" w:hAnsi="Amiri" w:eastAsia="Amiri" w:cs="Amiri"/>
          <w:color w:val="111111"/>
          <w:sz w:val="28"/>
          <w:sz w:val="28"/>
          <w:szCs w:val="28"/>
          <w:rtl w:val="true"/>
          <w:lang w:bidi="ar-SA"/>
        </w:rPr>
        <w:t>و ما هو أقوى دلالة</w:t>
      </w:r>
      <w:r>
        <w:rPr>
          <w:rStyle w:val="FootnoteAnchor"/>
          <w:rtl w:val="true"/>
        </w:rPr>
        <w:footnoteReference w:id="275"/>
      </w:r>
      <w:r>
        <w:rPr>
          <w:rFonts w:ascii="Amiri" w:hAnsi="Amiri" w:eastAsia="Amiri" w:cs="Amiri"/>
          <w:color w:val="111111"/>
          <w:sz w:val="28"/>
          <w:sz w:val="28"/>
          <w:szCs w:val="28"/>
          <w:rtl w:val="true"/>
          <w:lang w:bidi="ar-SA"/>
        </w:rPr>
        <w:t>و العلّامة كالشيخ لاينضبط مذهبه في العمل بالرواية، و في أصول الفقه اشترط في الراوي الإيمان و العدالة</w:t>
      </w:r>
      <w:r>
        <w:rPr>
          <w:rStyle w:val="FootnoteAnchor"/>
          <w:rtl w:val="true"/>
        </w:rPr>
        <w:footnoteReference w:id="276"/>
      </w:r>
      <w:r>
        <w:rPr>
          <w:rFonts w:ascii="Amiri" w:hAnsi="Amiri" w:eastAsia="Amiri" w:cs="Amiri"/>
          <w:color w:val="111111"/>
          <w:sz w:val="28"/>
          <w:sz w:val="28"/>
          <w:szCs w:val="28"/>
          <w:rtl w:val="true"/>
          <w:lang w:bidi="ar-SA"/>
        </w:rPr>
        <w:t>و في فروع الفقه له آراء متعدّدة منها قبول الموثّق</w:t>
      </w:r>
      <w:r>
        <w:rPr>
          <w:rStyle w:val="FootnoteAnchor"/>
          <w:rtl w:val="true"/>
        </w:rPr>
        <w:footnoteReference w:id="277"/>
      </w:r>
      <w:r>
        <w:rPr>
          <w:rFonts w:ascii="Amiri" w:hAnsi="Amiri" w:eastAsia="Amiri" w:cs="Amiri"/>
          <w:color w:val="111111"/>
          <w:sz w:val="28"/>
          <w:sz w:val="28"/>
          <w:szCs w:val="28"/>
          <w:rtl w:val="true"/>
          <w:lang w:bidi="ar-SA"/>
        </w:rPr>
        <w:t>كما هنا، بل ما هو أدنى مرتبةً منه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 الشيخ على إيجاب صوم ثمانیّة عشر يوماً بدلاً مع العجز عن الخصال</w:t>
      </w:r>
      <w:r>
        <w:rPr>
          <w:rStyle w:val="FootnoteAnchor"/>
          <w:rtl w:val="true"/>
        </w:rPr>
        <w:footnoteReference w:id="278"/>
      </w:r>
      <w:r>
        <w:rPr>
          <w:rFonts w:ascii="Amiri" w:hAnsi="Amiri" w:eastAsia="Amiri" w:cs="Amiri"/>
          <w:color w:val="111111"/>
          <w:sz w:val="28"/>
          <w:sz w:val="28"/>
          <w:szCs w:val="28"/>
          <w:rtl w:val="true"/>
          <w:lang w:bidi="ar-SA"/>
        </w:rPr>
        <w:t xml:space="preserve">برواية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وهيب بن حفص</w:t>
      </w:r>
      <w:r>
        <w:rPr>
          <w:rStyle w:val="FootnoteAnchor"/>
          <w:rtl w:val="true"/>
        </w:rPr>
        <w:footnoteReference w:id="279"/>
      </w:r>
      <w:r>
        <w:rPr>
          <w:rFonts w:ascii="IRNazanin" w:hAnsi="IRNazanin" w:eastAsia="IRNazanin"/>
          <w:color w:val="111111"/>
          <w:sz w:val="28"/>
          <w:sz w:val="28"/>
          <w:szCs w:val="28"/>
          <w:rtl w:val="true"/>
          <w:lang w:bidi="fa-IR"/>
        </w:rPr>
        <w:t>، عن أبي بصير، عن الصادق علیه 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ظاهر من امرأته فلم يجد ما يعتق و لا ما يتصدّق و لايقوى على الصيام،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يصوم ثمانیّة عشر يوماً لكلّ عشرة مساكين ثلاثة أيّام</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بوهيب</w:t>
      </w:r>
      <w:r>
        <w:rPr>
          <w:rStyle w:val="FootnoteAnchor"/>
          <w:rtl w:val="true"/>
        </w:rPr>
        <w:footnoteReference w:id="281"/>
      </w:r>
      <w:r>
        <w:rPr>
          <w:rFonts w:ascii="Amiri" w:hAnsi="Amiri" w:eastAsia="Amiri" w:cs="Amiri"/>
          <w:color w:val="111111"/>
          <w:sz w:val="28"/>
          <w:sz w:val="28"/>
          <w:szCs w:val="28"/>
          <w:rtl w:val="true"/>
          <w:lang w:bidi="ar-SA"/>
        </w:rPr>
        <w:t>، و اشتراك أبي بصير</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قيل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بدل للواجب بالآية</w:t>
      </w:r>
      <w:r>
        <w:rPr>
          <w:rStyle w:val="FootnoteAnchor"/>
          <w:rtl w:val="true"/>
        </w:rPr>
        <w:footnoteReference w:id="283"/>
      </w:r>
      <w:r>
        <w:rPr>
          <w:rFonts w:ascii="Amiri" w:hAnsi="Amiri" w:eastAsia="Amiri" w:cs="Amiri"/>
          <w:color w:val="111111"/>
          <w:sz w:val="28"/>
          <w:sz w:val="28"/>
          <w:szCs w:val="28"/>
          <w:rtl w:val="true"/>
          <w:lang w:bidi="ar-SA"/>
        </w:rPr>
        <w:t xml:space="preserve">بنصّ متأخّر يوجب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على ما حقّق في الأصول</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بقيّة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تفصيل ابن حمزة</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دليل معتدّبه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ورد في كفّارة رمضان أنّه مع العجز عن إطعام الستّين يتصدّق بما يطيق، رواه عبد الله بن سنان في الحسن عن أبي عبدالله علیه السلام</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يؤيّده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أمرتكم بأمر فأتوا منه ما استطعتم</w:t>
      </w:r>
      <w:r>
        <w:rPr>
          <w:rFonts w:eastAsia="IRNazanin" w:cs="IRNazanin"/>
          <w:color w:val="111111"/>
          <w:sz w:val="28"/>
          <w:szCs w:val="28"/>
          <w:rtl w:val="true"/>
          <w:lang w:bidi="fa-IR"/>
        </w:rPr>
        <w:t>»</w:t>
      </w:r>
      <w:r>
        <w:rPr>
          <w:rStyle w:val="FootnoteAnchor"/>
          <w:rtl w:val="true"/>
        </w:rPr>
        <w:footnoteReference w:id="287"/>
      </w:r>
      <w:r>
        <w:rPr>
          <w:rFonts w:ascii="Amiri" w:hAnsi="Amiri" w:eastAsia="Amiri" w:cs="Amiri"/>
          <w:color w:val="111111"/>
          <w:sz w:val="28"/>
          <w:sz w:val="28"/>
          <w:szCs w:val="28"/>
          <w:rtl w:val="true"/>
          <w:lang w:bidi="ar-SA"/>
        </w:rPr>
        <w:t>و هو عامّ فيصلح حجّةٌ للصدوقين</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المراد بالاستغفار فى هذا الباب و نظائره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مقترناً بالتوبة التي هي الندم على فعل الذنب و العزم على ترك المعاودة إلى الذنب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لايكفي اللفظ </w:t>
      </w:r>
      <w:bookmarkStart w:id="62" w:name="pg10270_80126"/>
    </w:p>
    <w:p>
      <w:pPr>
        <w:pStyle w:val="Heading4"/>
        <w:numPr>
          <w:ilvl w:val="3"/>
          <w:numId w:val="1"/>
        </w:numPr>
        <w:rPr/>
      </w:pPr>
      <w:bookmarkStart w:id="63" w:name="__RefHeading___Toc3860018_1067777946"/>
      <w:bookmarkStart w:id="64" w:name="_Toc23"/>
      <w:bookmarkEnd w:id="62"/>
      <w:bookmarkEnd w:id="63"/>
      <w:r>
        <w:rPr>
          <w:rtl w:val="true"/>
        </w:rPr>
        <w:t>المظاهرة تصبر أو ترفع أمرها إلى الحاكم</w:t>
      </w:r>
      <w:bookmarkEnd w:id="64"/>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صبرت المظاهرة فلا اعتراض وإن رفعت أمرها إلى الحاكم خيّره بين التكفير و الرجعة أو الطلاق، و أنظره ثلاثة أشهر من حين المرافعة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انقضت المدّة و لم يختر أحدهما ضيّق عليه في المطعم والمشرب حتّى يختار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لايجبره على الطلاق تضييقاً، و لايطلّق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المجرّد عن ذلك، و إنّما جعله الشارع كاشفاً عمّا في القلب كما جعل الإسلام باللفظ كاشفاً عن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كافٍ في البدليّة ظاهراً، و أمّا فيما بينه و بين الله تعالى فإن لم يقترن بالتوبة التي هي من الأُمور الباطنة لم يترتّب عليه أثر فيما بينه و بين الله تعالى، بل كان الوطء معه كالوطء قبل التكفير، فيجب عليه به كفّارة أخرى في نفس الأمر و إن لم يحكم عليه بها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صبرت المظاهرة فلا 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منفعة الوطء أو مطلق الاستمتاع المترتّب تحريمه على الظهار مشتركة بين الزوجين، إلّا أنّ المظاهر أدخل الضرر على نفسه، فإذا أراد العود فوسيلته إلى الحلّ الكفّارة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المرأة فإن صبرت فلا اعتراض لأحد، و ليس له أن يحملها على المرافعة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تصبر و رفعت أمرها إلى الحاكم خيّره بين العود و التكفير و بين الطلاق، فإن أبى منهما أنظره ثلاثة أشهر من حين المرافعة لينظر في أمره، فإذا انقضت المدّة و لم يختر أحدهما حبسه و ضيّق عليه في المطعم و المشرب، بأن يمنعه ممّا زاد على ما يسدّ الرمق و يشقّ معه الصبر إلى أن يختار أحد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لايجبره على أحدهما عيناً، بل يخيّره بينهما كما مرّ، لا من حيث إنّ الطلاق الإجباري لایصحّّ؛ لأنّ الإجبار يتحقّق على التقديرين، فإنّه أحد الأمرين المحمول عليهما تخييراً، فهو محمول عليه في الجملة، بل لأنّ الشارع لم يجبره إلّا كذلك، و لو أمر بإجباره على الطلاق بخصوصه لجاز، كما صحّ الإجبار في مواضع كثيرة، و لم ينفِ صحّة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الأصحاب الاتّفاق على هذا الحكم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الموجود فيه من الأخبار رواية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ظاهر من امرأته،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أتاها فعليه عتق رقبة أو صيام شهرين متتابعين أو إطعام ستّين مسكيناً،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إلّا ترك ثلاثة أشهر، فإن فاء و إلّا أُوقف حتى يسأل ألك حاجة في امرأتك أو تطلّقها؟فإن فاء فليس عليه شيء، و هي امرأته، و إن طلّق واحدة فهو أملك برجعتها</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طريق الرواية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الحكم على إطلاقه إشكال؛ لشموله ما إذا رافعته عقيب الظهار بغير فصل بحيث لايفوت الواجب لها من الوطء بعد مضيّ المدّة المضروبة، فإنّ الواجب وطؤها في كلّ أربعة أشهر مرّةً، و غيره من الحقوق لايفوت بالظهار، أمّا إذا لم نحرّم غير الوطء فظاهر، و أمّا إذا حرّمناه فيبقى لها حقّ القسم على بعض الوجوه، و هو غير مناف للظهار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الرواية أُمور أُخر منافية للقواعد</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0270_80129"/>
      <w:bookmarkStart w:id="66" w:name="pg10270_80129"/>
      <w:bookmarkEnd w:id="66"/>
    </w:p>
    <w:p>
      <w:pPr>
        <w:pStyle w:val="Heading2"/>
        <w:numPr>
          <w:ilvl w:val="1"/>
          <w:numId w:val="1"/>
        </w:numPr>
        <w:rPr/>
      </w:pPr>
      <w:bookmarkStart w:id="67" w:name="pg10270_80129"/>
      <w:bookmarkStart w:id="68" w:name="__RefHeading___Toc3860020_1067777946"/>
      <w:bookmarkStart w:id="69" w:name="_Toc24"/>
      <w:bookmarkEnd w:id="67"/>
      <w:bookmarkEnd w:id="68"/>
      <w:r>
        <w:rPr>
          <w:rtl w:val="true"/>
        </w:rPr>
        <w:t>الكفّارات</w:t>
      </w:r>
      <w:bookmarkEnd w:id="69"/>
    </w:p>
    <w:p>
      <w:pPr>
        <w:pStyle w:val="Heading3"/>
        <w:numPr>
          <w:ilvl w:val="2"/>
          <w:numId w:val="1"/>
        </w:numPr>
        <w:rPr/>
      </w:pPr>
      <w:bookmarkStart w:id="70" w:name="__RefHeading___Toc3860022_1067777946"/>
      <w:bookmarkStart w:id="71" w:name="_Toc25"/>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و يلحق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الكفّارات</w:t>
      </w:r>
    </w:p>
    <w:p>
      <w:pPr>
        <w:pStyle w:val="BookText"/>
        <w:rPr/>
      </w:pPr>
      <w:r>
        <w:rPr>
          <w:rFonts w:ascii="Amiri" w:hAnsi="Amiri" w:eastAsia="Amiri" w:cs="Amiri"/>
          <w:color w:val="111111"/>
          <w:sz w:val="28"/>
          <w:sz w:val="28"/>
          <w:szCs w:val="28"/>
          <w:rtl w:val="true"/>
          <w:lang w:bidi="ar-SA"/>
        </w:rPr>
        <w:t>و فيه مقاصد</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3860024_1067777946"/>
      <w:bookmarkStart w:id="73" w:name="_Toc26"/>
      <w:bookmarkEnd w:id="72"/>
      <w:r>
        <w:rPr>
          <w:rtl w:val="true"/>
        </w:rPr>
        <w:t>المقصد الأوّل في ضبط الكفّارات</w:t>
      </w:r>
      <w:bookmarkEnd w:id="73"/>
    </w:p>
    <w:p>
      <w:pPr>
        <w:pStyle w:val="Heading4"/>
        <w:numPr>
          <w:ilvl w:val="3"/>
          <w:numId w:val="1"/>
        </w:numPr>
        <w:rPr/>
      </w:pPr>
      <w:bookmarkStart w:id="74" w:name="__RefHeading___Toc3860026_1067777946"/>
      <w:bookmarkStart w:id="75" w:name="_Toc27"/>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و قد سبق الكلام في كفّارات الإحرام، فلنذكر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مرتّبة و مخيّرة و ما يحصل فيه الأمران و كفّارة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بذلك النظر في الكفّارات،و فيه 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في ضبط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الكفّارة اسم للتكفير، و أصلها الستر؛ لأنّها تستر الذنب، و منه الكافر؛ لأنّه يستر الحقّ، و يقال للّيل كافر؛ لأنّه يستر من يفعل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تكفير اليمين فعل ما يجب بالحنث فيها، و كفّارة الظهار ما يجب بالعود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القرآن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فَكَافَّرَتُهُ إِطْعَامُ عَشَرَةِ مَسَاكِينَ</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أنواع كثيرة،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الظهار، و استطرد الباب كلّه عندها لمناسبة ذكرها، و كونها تجمع الخصال الثلاث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البحث عن 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الباب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عرّفها بعضهم</w:t>
      </w:r>
      <w:r>
        <w:rPr>
          <w:rStyle w:val="FootnoteAnchor"/>
          <w:rtl w:val="true"/>
        </w:rPr>
        <w:footnoteReference w:id="291"/>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مخصوصة مسقطة للعقوبة أو مخفّفة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قيّد بالأغلبيّة لتدخل كفّارة قتل الخطأ فيها، فإنّها ليست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ينتقض في طرده بالتوبة، فإنّها طاعة مخصوصة، بل هي من أعظم الطاعات، ثمّ قد تكون مسقطة للذنب كما إذا كان الذنب حقّ الله تعالى و لم يجب قضاؤه، و قد تكون مخفّفةً له كما إذا اقترنت بوجوب القضاء أو رد الحقّ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ينتقض بقضاء العبادات؛ فإنّه طاعة مسقطة للذنب المترتّب على التهاون في الفعل إلى أن خرج الوقت، أو مخفّفة له من حيث افتقار سقوطه رأساً إلى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الكفّارة الواجبة إن لم تكن عن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ككفّارة قتل الخطإ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فوجوبها على التراخي؛ لأنّ مطلق الأمر لايقتضي الفور على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مسقطةً للذنب أو مخفّفةً له، ففى وجوبها على الفور وجهان، من أنّها في معنى التوبة من حيث كانت مسقطةً للذنب أو مخفّفة، و التوبة واجبة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أصالة عدم وجوب الفوريّة، و لايلزم من مشاركتها للتوبة في ذلك مساواتها لها في جميع الأحكام، فإنّها في الأصل حقّ مالي أو بدني، و في نظائرها من العبادات و الحقوق ما يجب على الفور، و منها ما لايجب، و أصل وجوبه متوقّف على دليل يقتضيه غير أصل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أطلق بعضهم</w:t>
      </w:r>
      <w:r>
        <w:rPr>
          <w:rStyle w:val="FootnoteAnchor"/>
          <w:rtl w:val="true"/>
        </w:rPr>
        <w:footnoteReference w:id="292"/>
      </w:r>
      <w:r>
        <w:rPr>
          <w:rFonts w:ascii="Amiri" w:hAnsi="Amiri" w:eastAsia="Amiri" w:cs="Amiri"/>
          <w:color w:val="111111"/>
          <w:sz w:val="28"/>
          <w:sz w:val="28"/>
          <w:szCs w:val="28"/>
          <w:rtl w:val="true"/>
          <w:lang w:bidi="ar-SA"/>
        </w:rPr>
        <w:t>وجوبها على الفور؛ مستدلّاً بأنّها كالتوبة الواجبة لذلك؛ لوجوب الندم على كلّ قبيحٍ أو إخلالٍ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فساده على إطلاقه، فإنّ منها ما ليس مسبّباً عن قبيح</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تقدير فعلها لايكفي في إسقاط استحقاق العقاب حيث يكون عن ذنب، بل لا بدّ معها من التوبة المشتملة على ترك الذنب في الحال، و الندم على فعله فيما سلف، و العزم على عدم العود إليه في الاستقبال، و لو وجب معها قضاء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كإفساد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معها </w:t>
      </w:r>
      <w:bookmarkStart w:id="76" w:name="pg10270_80131"/>
    </w:p>
    <w:p>
      <w:pPr>
        <w:pStyle w:val="Heading4"/>
        <w:numPr>
          <w:ilvl w:val="3"/>
          <w:numId w:val="1"/>
        </w:numPr>
        <w:rPr/>
      </w:pPr>
      <w:bookmarkStart w:id="77" w:name="__RefHeading___Toc3860028_1067777946"/>
      <w:bookmarkStart w:id="78" w:name="_Toc28"/>
      <w:bookmarkEnd w:id="76"/>
      <w:bookmarkEnd w:id="77"/>
      <w:r>
        <w:rPr>
          <w:rtl w:val="true"/>
        </w:rPr>
        <w:t>الكفّارات المرتّبة</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فالمرتّبة ثلاث 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الظهار، و قتل الخطإ و يجب في كلّ واحدة العتق،فإن عجز فالصوم شهرين متتابعين، فإن عجز فإطعام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القضاء للقادر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القول في الحدود و التعزيرات على المعاصي</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3860030_1067777946"/>
      <w:bookmarkStart w:id="80" w:name="_Toc29"/>
      <w:bookmarkEnd w:id="79"/>
      <w:r>
        <w:rPr>
          <w:rtl w:val="true"/>
        </w:rPr>
        <w:t>کفّارة الظهار و قتل الخطأ</w:t>
      </w:r>
      <w:bookmarkEnd w:id="8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فالمرتّبة ثلاث كفّارات الظهار، و قتل الخطإ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الكفّارتين على الترتيب هو الذي يقتضيه ظاهر القرآن،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يُظَاهِرُونَ مِنْ نِسَائِهِمْ ثُمَّ يَعُودُونَ لِمَا قَالُوا فَتَحْرِيرُ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لَّمْ يَجِدْ فَصِيَامُ شَهْرَيْنِ مُتَتَابِعَيْنِ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يَسْتَطِعْ فَإِطْعَامُ سِتِّينَ مِسْكِينًا</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و قال تعالى في كفّارة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مُؤْمِنًا خَطَأً فَتَحْرِيرُ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شَهْرَيْنِ مُتَتَابِعَيْنِ</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و هو نصّ في الترتيب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الأخبار الكثيرة</w:t>
      </w:r>
      <w:r>
        <w:rPr>
          <w:rStyle w:val="FootnoteAnchor"/>
          <w:rtl w:val="true"/>
        </w:rPr>
        <w:footnoteReference w:id="295"/>
      </w:r>
      <w:r>
        <w:rPr>
          <w:rFonts w:ascii="Amiri" w:hAnsi="Amiri" w:eastAsia="Amiri" w:cs="Amiri"/>
          <w:color w:val="111111"/>
          <w:sz w:val="28"/>
          <w:sz w:val="28"/>
          <w:szCs w:val="28"/>
          <w:rtl w:val="true"/>
          <w:lang w:bidi="ar-SA"/>
        </w:rPr>
        <w:t>، و قد تقدّم ما يتعلّق بالظهار منها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القتل روى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خطأ أدّى ديته إلى أوليائه ثمّ أعتق رقبة، فإن لم يجد صام شهرين متتابعين، فإن لم يستطع أطعم ستّين مسكيناً مدّاً مدّاً</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لانعلم في كفّارة الظهار مخالفاً، لكن روى معاوية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المظاهر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تحرير رقبة أو صيام شهرين متتابعين أو إطعام ستّين مسكيناً، و الرقبة تجزئ ممّن ولد في الإسلام</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التخيير،و الأولى حملها </w:t>
      </w:r>
      <w:bookmarkStart w:id="81" w:name="pg10270_80132"/>
    </w:p>
    <w:p>
      <w:pPr>
        <w:pStyle w:val="Heading4"/>
        <w:numPr>
          <w:ilvl w:val="3"/>
          <w:numId w:val="1"/>
        </w:numPr>
        <w:rPr/>
      </w:pPr>
      <w:bookmarkStart w:id="82" w:name="__RefHeading___Toc3860032_1067777946"/>
      <w:bookmarkStart w:id="83" w:name="_Toc30"/>
      <w:bookmarkEnd w:id="81"/>
      <w:bookmarkEnd w:id="82"/>
      <w:r>
        <w:rPr>
          <w:rtl w:val="true"/>
        </w:rPr>
        <w:t>كفّارة من أفطر يوماً من قضاء شهر رمضان</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وكفّارة من أفطر يوماً من قضاء شهر رمضان بعد الزوال إطعام عشرة</w:t>
      </w:r>
    </w:p>
    <w:p>
      <w:pPr>
        <w:pStyle w:val="BookText"/>
        <w:rPr/>
      </w:pPr>
      <w:r>
        <w:rPr>
          <w:rFonts w:ascii="Amiri" w:hAnsi="Amiri" w:eastAsia="Amiri" w:cs="Amiri"/>
          <w:color w:val="111111"/>
          <w:sz w:val="28"/>
          <w:sz w:val="28"/>
          <w:szCs w:val="28"/>
          <w:rtl w:val="true"/>
          <w:lang w:bidi="ar-SA"/>
        </w:rPr>
        <w:t>مساكين، فإن عجز صام ثلاثة أيّام متتابعات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الترتيب للجمع، و موافقة الآية، و إن كان ذلك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قتل الخطإ فالأكثر على أنّ كفّارته مرتّبة؛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مخيّرة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ظاهر المفيد، حيث جعلها ككفّارة من أفطر يوماً من شهر رمضان</w:t>
      </w:r>
      <w:r>
        <w:rPr>
          <w:rStyle w:val="FootnoteAnchor"/>
          <w:rtl w:val="true"/>
        </w:rPr>
        <w:footnoteReference w:id="300"/>
      </w:r>
      <w:r>
        <w:rPr>
          <w:rFonts w:ascii="Amiri" w:hAnsi="Amiri" w:eastAsia="Amiri" w:cs="Amiri"/>
          <w:color w:val="111111"/>
          <w:sz w:val="28"/>
          <w:sz w:val="28"/>
          <w:szCs w:val="28"/>
          <w:rtl w:val="true"/>
          <w:lang w:bidi="ar-SA"/>
        </w:rPr>
        <w:t>، و ذكر في كفّارة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مخيّرة</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المذهب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وكفّارة من أفطر يوماً من قضاء شهر رمضان بعد الزوال إطعام عشرة مساكين، فإن عجز صام ثلاثة أيّام متتابعات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ذكره المصنّف من الكفّارة في ذلك هو المشهور بين الأصحاب روايةً و فتوىً، رواه الصدوق عن بريد بن معاوية العجلي، عن الباقر علیه السلام في رجل أتى أهله في يوم يقضيه من شهر رمضان قبل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شيء عليه إلّا يوماً مكان يوم، و إن أتى أهله بعد زوال الشمس فإنّ عليه أن يتصدّق على عشرة مساكين لكلّ مسكين مدّ، فإن لم يقدر صام يوماً مكان يوم، و صام ثلاثة أيّام كفّارة لما صنع</w:t>
      </w:r>
      <w:r>
        <w:rPr>
          <w:rFonts w:eastAsia="IRNazanin" w:cs="IRNazanin"/>
          <w:color w:val="111111"/>
          <w:sz w:val="28"/>
          <w:szCs w:val="28"/>
          <w:rtl w:val="true"/>
          <w:lang w:bidi="fa-IR"/>
        </w:rPr>
        <w:t>»</w:t>
      </w:r>
      <w:r>
        <w:rPr>
          <w:rStyle w:val="FootnoteAnchor"/>
          <w:rtl w:val="true"/>
        </w:rPr>
        <w:footnoteReference w:id="30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عقيب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أنّه إن أفطر قبل الزوال فلا شيء عليه، و إن أفطر بعد الزوال فعليه الكفّارة مثل ما على من أفطر يوماً من شهر رمضان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 اختياره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كتابه المقنع عكس الحال، فجعل الأوّل روايةً، و الثاني فتوى،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قضيت صوم شهر رمضان كنت بالخيار في الإفطار إلى زوال الشمس، فإن أفطرت بعد الزوال فعليك مثل ما على من أفطر يوماً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 عليه إذا أفطر بعد الزوال إطعام عشرة مساكين لكلّ مسكين مدّ من طعام، فإن لم يقدر عليه صام يوماً بدل يوم، و صام ثلاثة أيّام كفّارة لما فعل</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طريق الرواية الأُولى الحارث بن محمّد، و هو مجهول</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الرواية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على أنّها كفّارة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صام قضاءً من شهر رمضان فأتى النساء،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من الكّفارة ما على الذي أصاب فى رمضان ذلك اليوم عند الله من أيّام رمضان</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ليس في هذه الرواية تقييد بكون الإفطار بعد الزوال كما قيّدوه،و حملها على المقيّد بعيد؛ لأنّه مخالف له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طريقها علىّ بن فضّال، و باقى سندها صحيح، فهي من الموثّق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قال 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وقع على أهله و هو يقضي شهر رمضان،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وقع عليها قبل صلاة العصر فلا شيء عليه بصوم يوماً بدل يوم، و إن فعل بعد العصر صام ذلك اليوم و أطعم عشرة مساكين، فإن لم يمكنه صام ثلاثة أيّام كفّارة لذلك</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كالأُولى في الكفّارة، إلّا أنّها مخالفة لها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أصحّ ما في الباب من الروايات، ولكن لم يعمل بمضمونها أحد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الخبر الدالّ على أنّها كفّارة رمضان على من فعل ذلك؛ استخفافاً به و تهاوناً بما يجب عليه من فرض الله تعالى، فيجب عليه حينئذٍ من الكفّارة ما يجب على من أفطر يوماً من شهر رمضان عقوبةً له و تغليظاً عليه، فأمّا من أفطر معتقداً أنّ الأفضل إتمام صومه فليس عليه إلّا ما تقدّم إطعام عشرة مساكين أو صيام ثلاثة أيّام</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الحمل يوجب قولاً آخر للشيخ في المسألة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قول ثالث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كفّارة يمين</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سلّار</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يدلّ على مذهبه رواية عمّار الساباطي عن أبي عبد الله علیه السلام و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نوى الصوم ثمّ أفطر بعد ما زالت الشمس،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أساء و ليس عليه شيء إلّا قضاء ذلك اليوم الذي أراد أن يقضيه</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الشيخ حمل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عليه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ليس عليه شيء من العقاب؛ لأنّ من أفطر في هذا اليوم لا يستحقّ العقاب و إن أفطر بعد الزوال، و تلزمه الكفّارة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اعتراف من الشيخ بعدم تحريم الإفطار، فتبعد مجامعته حينئذٍ للكفّارة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حملوها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تقديرها في الروايات، و اختلاف تحديد وقت ثبوتها، و قصورها من حيث السند عن إفادة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جيّداً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يؤيّده رواية أبي بصير عن أبي عبد الله علیه السلام في المرأة تقضي شهر رمضان فيكرهها </w:t>
      </w:r>
      <w:bookmarkStart w:id="84" w:name="pg10270_80135"/>
    </w:p>
    <w:p>
      <w:pPr>
        <w:pStyle w:val="Heading4"/>
        <w:numPr>
          <w:ilvl w:val="3"/>
          <w:numId w:val="1"/>
        </w:numPr>
        <w:rPr/>
      </w:pPr>
      <w:bookmarkStart w:id="85" w:name="__RefHeading___Toc3860034_1067777946"/>
      <w:bookmarkStart w:id="86" w:name="_Toc31"/>
      <w:bookmarkEnd w:id="84"/>
      <w:bookmarkEnd w:id="85"/>
      <w:r>
        <w:rPr>
          <w:rtl w:val="true"/>
        </w:rPr>
        <w:t>كفّارة من أفطر في يوم من شهر رمضان</w:t>
      </w:r>
      <w:bookmarkEnd w:id="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المخيّرة كفّارة من أفطر في يوم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وجوب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الأسباب الموجبة للتكفير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زوجها على الإفطار،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 له أن يكرهها بعد الزوال</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الكراهة، و هو يناسب ما حكم به الشيخ من عدم تحريم الإفطار بعد الزوال، ولكن في طريقها سماعة، وهو واقفي</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تقدير فالحكم مختصّ بقضاء رمضان، و لايتعدّى إلى قضاء غيره و إن كان معيّناً على الأقوى؛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المخيّرة كفّارة من أفطر في يوم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كفّارة شهر رمضان على التخيير هو المشهور بين الأصحاب، ذهب إليه الشيخان</w:t>
      </w:r>
      <w:r>
        <w:rPr>
          <w:rStyle w:val="FootnoteAnchor"/>
          <w:rtl w:val="true"/>
        </w:rPr>
        <w:footnoteReference w:id="317"/>
      </w:r>
      <w:r>
        <w:rPr>
          <w:rFonts w:ascii="IRNazanin" w:hAnsi="IRNazanin" w:eastAsia="IRNazanin"/>
          <w:color w:val="111111"/>
          <w:sz w:val="28"/>
          <w:sz w:val="28"/>
          <w:szCs w:val="28"/>
          <w:rtl w:val="true"/>
          <w:lang w:bidi="fa-IR"/>
        </w:rPr>
        <w:t>و أتباعهما</w:t>
      </w:r>
      <w:r>
        <w:rPr>
          <w:rStyle w:val="FootnoteAnchor"/>
          <w:rtl w:val="true"/>
        </w:rPr>
        <w:footnoteReference w:id="318"/>
      </w:r>
      <w:r>
        <w:rPr>
          <w:rFonts w:ascii="Amiri" w:hAnsi="Amiri" w:eastAsia="Amiri" w:cs="Amiri"/>
          <w:color w:val="111111"/>
          <w:sz w:val="28"/>
          <w:sz w:val="28"/>
          <w:szCs w:val="28"/>
          <w:rtl w:val="true"/>
          <w:lang w:bidi="ar-SA"/>
        </w:rPr>
        <w:t>، و جملة المتأخّرين</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يدلّ عليه من الأخبار صحيحة عبد الله بن سنان عن أبي عبد الله علیه السلام في رجل أفطر في شهر رمضان متعمّداً يوماً واحداً من غير عذر،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يعتق نسمة أو يصوم شهرين متتابعين أو يطعم ستّين مسكيناً، فإن لم يقدر تصدّق بما يطيق</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للشيخ قول آخر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مرتّبة إذا كان الإفطار بالجماع</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أبي عقيل جعلها مرتّبة مطلقاً</w:t>
      </w:r>
      <w:r>
        <w:rPr>
          <w:rStyle w:val="FootnoteAnchor"/>
          <w:rtl w:val="true"/>
        </w:rPr>
        <w:footnoteReference w:id="322"/>
      </w:r>
      <w:r>
        <w:rPr>
          <w:rFonts w:ascii="Amiri" w:hAnsi="Amiri" w:eastAsia="Amiri" w:cs="Amiri"/>
          <w:color w:val="111111"/>
          <w:sz w:val="28"/>
          <w:sz w:val="28"/>
          <w:szCs w:val="28"/>
          <w:rtl w:val="true"/>
          <w:lang w:bidi="ar-SA"/>
        </w:rPr>
        <w:t>لما رواه الصدوق أنّ رجلاً من الأنصار أتى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 أهلكت،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أهلكك؟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امرأتي في شهر رمضان و أنا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شهرين متتابعين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على ستّين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النبي صلّى الله عليه و آله و سلّم بعرق خمسة عشر صاعاً من تمر، 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فتصدّق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ما بين لابتيها أحوج منّا إليها،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و كله و أطعم عيالك، فإنّه كفّارة لك</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أجيب بعدم دلالته صريحاً على الترتيب، و جاز إطلاق الأمر بأحد أفراد الواجب المخيّر كذلك</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الشيخ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أتى النبي صلى الله عليه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یا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يا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على أهلي،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و استغفر ربّك</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فبدأ بالصدقة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دليل على عدم ترتّبها على الخصلتين الأُخريين، وإلّا لبيّن 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تمام هذا الحديث أنّ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عظّم حقّك ما تركت في البيت شيئاً قليلاً و لاكثيراً،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رجل من الناس بمكتل من تمر فيه عشرون صاعاً، تكون عشرة أصوع بصاعنا، 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التمر فتصدّق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على من أتصدّق؟ و قد أخبرتك أن ليس في يدي قليل و لا كثير،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فخذه و أطعمه عيالك و استغفر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رجعنا 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بدأ بالعتق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أو صم أو تصدّق</w:t>
      </w:r>
      <w:r>
        <w:rPr>
          <w:rFonts w:eastAsia="IRNazanin" w:cs="IRNazanin"/>
          <w:color w:val="111111"/>
          <w:sz w:val="28"/>
          <w:szCs w:val="28"/>
          <w:rtl w:val="true"/>
          <w:lang w:bidi="fa-IR"/>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يدلّ على التخيير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الاستغفار يجب عند العجز، و هو أولى من جعل إطعام أهله كفّارة، كما في الحديث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إطلاق المصنّف الحكم فيمن أفطر بأحد الأسباب الموجبة للتكفير يشمل المحلّل منها و المحرّم، و كذلك إطلاق الرواية الصحيحة</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به على الإطلاق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جماعة منهم الشيخ في كتابي الأخبار</w:t>
      </w:r>
      <w:r>
        <w:rPr>
          <w:rStyle w:val="FootnoteAnchor"/>
          <w:rtl w:val="true"/>
        </w:rPr>
        <w:footnoteReference w:id="328"/>
      </w:r>
      <w:r>
        <w:rPr>
          <w:rFonts w:ascii="IRNazanin" w:hAnsi="IRNazanin" w:eastAsia="IRNazanin"/>
          <w:color w:val="111111"/>
          <w:sz w:val="28"/>
          <w:sz w:val="28"/>
          <w:szCs w:val="28"/>
          <w:rtl w:val="true"/>
          <w:lang w:bidi="fa-IR"/>
        </w:rPr>
        <w:t>، و الصدوق</w:t>
      </w:r>
      <w:r>
        <w:rPr>
          <w:rStyle w:val="FootnoteAnchor"/>
          <w:rtl w:val="true"/>
        </w:rPr>
        <w:footnoteReference w:id="329"/>
      </w:r>
      <w:r>
        <w:rPr>
          <w:rFonts w:ascii="IRNazanin" w:hAnsi="IRNazanin" w:eastAsia="IRNazanin"/>
          <w:color w:val="111111"/>
          <w:sz w:val="28"/>
          <w:sz w:val="28"/>
          <w:szCs w:val="28"/>
          <w:rtl w:val="true"/>
          <w:lang w:bidi="fa-IR"/>
        </w:rPr>
        <w:t xml:space="preserve">إلى أنّ ذلك مختصّ بمن أفطر على المحلّل، أمّا من أفطر على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أفسد صومه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الواجب عليه كفّارة الجمع؛ لما رواه الصدوق عن عبد الواحد بن عبدوس النيسابوري، عن علي بن محمّد بن قتيبة، عن حمدان بن سليمان، عن عبد السلام بن صالح الهروي قال، قلت للرضاء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قد روي عن آبائك فيمن جامع في شهر رمضان و أفطر فيه ثلاث كفّارات، و روي عنهم أيضاً كفّارة واحدة، فبأيّ الخبرين آخذ؟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جميعاً، فمتى جامع الرجل حراماً أو أفطر على حرام في شهر رمضان عليه ثلاث 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و صيام شهرين متتابعين، وإطعام ستّين مسكيناً، و قضاء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نكح حلالاً أو أفطر على حلال كفاه كفّارة واحدة</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طريق الرواية صحيح فيمن عدا ابن عبدوس، فحاله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عبدوس لايحضرني حاله، فإن كان ثقةً فالرواية صحيحة يتعيّن العمل بها</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التحرير جزم بصحتّها،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بابويه في حديث صحيح عن الرضا علیه السلام وساق الحديث</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87" w:name="pg10270_80138"/>
    </w:p>
    <w:p>
      <w:pPr>
        <w:pStyle w:val="Heading4"/>
        <w:numPr>
          <w:ilvl w:val="3"/>
          <w:numId w:val="1"/>
        </w:numPr>
        <w:rPr/>
      </w:pPr>
      <w:bookmarkStart w:id="88" w:name="__RefHeading___Toc3860036_1067777946"/>
      <w:bookmarkStart w:id="89" w:name="_Toc32"/>
      <w:bookmarkEnd w:id="87"/>
      <w:bookmarkEnd w:id="88"/>
      <w:r>
        <w:rPr>
          <w:rtl w:val="true"/>
        </w:rPr>
        <w:t>كفّارة خلف النذر و كفّارة الحنث في العهد</w:t>
      </w:r>
      <w:bookmarkEnd w:id="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كفّارة من أفطر يوماً نذر صومه على أشهر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كفّارة الحنث في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النذر على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في كلّ واحدة عتق رقبة، أو صيام شهرين متتابعين، أو إطعام ستّين مسكيناً على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 ابن بابويه أنّه وجد ذلك في روايات أبي الحسين الأسدي فيما ورد عليه من الشيخ أبي جعفر محمد بن عثمان العمري أحد نواب صاحب الزمان عجّل الله تعالی فرجه الشریف</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طريقه جيّد أيضاً، فلا بأس بالعمل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كفّارة من أفطر يوماً نذر صومه على أشهر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الأصحاب في كفّارة خلف النذر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كفّارة رمضان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الشيخان</w:t>
      </w:r>
      <w:r>
        <w:rPr>
          <w:rStyle w:val="FootnoteAnchor"/>
          <w:rtl w:val="true"/>
        </w:rPr>
        <w:footnoteReference w:id="334"/>
      </w:r>
      <w:r>
        <w:rPr>
          <w:rFonts w:ascii="IRNazanin" w:hAnsi="IRNazanin" w:eastAsia="IRNazanin"/>
          <w:color w:val="111111"/>
          <w:sz w:val="28"/>
          <w:sz w:val="28"/>
          <w:szCs w:val="28"/>
          <w:rtl w:val="true"/>
          <w:lang w:bidi="fa-IR"/>
        </w:rPr>
        <w:t>و أتباعهما</w:t>
      </w:r>
      <w:r>
        <w:rPr>
          <w:rStyle w:val="FootnoteAnchor"/>
          <w:rtl w:val="true"/>
        </w:rPr>
        <w:footnoteReference w:id="335"/>
      </w:r>
      <w:r>
        <w:rPr>
          <w:rFonts w:ascii="Amiri" w:hAnsi="Amiri" w:eastAsia="Amiri" w:cs="Amiri"/>
          <w:color w:val="111111"/>
          <w:sz w:val="28"/>
          <w:sz w:val="28"/>
          <w:szCs w:val="28"/>
          <w:rtl w:val="true"/>
          <w:lang w:bidi="ar-SA"/>
        </w:rPr>
        <w:t>، و المصنّف، و العلّامة في المختلف</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المتأخّرين</w:t>
      </w:r>
      <w:r>
        <w:rPr>
          <w:rStyle w:val="FootnoteAnchor"/>
          <w:rtl w:val="true"/>
        </w:rPr>
        <w:footnoteReference w:id="337"/>
      </w:r>
      <w:r>
        <w:rPr>
          <w:rFonts w:ascii="IRNazanin" w:hAnsi="IRNazanin" w:eastAsia="IRNazanin"/>
          <w:color w:val="111111"/>
          <w:sz w:val="28"/>
          <w:sz w:val="28"/>
          <w:szCs w:val="28"/>
          <w:rtl w:val="true"/>
          <w:lang w:bidi="fa-IR"/>
        </w:rPr>
        <w:t>لصحيحة عبد الملك بن عمرو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لله عليه أن لايركب محرّماً سمّاه فركبه،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أعلمه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فليعتق رقبةً، أو ليصم شهرين متتابعين، أو ليطعم ستين مسكيناً</w:t>
      </w:r>
      <w:r>
        <w:rPr>
          <w:rFonts w:eastAsia="IRNazanin" w:cs="IRNazanin"/>
          <w:color w:val="111111"/>
          <w:sz w:val="28"/>
          <w:szCs w:val="28"/>
          <w:rtl w:val="true"/>
          <w:lang w:bidi="fa-IR"/>
        </w:rPr>
        <w:t>»</w:t>
      </w:r>
      <w:r>
        <w:rPr>
          <w:rStyle w:val="FootnoteAnchor"/>
          <w:rtl w:val="true"/>
        </w:rPr>
        <w:footnoteReference w:id="33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كفّارة يمين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الصدوق</w:t>
      </w:r>
      <w:r>
        <w:rPr>
          <w:rStyle w:val="FootnoteAnchor"/>
          <w:rtl w:val="true"/>
        </w:rPr>
        <w:footnoteReference w:id="339"/>
      </w:r>
      <w:r>
        <w:rPr>
          <w:rFonts w:ascii="Amiri" w:hAnsi="Amiri" w:eastAsia="Amiri" w:cs="Amiri"/>
          <w:color w:val="111111"/>
          <w:sz w:val="28"/>
          <w:sz w:val="28"/>
          <w:szCs w:val="28"/>
          <w:rtl w:val="true"/>
          <w:lang w:bidi="ar-SA"/>
        </w:rPr>
        <w:t>، و المصنّف في النافع</w:t>
      </w:r>
      <w:r>
        <w:rPr>
          <w:rStyle w:val="FootnoteAnchor"/>
          <w:rtl w:val="true"/>
        </w:rPr>
        <w:footnoteReference w:id="340"/>
      </w:r>
      <w:r>
        <w:rPr>
          <w:rFonts w:ascii="Amiri" w:hAnsi="Amiri" w:eastAsia="Amiri" w:cs="Amiri"/>
          <w:color w:val="111111"/>
          <w:sz w:val="28"/>
          <w:sz w:val="28"/>
          <w:szCs w:val="28"/>
          <w:rtl w:val="true"/>
          <w:lang w:bidi="ar-SA"/>
        </w:rPr>
        <w:t xml:space="preserve">لحسنة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الحلبي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علىّ كذا، فكفّارة یمين</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رواية حفص بن غياث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كفّارة النذر،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كفّارة النذر كفّارة اليمين</w:t>
      </w:r>
      <w:r>
        <w:rPr>
          <w:rFonts w:eastAsia="IRNazanin" w:cs="IRNazanin"/>
          <w:color w:val="111111"/>
          <w:sz w:val="28"/>
          <w:szCs w:val="28"/>
          <w:rtl w:val="true"/>
          <w:lang w:bidi="fa-IR"/>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العامّة عن النبي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النذركفّارة يمين</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فإن كان النذر لصوم فأفطره فكفّارة رمضان، و إن كان لغير ذلك فكفّارة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ذلك المرتضى</w:t>
      </w:r>
      <w:r>
        <w:rPr>
          <w:rStyle w:val="FootnoteAnchor"/>
          <w:rtl w:val="true"/>
        </w:rPr>
        <w:footnoteReference w:id="344"/>
      </w:r>
      <w:r>
        <w:rPr>
          <w:rFonts w:ascii="Amiri" w:hAnsi="Amiri" w:eastAsia="Amiri" w:cs="Amiri"/>
          <w:color w:val="111111"/>
          <w:sz w:val="28"/>
          <w:sz w:val="28"/>
          <w:szCs w:val="28"/>
          <w:rtl w:val="true"/>
          <w:lang w:bidi="ar-SA"/>
        </w:rPr>
        <w:t>، و ابن إدريس</w:t>
      </w:r>
      <w:r>
        <w:rPr>
          <w:rStyle w:val="FootnoteAnchor"/>
          <w:rtl w:val="true"/>
        </w:rPr>
        <w:footnoteReference w:id="345"/>
      </w:r>
      <w:r>
        <w:rPr>
          <w:rFonts w:ascii="Amiri" w:hAnsi="Amiri" w:eastAsia="Amiri" w:cs="Amiri"/>
          <w:color w:val="111111"/>
          <w:sz w:val="28"/>
          <w:sz w:val="28"/>
          <w:szCs w:val="28"/>
          <w:rtl w:val="true"/>
          <w:lang w:bidi="ar-SA"/>
        </w:rPr>
        <w:t>و العلّامة في غير المختلف</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وجهه الجمع بين الروايات؛ حيث دلّ بعضها على أنّ كفّارته كفّارة رمضان فيناسبه حمله على إفطار نذر صوم معيّن؛ لمشاركته لصوم رمضان في الوجوب المعيّن، و حمل غيره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أَولى من العمل بأحد الجانبين خاصّةً، المستلزم لإطراح الآخر مع تقاربها في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حكم إفطار المنذور روايات أُخر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القاسم الصيقل، أنّه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رجل نذر أن يصوم يوماً لله، فوقع ذلك اليوم على أهله، ما عليه من الكفّارة؟ 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يوماً بدل يوم، و تحرير رقبة مؤمنة</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عن ابن مهزيار أنّه كتب إليه يسأله عن ذلك</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الموجب لجزم المصنّف بحكم المفطر، و تردّده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طريق الروايتين محمّد بن عيسى، و المسؤول فيهما غير مذكور، وإن كان الظاهر أنّه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الأوّل صحيح، فيكون مقدّماً على الحسن و الضعيف لو عملنا بالجميع،كيف و الحسن لايشتمل رواية على وصف العدالة التي هي شرط في الراوي؟ فيكون العمل بالصحيح متعيّناً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الأوّل وإن كان قد وصفه بالصحّة جماعة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كالعلّامة</w:t>
      </w:r>
      <w:r>
        <w:rPr>
          <w:rStyle w:val="FootnoteAnchor"/>
          <w:rtl w:val="true"/>
        </w:rPr>
        <w:footnoteReference w:id="349"/>
      </w:r>
      <w:r>
        <w:rPr>
          <w:rFonts w:ascii="IRNazanin" w:hAnsi="IRNazanin" w:eastAsia="IRNazanin"/>
          <w:color w:val="111111"/>
          <w:sz w:val="28"/>
          <w:sz w:val="28"/>
          <w:szCs w:val="28"/>
          <w:rtl w:val="true"/>
          <w:lang w:bidi="fa-IR"/>
        </w:rPr>
        <w:t>و ولده</w:t>
      </w:r>
      <w:r>
        <w:rPr>
          <w:rStyle w:val="FootnoteAnchor"/>
          <w:rtl w:val="true"/>
        </w:rPr>
        <w:footnoteReference w:id="350"/>
      </w:r>
      <w:r>
        <w:rPr>
          <w:rFonts w:ascii="Amiri" w:hAnsi="Amiri" w:eastAsia="Amiri" w:cs="Amiri"/>
          <w:color w:val="111111"/>
          <w:sz w:val="28"/>
          <w:sz w:val="28"/>
          <w:szCs w:val="28"/>
          <w:rtl w:val="true"/>
          <w:lang w:bidi="ar-SA"/>
        </w:rPr>
        <w:t>و الشهيد في الشرح</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فيه منعاً بيّناً؛ لأنّ عبد الملك بن عمرو لم ينصّ أحد عليه بالتعديل، و إنّما هو ممدوح مدحاً بعيداً عن التعديل، و لم يذكره النجاشي و لا الشيخ في كتابيه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العلّامة، و نقل عن الكشّي أنّ الصادق علیه السلام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يدعو له، حتّى أنّه يدعو لدابّته</w:t>
      </w:r>
      <w:r>
        <w:rPr>
          <w:rFonts w:eastAsia="IRNazanin" w:cs="IRNazanin"/>
          <w:color w:val="111111"/>
          <w:sz w:val="28"/>
          <w:szCs w:val="28"/>
          <w:rtl w:val="true"/>
          <w:lang w:bidi="fa-IR"/>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غايته أن يقتضي المدح لا التوثيق، مع أنّ الرواية منقولة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لايثبت به حكم، و غايته أن يكون من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الأولى أن يريدوا بصحّتها توثيق الرجال إسنادها إلى عبد الملك المذكور، و هي صحّة إضافيّة مستعملة في اصطلاحهم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حينئذٍ فلايترجّح على الروايات الأخر، بل يمكن ترجیح تلك بوجوه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حسنة الحلبي في ذلك الجانب من أعلى مراتب الحسن؛ لأنّ حُسنها باعتبار دخول إبراهيم بن هاشم في طريقها، و هو من الأجلّاء الأعيان كما ذكرناه غير مرّة بخلاف تلك الرواية، فإنّ الظاهر أنّها لاتلحق أدنى مراتب الحسن فضلاً عمّا فوقه، فكانت تلك أرجح على كلّ حالٍ، فيكون العمل بمضمونها أولى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تأيّدها برواية حفص بن غياث، و هو و إن كان عاميّاً إلّا أنّ الشيخ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كتابه معتمد عليه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روايات العامّة التي صحّحوها عن النبي صلّی الله علیه و آله وسلّم، و هي وإن لم تكن حجّةً إلّا أنّها لاتقصر عن أن تكون مرجّحةً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تأيّدها بصحيحة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بندار مولى إدريس يا سيّدي، إنّي نذرت أن أصوم كلّ سبتٍ، و إن أنا لم أصمه ما يلزمنى من الكفّارة؟ فكتب و قرأته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لاتتركه إلّا من علّة، و ليس عليك صومه في سفر و لامرض إلّا أن يكون نويت ذلك، و إن كنت أفطرت فيه من غير علّة فتصدّق بقدر كلّ يوم على سبعة مساكين</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بمثله عبّر الصدوق في المقنع، إلّا أنّه قال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بعض أفراد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 وقعت سهواً في نسخة التهذيب، و يؤيّده رواية الصدوق لها على الصحيح، فقال في 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نذر الرجل أن يصوم كلّ يوم سبت أو أحد أو سائر الأيّام فليس عليه أن يتركه إلّا من علّة، و ليس عليه صومه في سفر و لا مرض إلّا أن يكون نوى ذلك، فإن أفطر من غير علّة تصدّق مكان كلّ يوم على عشرة مساكين</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عبّر الصدوق، و هو عندي بخطّه الشريف، و هو لفظ الرواية، و يكون اقتصاره على إحدى خصال كفّارة اليمين كاقتصار رواية إفطار المنذور في مكاتبة الصيقل</w:t>
      </w:r>
      <w:r>
        <w:rPr>
          <w:rStyle w:val="FootnoteAnchor"/>
          <w:rtl w:val="true"/>
        </w:rPr>
        <w:footnoteReference w:id="356"/>
      </w:r>
      <w:r>
        <w:rPr>
          <w:rFonts w:ascii="Amiri" w:hAnsi="Amiri" w:eastAsia="Amiri" w:cs="Amiri"/>
          <w:color w:val="111111"/>
          <w:sz w:val="28"/>
          <w:sz w:val="28"/>
          <w:szCs w:val="28"/>
          <w:rtl w:val="true"/>
          <w:lang w:bidi="ar-SA"/>
        </w:rPr>
        <w:t>،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خصال كفّارة رمضان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هذه الأخبار وقع بطريق القطع، و في الخبر السابق</w:t>
      </w:r>
      <w:r>
        <w:rPr>
          <w:rStyle w:val="FootnoteAnchor"/>
          <w:rtl w:val="true"/>
        </w:rPr>
        <w:footnoteReference w:id="357"/>
      </w:r>
      <w:r>
        <w:rPr>
          <w:rFonts w:ascii="IRNazanin" w:hAnsi="IRNazanin" w:eastAsia="IRNazanin"/>
          <w:color w:val="111111"/>
          <w:sz w:val="28"/>
          <w:sz w:val="28"/>
          <w:szCs w:val="28"/>
          <w:rtl w:val="true"/>
          <w:lang w:bidi="fa-IR"/>
        </w:rPr>
        <w:t>ما يظهر منه رائحة التردّد،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أعلمه إلّا قال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يشعر بتردّد الراوي في مقول الإمام، و إن كان قد أتی بلفظ العلم الدالّ على الجزم، إلّا أنّ قرينة المقام تقتضي أن يريد بالعلم هنا معناه الأعمّ، و هو مطلق الرجحان و إن لم يمنع من النقيض، فيجامع الظنّ ؛ إذ لو أراد العلم القطعي لقال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بين الأخبار بحمل الخبر الأوّل على المتمكّن من إحدى الخصال الثلاث، و الأخبار المتضمّنة لكفّارة اليمين على من عجز عن ذلك</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عليه بصحيحة جميل بن صالح عن أبي الحسن موسى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عجز عن نذر نذره فكفّارته كفّارة يمين</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رابع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لسلّار</w:t>
      </w:r>
      <w:r>
        <w:rPr>
          <w:rStyle w:val="FootnoteAnchor"/>
          <w:rtl w:val="true"/>
        </w:rPr>
        <w:footnoteReference w:id="360"/>
      </w:r>
      <w:r>
        <w:rPr>
          <w:rFonts w:ascii="Amiri" w:hAnsi="Amiri" w:eastAsia="Amiri" w:cs="Amiri"/>
          <w:color w:val="111111"/>
          <w:sz w:val="28"/>
          <w:sz w:val="28"/>
          <w:szCs w:val="28"/>
          <w:rtl w:val="true"/>
          <w:lang w:bidi="ar-SA"/>
        </w:rPr>
        <w:t>، و الكراجكي</w:t>
      </w:r>
      <w:r>
        <w:rPr>
          <w:rStyle w:val="FootnoteAnchor"/>
          <w:rtl w:val="true"/>
        </w:rPr>
        <w:footnoteReference w:id="361"/>
      </w:r>
      <w:r>
        <w:rPr>
          <w:rFonts w:ascii="Amiri" w:hAnsi="Amiri" w:eastAsia="Amiri" w:cs="Amiri"/>
          <w:color w:val="111111"/>
          <w:sz w:val="28"/>
          <w:sz w:val="28"/>
          <w:szCs w:val="28"/>
          <w:rtl w:val="true"/>
          <w:lang w:bidi="ar-SA"/>
        </w:rPr>
        <w:t>، قول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كفّارة 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يقتضي كونها 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أقوال أُخر نادرة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خلف العهد فأصحاب القول الأوّل في النذر ألحقوه به؛ لرواية عليّ بن جعفر عن أخيه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في رجل عاهد الله في غير معصية، ما عليه إن لم يف بعهد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يعتق رقبة، أو يتصدّق بصدقة، أو يصوم شهرين متتابعين</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المراد بالصدقة إطعام ستّين مسكيناً؛ لرواية أبي بصير عن أحدهما علیهما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 عليه عهد الله و ميثاقه في أمر فيه لله طاعة فحنث فعليه عتق رقبة، أو صيام شهرين متتابعين، أو إطعام ستّين مسكيناً</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هاتان الروايتان ضعيفتا الإسناد</w:t>
      </w:r>
      <w:r>
        <w:rPr>
          <w:rStyle w:val="FootnoteAnchor"/>
          <w:rtl w:val="true"/>
        </w:rPr>
        <w:footnoteReference w:id="364"/>
      </w:r>
      <w:r>
        <w:rPr>
          <w:rFonts w:ascii="Amiri" w:hAnsi="Amiri" w:eastAsia="Amiri" w:cs="Amiri"/>
          <w:color w:val="111111"/>
          <w:sz w:val="28"/>
          <w:sz w:val="28"/>
          <w:szCs w:val="28"/>
          <w:rtl w:val="true"/>
          <w:lang w:bidi="ar-SA"/>
        </w:rPr>
        <w:t>، إلّا أنّه لامعارض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المفيد جعلها ككفّارة قتل الخطإ</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نقف على مستنده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اضطرب كلام العلّامة في كلّ واحد من القواعد و الإرشاد، فأفتى في القواعد أوّلاً بأنّ كفّارة خلف العهد كبيرة مخيّرة مطلقاً</w:t>
      </w:r>
      <w:r>
        <w:rPr>
          <w:rStyle w:val="FootnoteAnchor"/>
          <w:rtl w:val="true"/>
        </w:rPr>
        <w:footnoteReference w:id="366"/>
      </w:r>
      <w:r>
        <w:rPr>
          <w:rFonts w:ascii="Amiri" w:hAnsi="Amiri" w:eastAsia="Amiri" w:cs="Amiri"/>
          <w:color w:val="111111"/>
          <w:sz w:val="28"/>
          <w:sz w:val="28"/>
          <w:szCs w:val="28"/>
          <w:rtl w:val="true"/>
          <w:lang w:bidi="ar-SA"/>
        </w:rPr>
        <w:t>، ثم أفتى في موضع آخر من باب الكفّارات بأنّها كفّارة يمين مطلقاً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الإرشاد أفتى أوّلاً بالتفصيل في العهد كالنذر، فإن كان صوماً فأفطره فكفّارة رمضان، و إلّا فكفّارة يمين</w:t>
      </w:r>
      <w:r>
        <w:rPr>
          <w:rStyle w:val="FootnoteAnchor"/>
          <w:rtl w:val="true"/>
        </w:rPr>
        <w:footnoteReference w:id="368"/>
      </w:r>
      <w:r>
        <w:rPr>
          <w:rFonts w:ascii="Amiri" w:hAnsi="Amiri" w:eastAsia="Amiri" w:cs="Amiri"/>
          <w:color w:val="111111"/>
          <w:sz w:val="28"/>
          <w:sz w:val="28"/>
          <w:szCs w:val="28"/>
          <w:rtl w:val="true"/>
          <w:lang w:bidi="ar-SA"/>
        </w:rPr>
        <w:t>، ثمّ بعد ذلك أفتى بأنّها كفّارة يمين مطلقاً</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لايخفى أنّ المصير إلى التفصيل في النذر إنّما هو لاختلاف الروايات و للتوصّل إلى الجمع بينها، و الأمر في العهد ليس كذلك، بل إمّا أن يحكم فيه بالكبيرة المخيّرة؛ نظراً إلى ما ذكرناه من الروايات الخاصّة فيه، وإمّا أن يجعل فيه كفّارة يمين؛ التفاتاً إلى ضعفها و كونه كاليمين في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لأصالة البراءة من الزائد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عُد إلى عبارة المصنّف، و اعلم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كفّارة الحنث في العهد، و في النذر </w:t>
      </w:r>
      <w:bookmarkStart w:id="90" w:name="pg10270_80144"/>
    </w:p>
    <w:p>
      <w:pPr>
        <w:pStyle w:val="BookText"/>
        <w:rPr/>
      </w:pPr>
      <w:bookmarkEnd w:id="9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يحصل فيه الأمران كفّارة اليمين و هي عتق رقبة أو إطعام عشرة مساكين أو كسوتهم، فإن عجز صام ثلاثة أيّام</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3860038_1067777946"/>
      <w:bookmarkStart w:id="92" w:name="_Toc33"/>
      <w:bookmarkEnd w:id="91"/>
      <w:r>
        <w:rPr>
          <w:rtl w:val="true"/>
        </w:rPr>
        <w:t>وجوب کفّارة الجمع</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كفّارة الجمع هي كفّارة قتل المؤمن عمداً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عتق رقبة و صوم شهرين متتابعين وإطعام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إيجاب الكفّارة المخيّرة في خلف العهد والنذر مطلقاً، كما في حكمه إذا كان صوماً فأفطره، لكن في الإفطار بجزم، و في باقي أفراد النذر و مطلق العهد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والواجب في كلّ واحدة 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العود إلى ترجيح وجوب الكفّارة المخيّرة في الجميع بعد التردّد، وهو نظير ما يتّفق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تردّد، أظهره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يحصل فيه الأمران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يجتمع فيها التخيير و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في الخصال الثلاث الأوّل، و الثاني في الصيام، فإنّه مرتّب على العجز عن الثلاث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هذه الكفّارة محلّ وفاق بين المسلمين من حيث إنّها منصوصة في القرآن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كفّارة الجمع هى كفّارة قتل المؤمن عمداً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بالمؤمن هنا المسلم و من بحكمه، كولده الصغير و المجنون، ولا فرق فيه بين الذكر و الأنثى، و الحرّ 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كون القتل مباشرة لا تسبيباً، كما سيأتي في بابه إن شاء الله تعالى</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93" w:name="pg10270_80145"/>
    </w:p>
    <w:p>
      <w:pPr>
        <w:pStyle w:val="Heading3"/>
        <w:numPr>
          <w:ilvl w:val="2"/>
          <w:numId w:val="1"/>
        </w:numPr>
        <w:rPr/>
      </w:pPr>
      <w:bookmarkStart w:id="94" w:name="__RefHeading___Toc3860040_1067777946"/>
      <w:bookmarkStart w:id="95" w:name="_Toc34"/>
      <w:bookmarkEnd w:id="93"/>
      <w:bookmarkEnd w:id="94"/>
      <w:r>
        <w:rPr>
          <w:rtl w:val="true"/>
        </w:rPr>
        <w:t>المقصد الثاني فيما اختلف فيه</w:t>
      </w:r>
      <w:bookmarkEnd w:id="95"/>
    </w:p>
    <w:p>
      <w:pPr>
        <w:pStyle w:val="Heading4"/>
        <w:numPr>
          <w:ilvl w:val="3"/>
          <w:numId w:val="1"/>
        </w:numPr>
        <w:rPr/>
      </w:pPr>
      <w:bookmarkStart w:id="96" w:name="__RefHeading___Toc3860042_1067777946"/>
      <w:bookmarkStart w:id="97" w:name="_Toc35"/>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و هي سبع</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3860044_1067777946"/>
      <w:bookmarkStart w:id="99" w:name="_Toc36"/>
      <w:bookmarkEnd w:id="98"/>
      <w:r>
        <w:rPr>
          <w:rtl w:val="true"/>
        </w:rPr>
        <w:t>کفّارة الحلف بالبراءة</w:t>
      </w:r>
      <w:bookmarkEnd w:id="99"/>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حلف بالبراءة فعليه كفّارة ظهار، فإن عجز فكفّارة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يأثم و 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بالبراءة فعليه كفّارة 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خلاف في تحريم الحلف بالبراءة من الله أو من رسوله أو من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روي أن النبي صلّى الله عليه و آله و سلّم سمع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بريء من دين محمّد، فقال له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أبرئت من 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دين من 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كلّمه رسول الله صلّى الله عليه و آله و سلّم حتّى مات</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يونس بن ظبيان، قال،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لاتحلف بالبراءة منّا، فإنّه من حلف بالبراءة منّا صادقاً أو كاذباً فقد برئ منّا</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 في أنّه هل تجب بذلك كفّارة أم لا؟ فذهب الشيخان</w:t>
      </w:r>
      <w:r>
        <w:rPr>
          <w:rStyle w:val="FootnoteAnchor"/>
          <w:rtl w:val="true"/>
        </w:rPr>
        <w:footnoteReference w:id="374"/>
      </w:r>
      <w:r>
        <w:rPr>
          <w:rFonts w:ascii="Amiri" w:hAnsi="Amiri" w:eastAsia="Amiri" w:cs="Amiri"/>
          <w:color w:val="111111"/>
          <w:sz w:val="28"/>
          <w:sz w:val="28"/>
          <w:szCs w:val="28"/>
          <w:rtl w:val="true"/>
          <w:lang w:bidi="ar-SA"/>
        </w:rPr>
        <w:t>و جماعة</w:t>
      </w:r>
      <w:r>
        <w:rPr>
          <w:rStyle w:val="FootnoteAnchor"/>
          <w:rtl w:val="true"/>
        </w:rPr>
        <w:footnoteReference w:id="375"/>
      </w:r>
      <w:r>
        <w:rPr>
          <w:rFonts w:ascii="Amiri" w:hAnsi="Amiri" w:eastAsia="Amiri" w:cs="Amiri"/>
          <w:color w:val="111111"/>
          <w:sz w:val="28"/>
          <w:sz w:val="28"/>
          <w:szCs w:val="28"/>
          <w:rtl w:val="true"/>
          <w:lang w:bidi="ar-SA"/>
        </w:rPr>
        <w:t>إلى وجوب كفّارة ظهار، فإن عجز فكفّارة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نقله المصنّف</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كفّارة النذر</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يصوم ثلاثة أيام، و يتصدّق على عشرة مساكين</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ضعيف لايرجع إلى مستند صالح، فلذلك اختار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يأثم و لا 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روى محمّد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محمّد بن الحسن الصفّار إلى أبي محمد العسكري علیه السلام رجل حلف بالبراءة من الله و رسوله صلّی الله علیه و آله وسلّم، فحنث، ما توبته و كفّارته؟فوقّع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يطعم عشرة مساكين لكلّ مسكين مدّ، و يستغفر الله عزّ وجلّ</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بمضمونها أفتى في المختلف</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بالعمل بمضمونها؛ لصحّتها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المصنّف في نكت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عندي أنّه لا كفّارة في شيء من ذلك؛ لأنّ ما ذكره الشيخان لم يثبت، و ما تضمّنته الرواية نادر، فلا تنهض المكاتبة بالحجّة؛ لما يتطرّق إليها من الاحتمال</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اعلم أنّ ظاهر عبارة المصنّف ترتّب الكفّارة على مجرّد التلفّظ بذلك وإن لم يخالف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يقتضيه إطلاق الشيخ</w:t>
      </w:r>
      <w:r>
        <w:rPr>
          <w:rStyle w:val="FootnoteAnchor"/>
          <w:rtl w:val="true"/>
        </w:rPr>
        <w:footnoteReference w:id="381"/>
      </w:r>
      <w:r>
        <w:rPr>
          <w:rFonts w:ascii="Amiri" w:hAnsi="Amiri" w:eastAsia="Amiri" w:cs="Amiri"/>
          <w:color w:val="111111"/>
          <w:sz w:val="28"/>
          <w:sz w:val="28"/>
          <w:szCs w:val="28"/>
          <w:rtl w:val="true"/>
          <w:lang w:bidi="ar-SA"/>
        </w:rPr>
        <w:t>و القاضي</w:t>
      </w:r>
      <w:r>
        <w:rPr>
          <w:rStyle w:val="FootnoteAnchor"/>
          <w:rtl w:val="true"/>
        </w:rPr>
        <w:footnoteReference w:id="382"/>
      </w:r>
      <w:r>
        <w:rPr>
          <w:rFonts w:ascii="IRNazanin" w:hAnsi="IRNazanin" w:eastAsia="IRNazanin"/>
          <w:color w:val="111111"/>
          <w:sz w:val="28"/>
          <w:sz w:val="28"/>
          <w:szCs w:val="28"/>
          <w:rtl w:val="true"/>
          <w:lang w:bidi="fa-IR"/>
        </w:rPr>
        <w:t>و الصدوق</w:t>
      </w:r>
      <w:r>
        <w:rPr>
          <w:rStyle w:val="FootnoteAnchor"/>
          <w:rtl w:val="true"/>
        </w:rPr>
        <w:footnoteReference w:id="383"/>
      </w:r>
      <w:r>
        <w:rPr>
          <w:rFonts w:ascii="Amiri" w:hAnsi="Amiri" w:eastAsia="Amiri" w:cs="Amiri"/>
          <w:color w:val="111111"/>
          <w:sz w:val="28"/>
          <w:sz w:val="28"/>
          <w:szCs w:val="28"/>
          <w:rtl w:val="true"/>
          <w:lang w:bidi="ar-SA"/>
        </w:rPr>
        <w:t>و جماعة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المفيد</w:t>
      </w:r>
      <w:r>
        <w:rPr>
          <w:rStyle w:val="FootnoteAnchor"/>
          <w:rtl w:val="true"/>
        </w:rPr>
        <w:footnoteReference w:id="385"/>
      </w:r>
      <w:r>
        <w:rPr>
          <w:rFonts w:ascii="Amiri" w:hAnsi="Amiri" w:eastAsia="Amiri" w:cs="Amiri"/>
          <w:color w:val="111111"/>
          <w:sz w:val="28"/>
          <w:sz w:val="28"/>
          <w:szCs w:val="28"/>
          <w:rtl w:val="true"/>
          <w:lang w:bidi="ar-SA"/>
        </w:rPr>
        <w:t>صرّح بترتّبها على المخالفة، و كذلك في المختلف</w:t>
      </w:r>
      <w:r>
        <w:rPr>
          <w:rStyle w:val="FootnoteAnchor"/>
          <w:rtl w:val="true"/>
        </w:rPr>
        <w:footnoteReference w:id="386"/>
      </w:r>
      <w:r>
        <w:rPr>
          <w:rFonts w:ascii="Amiri" w:hAnsi="Amiri" w:eastAsia="Amiri" w:cs="Amiri"/>
          <w:color w:val="111111"/>
          <w:sz w:val="28"/>
          <w:sz w:val="28"/>
          <w:szCs w:val="28"/>
          <w:rtl w:val="true"/>
          <w:lang w:bidi="ar-SA"/>
        </w:rPr>
        <w:t xml:space="preserve">استناداً إلى ما دلّت عليه </w:t>
      </w:r>
      <w:bookmarkStart w:id="100" w:name="pg10270_80147"/>
    </w:p>
    <w:p>
      <w:pPr>
        <w:pStyle w:val="Heading4"/>
        <w:numPr>
          <w:ilvl w:val="3"/>
          <w:numId w:val="1"/>
        </w:numPr>
        <w:rPr/>
      </w:pPr>
      <w:bookmarkStart w:id="101" w:name="__RefHeading___Toc3860046_1067777946"/>
      <w:bookmarkStart w:id="102" w:name="_Toc37"/>
      <w:bookmarkEnd w:id="100"/>
      <w:bookmarkEnd w:id="101"/>
      <w:r>
        <w:rPr>
          <w:rtl w:val="true"/>
        </w:rPr>
        <w:t>کفّارة جزّ المرأة شعرها في المصاب</w:t>
      </w:r>
      <w:bookmarkEnd w:id="10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جزّ المرأة شعرها في المصاب عتق رقبة، أو صيام شهرين</w:t>
      </w:r>
    </w:p>
    <w:p>
      <w:pPr>
        <w:pStyle w:val="BookText"/>
        <w:rPr/>
      </w:pPr>
      <w:r>
        <w:rPr>
          <w:rFonts w:ascii="Amiri" w:hAnsi="Amiri" w:eastAsia="Amiri" w:cs="Amiri"/>
          <w:color w:val="111111"/>
          <w:sz w:val="28"/>
          <w:sz w:val="28"/>
          <w:szCs w:val="28"/>
          <w:rtl w:val="true"/>
          <w:lang w:bidi="ar-SA"/>
        </w:rPr>
        <w:t>متتابعين، أو 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كفّارة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تأثم و لا كفّارة؛ استضعافاً للرواية و تمسّكاً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المكاتبة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أقوى؛ وقوفاً فيما خالف الأصل على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جزّ المرأة شعرها في المصاب 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 لابن البرّاج</w:t>
      </w:r>
      <w:r>
        <w:rPr>
          <w:rStyle w:val="FootnoteAnchor"/>
          <w:rtl w:val="true"/>
        </w:rPr>
        <w:footnoteReference w:id="387"/>
      </w:r>
      <w:r>
        <w:rPr>
          <w:rFonts w:ascii="IRNazanin" w:hAnsi="IRNazanin" w:eastAsia="IRNazanin"/>
          <w:color w:val="111111"/>
          <w:sz w:val="28"/>
          <w:sz w:val="28"/>
          <w:szCs w:val="28"/>
          <w:rtl w:val="true"/>
          <w:lang w:bidi="fa-IR"/>
        </w:rPr>
        <w:t>استناداً إلى رواية خالد بن سدير عن أبي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خدشت المرأة وجهها أو جزّت شعرها أو نتفته، ففي جزّ الشعر عتق رقبة أو صيام شهرين متتابعين، أو إطعام ستّين مسكيناً</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أربعين شاةٍ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النفس المؤمنة مائة من الابل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إنكار بعضهم</w:t>
      </w:r>
      <w:r>
        <w:rPr>
          <w:rStyle w:val="FootnoteAnchor"/>
          <w:rtl w:val="true"/>
        </w:rPr>
        <w:footnoteReference w:id="389"/>
      </w:r>
      <w:r>
        <w:rPr>
          <w:rFonts w:ascii="Amiri" w:hAnsi="Amiri" w:eastAsia="Amiri" w:cs="Amiri"/>
          <w:color w:val="111111"/>
          <w:sz w:val="28"/>
          <w:sz w:val="28"/>
          <w:szCs w:val="28"/>
          <w:rtl w:val="true"/>
          <w:lang w:bidi="ar-SA"/>
        </w:rPr>
        <w:t>إفادتها ذلك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طريق الرواية ضعيف، فإنّ خالد بن سدير غير موثّق، و قد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كتابه موضوع</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طريقه أيضاً محمّد بن عيسى، و هو ضعيف</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بوجوب كفّارة الظهار لسلّار</w:t>
      </w:r>
      <w:r>
        <w:rPr>
          <w:rStyle w:val="FootnoteAnchor"/>
          <w:rtl w:val="true"/>
        </w:rPr>
        <w:footnoteReference w:id="392"/>
      </w:r>
      <w:r>
        <w:rPr>
          <w:rFonts w:ascii="Amiri" w:hAnsi="Amiri" w:eastAsia="Amiri" w:cs="Amiri"/>
          <w:color w:val="111111"/>
          <w:sz w:val="28"/>
          <w:sz w:val="28"/>
          <w:szCs w:val="28"/>
          <w:rtl w:val="true"/>
          <w:lang w:bidi="ar-SA"/>
        </w:rPr>
        <w:t>، و ابن إدريس، و أسنده إلى ما رواه بعض الأصحاب</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مستند واهٍ؛ فلذلك قال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تأثم و لا كفّارة تمسّكاً بالأصل و استضعافاً للحكم الناقل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الأقوى</w:t>
      </w:r>
      <w:r>
        <w:rPr>
          <w:rFonts w:eastAsia="Amiri" w:cs="Amiri" w:ascii="Amiri" w:hAnsi="Amiri"/>
          <w:color w:val="111111"/>
          <w:sz w:val="28"/>
          <w:szCs w:val="28"/>
          <w:rtl w:val="true"/>
          <w:lang w:bidi="ar-SA"/>
        </w:rPr>
        <w:t xml:space="preserve">. </w:t>
      </w:r>
      <w:bookmarkStart w:id="103" w:name="pg10270_80148"/>
    </w:p>
    <w:p>
      <w:pPr>
        <w:pStyle w:val="Heading4"/>
        <w:numPr>
          <w:ilvl w:val="3"/>
          <w:numId w:val="1"/>
        </w:numPr>
        <w:rPr/>
      </w:pPr>
      <w:bookmarkStart w:id="104" w:name="__RefHeading___Toc3860048_1067777946"/>
      <w:bookmarkStart w:id="105" w:name="_Toc38"/>
      <w:bookmarkEnd w:id="103"/>
      <w:bookmarkEnd w:id="104"/>
      <w:r>
        <w:rPr>
          <w:rtl w:val="true"/>
        </w:rPr>
        <w:t>کفّارة نتف المرأة شعرها في المصاب</w:t>
      </w:r>
      <w:bookmarkEnd w:id="105"/>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على المرأة في نتف شعرها في المصاب وخدش وجهها، و شقّ الرجل ثوبه في موت ولده أو زوجته كفّارة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الكفّارة على تقدير وجوبها مترتّبة على جزء في المصاب، و المفهوم منه جزّ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الجزّ القصّ، فلايلحق به النتف و لا الإحراق و لا القرض بالسنّ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قوياً إلحاق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لايلحق جزّه في غير المصاب به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أولويّة دخوله ممنوعة؛ لجواز اختصاص المصاب بما فيه من إشعار السخط بقضاء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الرواية وقوع ذلك منها مباشرةً، فلو تسبّبت به ففى إلحاقه نظر أقربه العدم؛ وقوفاً فيما خالف الأصل على موضع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فعلت ذلك لحاجة فلا شيء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على المرأة في نتف شعرها في المصاب وخدش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ينقل المصنّف في ذلك خلافاً، مع أنّه صدّر المقصد بالمواضع المختلف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في ذلك عدم ظهور مخالف في أكثرها، مع ضعف المستند في الجميع، فإنّ الرواية السابقة عن خالد بن سدير بطريق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شقّ ثوبه على أخيه أو على أُمّه أو على أخته أو على قريب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بشقّ الجيوب، فقد شقّ موسى بن عمران جيبه على أخيه هارون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لايشقّ الوالد على ولده و لا زوج على امرأته و تشقّ المرأة على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شقّ زوج على امرأته أو والد على ولده فكفّارته حنث يمين، و لاصلاة لهما حتّى يكفّرا و يتوبا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خدشت المرأة وجهها أو جزّت شعرها أو نتفته، ففي جزّ الشعر عتق رقبة، أو صيام شهرين متتابعين، أو إطعام ستّين مسكيناً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خدش الوجه إذا أدمت و في النتف كفّارة حنث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شيء في لطم الخدود سوى الاستغفار و التوبة، و لقد شققن و لطمن الخدود الفاطميّات على فقد الحسين علیه السلام، وعلى مثله تُلطم الخدود و تُشق الجيوب</w:t>
      </w:r>
      <w:r>
        <w:rPr>
          <w:rFonts w:eastAsia="IRNazanin" w:cs="IRNazanin"/>
          <w:color w:val="111111"/>
          <w:sz w:val="28"/>
          <w:szCs w:val="28"/>
          <w:rtl w:val="true"/>
          <w:lang w:bidi="fa-IR"/>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حال الرواية</w:t>
      </w:r>
      <w:r>
        <w:rPr>
          <w:rFonts w:eastAsia="Amiri" w:cs="Amiri" w:ascii="Amiri" w:hAnsi="Amiri"/>
          <w:color w:val="111111"/>
          <w:sz w:val="28"/>
          <w:szCs w:val="28"/>
          <w:rtl w:val="true"/>
          <w:lang w:bidi="ar-SA"/>
        </w:rPr>
        <w:t xml:space="preserve">. </w:t>
      </w:r>
      <w:bookmarkStart w:id="106" w:name="pg10270_80149"/>
    </w:p>
    <w:p>
      <w:pPr>
        <w:pStyle w:val="Heading4"/>
        <w:numPr>
          <w:ilvl w:val="3"/>
          <w:numId w:val="1"/>
        </w:numPr>
        <w:rPr/>
      </w:pPr>
      <w:bookmarkStart w:id="107" w:name="__RefHeading___Toc3860050_1067777946"/>
      <w:bookmarkStart w:id="108" w:name="_Toc39"/>
      <w:bookmarkEnd w:id="106"/>
      <w:bookmarkEnd w:id="107"/>
      <w:r>
        <w:rPr>
          <w:rtl w:val="true"/>
        </w:rPr>
        <w:t>كفّارة وطء الحيض</w:t>
      </w:r>
      <w:bookmarkEnd w:id="108"/>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وطء الحيض مع التعمّد والعلم بالتحريم والتمكّن من التكفير،قيل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وهو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الكلام في نتف الجميع أو البعض كالكلام في الجزّ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من الشعر هنا شعر الرأس؛ لأنّه المفهوم منه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بخدش الوجه قطع شيء من جلده، وإن لم يبلغ حدّ الخارصة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الرواية تقييد بكونه مدمياً، و الفتاوى مطلقة، بل صرّح بعضهم</w:t>
      </w:r>
      <w:r>
        <w:rPr>
          <w:rStyle w:val="FootnoteAnchor"/>
          <w:rtl w:val="true"/>
        </w:rPr>
        <w:footnoteReference w:id="395"/>
      </w:r>
      <w:r>
        <w:rPr>
          <w:rFonts w:ascii="Amiri" w:hAnsi="Amiri" w:eastAsia="Amiri" w:cs="Amiri"/>
          <w:color w:val="111111"/>
          <w:sz w:val="28"/>
          <w:sz w:val="28"/>
          <w:szCs w:val="28"/>
          <w:rtl w:val="true"/>
          <w:lang w:bidi="ar-SA"/>
        </w:rPr>
        <w:t>بعدم اعتباره، وهو مطالب بالمستند، ولعلّه يعتمد على ما يظهر من الإجماع لا على الفتوى 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لايلحق به اللطم من غير خدشٍ ، و لاخدش غير الوجه من سائر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لايتعدّى الحكم إلى الرجل، كما أنّ حكم شقّ الثوب لموت الولد و الزوجة مخصوص، به فلاتجب على المرأة بشقّه مطلقاً، وإن كان محرّماً على الجميع؛ لما فيه من إضاعة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الولد الذكر والأنثى وإن نزل، لا ولد الأُنثى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كفّارة بشقّه</w:t>
      </w:r>
    </w:p>
    <w:p>
      <w:pPr>
        <w:pStyle w:val="BookText"/>
        <w:rPr/>
      </w:pPr>
      <w:r>
        <w:rPr>
          <w:rFonts w:ascii="Amiri" w:hAnsi="Amiri" w:eastAsia="Amiri" w:cs="Amiri"/>
          <w:color w:val="111111"/>
          <w:sz w:val="28"/>
          <w:sz w:val="28"/>
          <w:szCs w:val="28"/>
          <w:rtl w:val="true"/>
          <w:lang w:bidi="ar-SA"/>
        </w:rPr>
        <w:t>على غيرهما من الأقارب مطلقاً وإن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جوازه على الأب والأخ</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تلحق أُمّ الولد والسريّة بالزوجة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يلحق المتمتّع بها والمطلّقة رجعيّاً، والمعتبر مسمّى الشقّ لمسمّى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مع التعمّد والعلم بالتحريم والتمكّن من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بالوجوب للشيخين</w:t>
      </w:r>
      <w:r>
        <w:rPr>
          <w:rStyle w:val="FootnoteAnchor"/>
          <w:rtl w:val="true"/>
        </w:rPr>
        <w:footnoteReference w:id="397"/>
      </w:r>
      <w:r>
        <w:rPr>
          <w:rFonts w:ascii="IRNazanin" w:hAnsi="IRNazanin" w:eastAsia="IRNazanin"/>
          <w:color w:val="111111"/>
          <w:sz w:val="28"/>
          <w:sz w:val="28"/>
          <w:szCs w:val="28"/>
          <w:rtl w:val="true"/>
          <w:lang w:bidi="fa-IR"/>
        </w:rPr>
        <w:t>والمرتضى</w:t>
      </w:r>
      <w:r>
        <w:rPr>
          <w:rStyle w:val="FootnoteAnchor"/>
          <w:rtl w:val="true"/>
        </w:rPr>
        <w:footnoteReference w:id="398"/>
      </w:r>
      <w:r>
        <w:rPr>
          <w:rFonts w:ascii="Amiri" w:hAnsi="Amiri" w:eastAsia="Amiri" w:cs="Amiri"/>
          <w:color w:val="111111"/>
          <w:sz w:val="28"/>
          <w:sz w:val="28"/>
          <w:szCs w:val="28"/>
          <w:rtl w:val="true"/>
          <w:lang w:bidi="ar-SA"/>
        </w:rPr>
        <w:t>، وابن إدريس</w:t>
      </w:r>
      <w:r>
        <w:rPr>
          <w:rStyle w:val="FootnoteAnchor"/>
          <w:rtl w:val="true"/>
        </w:rPr>
        <w:footnoteReference w:id="399"/>
      </w:r>
      <w:r>
        <w:rPr>
          <w:rFonts w:ascii="Amiri" w:hAnsi="Amiri" w:eastAsia="Amiri" w:cs="Amiri"/>
          <w:color w:val="111111"/>
          <w:sz w:val="28"/>
          <w:sz w:val="28"/>
          <w:szCs w:val="28"/>
          <w:rtl w:val="true"/>
          <w:lang w:bidi="ar-SA"/>
        </w:rPr>
        <w:t>وجماعة</w:t>
      </w:r>
      <w:r>
        <w:rPr>
          <w:rStyle w:val="FootnoteAnchor"/>
          <w:rtl w:val="true"/>
        </w:rPr>
        <w:footnoteReference w:id="400"/>
      </w:r>
      <w:r>
        <w:rPr>
          <w:rFonts w:ascii="Amiri" w:hAnsi="Amiri" w:eastAsia="Amiri" w:cs="Amiri"/>
          <w:color w:val="111111"/>
          <w:sz w:val="28"/>
          <w:sz w:val="28"/>
          <w:szCs w:val="28"/>
          <w:rtl w:val="true"/>
          <w:lang w:bidi="ar-SA"/>
        </w:rPr>
        <w:t xml:space="preserve">استناداً إلى روايات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مختلفة التقدير، ضعيفة الإسناد، وأشهرها رواية داود بن فرقد عن أبي عبد الله علیه السلام في كفّارة الطمث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يتصدّق إذا كان في أوّله بدينار، وفي أوسطه بنصف دينار، وفي آخره بربع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يكن عنده ما يكفّر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فليتصدّق على مسكين واحد، وإلّا استغفر الله و لا يعود، فإنّ الاستغفار توبة وكفّارة لمن لم يجد السبيل إلى شيء من الكفّارة</w:t>
      </w:r>
      <w:r>
        <w:rPr>
          <w:rFonts w:eastAsia="IRNazanin" w:cs="IRNazanin"/>
          <w:color w:val="111111"/>
          <w:sz w:val="28"/>
          <w:szCs w:val="28"/>
          <w:rtl w:val="true"/>
          <w:lang w:bidi="fa-IR"/>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طريقها ضعف وإرسال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بالاستحباب للشيخ أيضاً في النهاية</w:t>
      </w:r>
      <w:r>
        <w:rPr>
          <w:rStyle w:val="FootnoteAnchor"/>
          <w:rtl w:val="true"/>
        </w:rPr>
        <w:footnoteReference w:id="402"/>
      </w:r>
      <w:r>
        <w:rPr>
          <w:rFonts w:ascii="Amiri" w:hAnsi="Amiri" w:eastAsia="Amiri" w:cs="Amiri"/>
          <w:color w:val="111111"/>
          <w:sz w:val="28"/>
          <w:sz w:val="28"/>
          <w:szCs w:val="28"/>
          <w:rtl w:val="true"/>
          <w:lang w:bidi="ar-SA"/>
        </w:rPr>
        <w:t>، وأكثر المتأخّرين</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الأقوى؛ للأصل، وصحيحة العيص بن القاسم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واقع امرأته وهي طامث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يلتمس فعل ذلك، قد نهى الله أن يقربها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أ عليه الكفّارة؟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فيه شيئاً، يستغفر الله</w:t>
      </w:r>
      <w:r>
        <w:rPr>
          <w:rFonts w:eastAsia="IRNazanin" w:cs="IRNazanin"/>
          <w:color w:val="111111"/>
          <w:sz w:val="28"/>
          <w:szCs w:val="28"/>
          <w:rtl w:val="true"/>
          <w:lang w:bidi="fa-IR"/>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الأخبار</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من ذهاب المرتضى وابن إدريس إلى الوجوب، مع عدم عملهما بخبر الواحد الصحيح فضلاً عن الضعيف، ولكنّهما استندا إلى ما فهماه من كونه إجماعاً؛ نظراً إلى العلم بنسب المخالف، وهو مشترك الإلزام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 الاستحباب؛ للتسامح في أدلّة السنن ومقدارها بحسب أوقات الحيض مقرّر في بابه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109" w:name="pg10270_80151"/>
    </w:p>
    <w:p>
      <w:pPr>
        <w:pStyle w:val="BookText"/>
        <w:rPr/>
      </w:pPr>
      <w:bookmarkEnd w:id="10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وطئ أمته حائضاً كفّر بثلاثة أمداد من طعام</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3860052_1067777946"/>
      <w:bookmarkStart w:id="111" w:name="_Toc40"/>
      <w:bookmarkEnd w:id="110"/>
      <w:r>
        <w:rPr>
          <w:rtl w:val="true"/>
        </w:rPr>
        <w:t>كفّارة الزواج بالمرأة في عدّتها</w:t>
      </w:r>
      <w:bookmarkEnd w:id="111"/>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تزوّج امرأة في عدّتها فارق و كفّر بخمسة أصوع من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وجوبها خلاف، والاستحباب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التعمّد والعلم عن الجاهل والناسي، فلا شيء عليهما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مختصّ بالرجل، فلا كفّارة على المرأة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وطئ أمته حائضاً كفّر بثلاثة أمداد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متفرّع على السابق، فمن نفى الوجوب في وطء الزوجة نفاه هنا، و من أثبته أثبته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اختلفوا هنا، فالشيخ في النهاية</w:t>
      </w:r>
      <w:r>
        <w:rPr>
          <w:rStyle w:val="FootnoteAnchor"/>
          <w:rtl w:val="true"/>
        </w:rPr>
        <w:footnoteReference w:id="407"/>
      </w:r>
      <w:r>
        <w:rPr>
          <w:rFonts w:ascii="Amiri" w:hAnsi="Amiri" w:eastAsia="Amiri" w:cs="Amiri"/>
          <w:color w:val="111111"/>
          <w:sz w:val="28"/>
          <w:sz w:val="28"/>
          <w:szCs w:val="28"/>
          <w:rtl w:val="true"/>
          <w:lang w:bidi="ar-SA"/>
        </w:rPr>
        <w:t>، وابن بابويه</w:t>
      </w:r>
      <w:r>
        <w:rPr>
          <w:rStyle w:val="FootnoteAnchor"/>
          <w:rtl w:val="true"/>
        </w:rPr>
        <w:footnoteReference w:id="408"/>
      </w:r>
      <w:r>
        <w:rPr>
          <w:rFonts w:ascii="Amiri" w:hAnsi="Amiri" w:eastAsia="Amiri" w:cs="Amiri"/>
          <w:color w:val="111111"/>
          <w:sz w:val="28"/>
          <w:sz w:val="28"/>
          <w:szCs w:val="28"/>
          <w:rtl w:val="true"/>
          <w:lang w:bidi="ar-SA"/>
        </w:rPr>
        <w:t>على الوجوب بما ذكره، وكذلك المرتضى مدّعياً الإجماع</w:t>
      </w:r>
      <w:r>
        <w:rPr>
          <w:rStyle w:val="FootnoteAnchor"/>
          <w:rtl w:val="true"/>
        </w:rPr>
        <w:footnoteReference w:id="409"/>
      </w:r>
      <w:r>
        <w:rPr>
          <w:rFonts w:ascii="Amiri" w:hAnsi="Amiri" w:eastAsia="Amiri" w:cs="Amiri"/>
          <w:color w:val="111111"/>
          <w:sz w:val="28"/>
          <w:sz w:val="28"/>
          <w:szCs w:val="28"/>
          <w:rtl w:val="true"/>
          <w:lang w:bidi="ar-SA"/>
        </w:rPr>
        <w:t>، والباقون على الاستحباب ، وهو أقوى؛ تمسّكاً بالبراءة الأصلية، واستضعافاً لمستند الحكم، وتساهلاً بأدلّة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امرأةً في عدّتها فارق وكفّر بخمسة أصوع من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بوجوب هذه الكفّارة للشيخ فى النهاية</w:t>
      </w:r>
      <w:r>
        <w:rPr>
          <w:rStyle w:val="FootnoteAnchor"/>
          <w:rtl w:val="true"/>
        </w:rPr>
        <w:footnoteReference w:id="410"/>
      </w:r>
      <w:r>
        <w:rPr>
          <w:rFonts w:ascii="Amiri" w:hAnsi="Amiri" w:eastAsia="Amiri" w:cs="Amiri"/>
          <w:color w:val="111111"/>
          <w:sz w:val="28"/>
          <w:sz w:val="28"/>
          <w:szCs w:val="28"/>
          <w:rtl w:val="true"/>
          <w:lang w:bidi="ar-SA"/>
        </w:rPr>
        <w:t>ظاهراً، ولا بن حمزة</w:t>
      </w:r>
      <w:r>
        <w:rPr>
          <w:rStyle w:val="FootnoteAnchor"/>
          <w:rtl w:val="true"/>
        </w:rPr>
        <w:footnoteReference w:id="411"/>
      </w:r>
      <w:r>
        <w:rPr>
          <w:rFonts w:ascii="Amiri" w:hAnsi="Amiri" w:eastAsia="Amiri" w:cs="Amiri"/>
          <w:color w:val="111111"/>
          <w:sz w:val="28"/>
          <w:sz w:val="28"/>
          <w:szCs w:val="28"/>
          <w:rtl w:val="true"/>
          <w:lang w:bidi="ar-SA"/>
        </w:rPr>
        <w:t>صريحاً، وكذلك العلّامة في القواعد</w:t>
      </w:r>
      <w:r>
        <w:rPr>
          <w:rStyle w:val="FootnoteAnchor"/>
          <w:rtl w:val="true"/>
        </w:rPr>
        <w:footnoteReference w:id="412"/>
      </w:r>
      <w:r>
        <w:rPr>
          <w:rFonts w:ascii="Amiri" w:hAnsi="Amiri" w:eastAsia="Amiri" w:cs="Amiri"/>
          <w:color w:val="111111"/>
          <w:sz w:val="28"/>
          <w:sz w:val="28"/>
          <w:szCs w:val="28"/>
          <w:rtl w:val="true"/>
          <w:lang w:bidi="ar-SA"/>
        </w:rPr>
        <w:t>والتحرير</w:t>
      </w:r>
      <w:r>
        <w:rPr>
          <w:rStyle w:val="FootnoteAnchor"/>
          <w:rtl w:val="true"/>
        </w:rPr>
        <w:footnoteReference w:id="413"/>
      </w:r>
      <w:r>
        <w:rPr>
          <w:rFonts w:ascii="Amiri" w:hAnsi="Amiri" w:eastAsia="Amiri" w:cs="Amiri"/>
          <w:color w:val="111111"/>
          <w:sz w:val="28"/>
          <w:sz w:val="28"/>
          <w:szCs w:val="28"/>
          <w:rtl w:val="true"/>
          <w:lang w:bidi="ar-SA"/>
        </w:rPr>
        <w:t>، وولده في الشرح</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والمستند رواية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تزوّجها رجل فوجد لها زوجاً،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عليه الحدّ وعليها الرجم؛ لأنّه قد تقدّم بعلم وتقدّمت هي بعلم،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وكفّارته إن لم يقدّم إلى الإمام أن يتصدّق بخمسة أصوع دقيقاً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الصدوق عن أبي بصير عن أبي عبد الله علیه السلام في رجل تزوّج امرأةٌ ولها زوج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يرفع خبره إلى الإمام فعليه أن يتصدّق بخمسة أصوع دقيقاً بعد أن يفارقها</w:t>
      </w:r>
      <w:r>
        <w:rPr>
          <w:rFonts w:eastAsia="IRNazanin" w:cs="IRNazanin"/>
          <w:color w:val="111111"/>
          <w:sz w:val="28"/>
          <w:szCs w:val="28"/>
          <w:rtl w:val="true"/>
          <w:lang w:bidi="fa-IR"/>
        </w:rPr>
        <w:t>»</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وحملوا المعتدّة على ذات البعل أما في العدّة الرجعيّة فظاهر، وأمّا في البائن؛ فلعدم فرق الأصحاب بين العدّتين، فالفرق إحداث قول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ضعف هذا الاستدلال، وعدم المانع من إحداث مثل هذا القول الثالث لمن يعتمد مثل هذه الرواية؛ لأنّ قول المعصوم ليس بمتحقّقٍ في أحد القولين، ومن الجائز كونه قائلاً بخلاف قولهما ، كما لا يخفى على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الرواية ضعف باشتراك أبي بصير بين جماعة منهم الثقة</w:t>
      </w:r>
      <w:r>
        <w:rPr>
          <w:rStyle w:val="FootnoteAnchor"/>
          <w:rtl w:val="true"/>
        </w:rPr>
        <w:footnoteReference w:id="417"/>
      </w:r>
      <w:r>
        <w:rPr>
          <w:rFonts w:ascii="Amiri" w:hAnsi="Amiri" w:eastAsia="Amiri" w:cs="Amiri"/>
          <w:color w:val="111111"/>
          <w:sz w:val="28"/>
          <w:sz w:val="28"/>
          <w:szCs w:val="28"/>
          <w:rtl w:val="true"/>
          <w:lang w:bidi="ar-SA"/>
        </w:rPr>
        <w:t>و الضعيف</w:t>
      </w:r>
      <w:r>
        <w:rPr>
          <w:rStyle w:val="FootnoteAnchor"/>
          <w:rtl w:val="true"/>
        </w:rPr>
        <w:footnoteReference w:id="418"/>
      </w:r>
      <w:r>
        <w:rPr>
          <w:rFonts w:ascii="Amiri" w:hAnsi="Amiri" w:eastAsia="Amiri" w:cs="Amiri"/>
          <w:color w:val="111111"/>
          <w:sz w:val="28"/>
          <w:sz w:val="28"/>
          <w:szCs w:val="28"/>
          <w:rtl w:val="true"/>
          <w:lang w:bidi="ar-SA"/>
        </w:rPr>
        <w:t>، و في طريقها أيضاً إسماعيل بن مرار وحاله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فرض المسألة في المعتدّة دون المزوّجة مع ورود النصّ فيها ليس بجيّد، وإن تمّ الحمل لا وجه لجعل الفرع أصلاً، ومن ثَمّ أنكر ابن إدريس الوجوب</w:t>
      </w:r>
      <w:r>
        <w:rPr>
          <w:rStyle w:val="FootnoteAnchor"/>
          <w:rtl w:val="true"/>
        </w:rPr>
        <w:footnoteReference w:id="419"/>
      </w:r>
      <w:r>
        <w:rPr>
          <w:rFonts w:ascii="Amiri" w:hAnsi="Amiri" w:eastAsia="Amiri" w:cs="Amiri"/>
          <w:color w:val="111111"/>
          <w:sz w:val="28"/>
          <w:sz w:val="28"/>
          <w:szCs w:val="28"/>
          <w:rtl w:val="true"/>
          <w:lang w:bidi="ar-SA"/>
        </w:rPr>
        <w:t>، وكذلك المصنّف؛ عملاً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أقوى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بأس بالاستحباب لما ذكرناه، مع أنّ الرواية لا تدلّ على الوجوب؛ لعدم لفظ الأمر ومعناه </w:t>
      </w:r>
      <w:bookmarkStart w:id="112" w:name="pg10270_80153"/>
    </w:p>
    <w:p>
      <w:pPr>
        <w:pStyle w:val="Heading4"/>
        <w:numPr>
          <w:ilvl w:val="3"/>
          <w:numId w:val="1"/>
        </w:numPr>
        <w:rPr/>
      </w:pPr>
      <w:bookmarkStart w:id="113" w:name="__RefHeading___Toc3860054_1067777946"/>
      <w:bookmarkStart w:id="114" w:name="_Toc41"/>
      <w:bookmarkEnd w:id="112"/>
      <w:bookmarkEnd w:id="113"/>
      <w:r>
        <w:rPr>
          <w:rtl w:val="true"/>
        </w:rPr>
        <w:t>کفّارة من نام عن صلاة العشاء حتّى جاوز نصف الليل</w:t>
      </w:r>
      <w:bookmarkEnd w:id="114"/>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عن العشاء حتّى جاوز نصف الليل أصبح صائماً، على رواية فيها ضعف، ولعلّ الاستحباب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بإسكان الصاد وضمّ الواو، أو بالهمزة المضمومة مكان الواو</w:t>
      </w:r>
      <w:r>
        <w:rPr>
          <w:rStyle w:val="FootnoteAnchor"/>
          <w:rtl w:val="true"/>
        </w:rPr>
        <w:footnoteReference w:id="420"/>
      </w:r>
      <w:r>
        <w:rPr>
          <w:rFonts w:ascii="Amiri" w:hAnsi="Amiri" w:eastAsia="Amiri" w:cs="Amiri"/>
          <w:color w:val="111111"/>
          <w:sz w:val="28"/>
          <w:sz w:val="28"/>
          <w:szCs w:val="28"/>
          <w:rtl w:val="true"/>
          <w:lang w:bidi="ar-SA"/>
        </w:rPr>
        <w:t xml:space="preserve">،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واو ولا همزة فهو لحن، وما وجد في الرواية ونهاية الشيخ بغير همز ولا واو فذلك بحسب صورة الخطّ؛ لكنّها مهموزة كما هو أحد لغاتها، والكتابة واحدة، وبواسطة ذلك اشتبه الحال على ابن إدريس، فأورد على الشيخ السهو في الخطّ</w:t>
      </w:r>
      <w:r>
        <w:rPr>
          <w:rStyle w:val="FootnoteAnchor"/>
          <w:rtl w:val="true"/>
        </w:rPr>
        <w:footnoteReference w:id="421"/>
      </w:r>
      <w:r>
        <w:rPr>
          <w:rFonts w:ascii="Amiri" w:hAnsi="Amiri" w:eastAsia="Amiri" w:cs="Amiri"/>
          <w:color w:val="111111"/>
          <w:sz w:val="28"/>
          <w:sz w:val="28"/>
          <w:szCs w:val="28"/>
          <w:rtl w:val="true"/>
          <w:lang w:bidi="ar-SA"/>
        </w:rPr>
        <w:t xml:space="preserve">، وليس كذلك، وقال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بخطّ الشيخ بيده في النهاية كذلك، وعليه همزة، إيذاناً بأنّها مهموزة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عن العشاء حتّى جاوز نصف الليل أصبح صائماً، على رواية فيها ضعف، ولعلّ الاستحباب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بوجوب ذلك للمرتضى مدّعياً الإجماع</w:t>
      </w:r>
      <w:r>
        <w:rPr>
          <w:rStyle w:val="FootnoteAnchor"/>
          <w:rtl w:val="true"/>
        </w:rPr>
        <w:footnoteReference w:id="423"/>
      </w:r>
      <w:r>
        <w:rPr>
          <w:rFonts w:ascii="Amiri" w:hAnsi="Amiri" w:eastAsia="Amiri" w:cs="Amiri"/>
          <w:color w:val="111111"/>
          <w:sz w:val="28"/>
          <w:sz w:val="28"/>
          <w:szCs w:val="28"/>
          <w:rtl w:val="true"/>
          <w:lang w:bidi="ar-SA"/>
        </w:rPr>
        <w:t>، وللشيخ في النهاية</w:t>
      </w:r>
      <w:r>
        <w:rPr>
          <w:rStyle w:val="FootnoteAnchor"/>
          <w:rtl w:val="true"/>
        </w:rPr>
        <w:footnoteReference w:id="424"/>
      </w:r>
      <w:r>
        <w:rPr>
          <w:rFonts w:ascii="IRNazanin" w:hAnsi="IRNazanin" w:eastAsia="IRNazanin"/>
          <w:color w:val="111111"/>
          <w:sz w:val="28"/>
          <w:sz w:val="28"/>
          <w:szCs w:val="28"/>
          <w:rtl w:val="true"/>
          <w:lang w:bidi="fa-IR"/>
        </w:rPr>
        <w:t>استناداً إلى رواية عبد الله بن المغيرة عمّن حدّثه عن الصادق علیه السلام في رجل نام عن العتمة ولم يقم إلّا بعد انتصاف الليل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يصلّيها ويصبح صائماً</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والإجماع ممنوع، والرواية مرسلة، ومع ذلك لا تدلّ على الوجوب؛ إذ لا أمر، ولا يلزم من عطفه على الصلاة الواجبة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الاستحباب كما اختاره المصنّف </w:t>
      </w:r>
      <w:bookmarkStart w:id="115" w:name="pg10270_80154"/>
    </w:p>
    <w:p>
      <w:pPr>
        <w:pStyle w:val="Heading4"/>
        <w:numPr>
          <w:ilvl w:val="3"/>
          <w:numId w:val="1"/>
        </w:numPr>
        <w:rPr/>
      </w:pPr>
      <w:bookmarkStart w:id="116" w:name="__RefHeading___Toc3860056_1067777946"/>
      <w:bookmarkStart w:id="117" w:name="_Toc42"/>
      <w:bookmarkEnd w:id="115"/>
      <w:bookmarkEnd w:id="116"/>
      <w:r>
        <w:rPr>
          <w:rtl w:val="true"/>
        </w:rPr>
        <w:t>کفّارة من نذر صوم يوم فعجز عنه</w:t>
      </w:r>
      <w:bookmarkEnd w:id="117"/>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نذر صوم يوم فعجز عنه أطعم مسكيناً مدّين، فإن عجز تصدّق بما استطاع، فإن عجز 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أنكر ذلك قوم؛ بناءً على سقوط النذر مع تحقّق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الثالث في خصال الكفّارة</w:t>
      </w:r>
    </w:p>
    <w:p>
      <w:pPr>
        <w:pStyle w:val="BookText"/>
        <w:rPr/>
      </w:pPr>
      <w:r>
        <w:rPr>
          <w:rFonts w:ascii="Amiri" w:hAnsi="Amiri" w:eastAsia="Amiri" w:cs="Amiri"/>
          <w:color w:val="111111"/>
          <w:sz w:val="28"/>
          <w:sz w:val="28"/>
          <w:szCs w:val="28"/>
          <w:rtl w:val="true"/>
          <w:lang w:bidi="ar-SA"/>
        </w:rPr>
        <w:t>وهي العتق والإطعام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نذر صوم يوم فعجز عنه أطعم مسكيناً 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سقوط النذر مع تحقّق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 وتبعه عليه جماعة منهم المصنّف، والعلّامة في بعض کتبه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والمستند رواية إسحاق بن عمّار عن الصادق علیه السلام في رجل يجعل عليه صياماً في نذر ولا يقوى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يعطي من يصوم عنه كلّ يوم مدّين</w:t>
      </w:r>
      <w:r>
        <w:rPr>
          <w:rFonts w:eastAsia="IRNazanin" w:cs="IRNazanin"/>
          <w:color w:val="111111"/>
          <w:sz w:val="28"/>
          <w:szCs w:val="28"/>
          <w:rtl w:val="true"/>
          <w:lang w:bidi="fa-IR"/>
        </w:rPr>
        <w:t>»</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الجميع مشترك في ضعف السند، والقصور في الدلالة على المدّعى؛ إذ ليس فيها ما يدلّ على الأمر المفيد للوجوب، ولا على وجوب الصدقة بما استطاع على تقدير العجز عن المُدِّين أو المُدّ، ومع ذلك يخالف الأصول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العجز عن المنذور يوجب سقوطه بغير 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فالقول بالاستحباب أجود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خصال الكفّارة وهي العتق والإطعام والصيام</w:t>
      </w:r>
      <w:r>
        <w:rPr>
          <w:rFonts w:eastAsia="Amiri" w:cs="Amiri" w:ascii="Amiri" w:hAnsi="Amiri"/>
          <w:color w:val="111111"/>
          <w:sz w:val="28"/>
          <w:szCs w:val="28"/>
          <w:rtl w:val="true"/>
          <w:lang w:bidi="ar-SA"/>
        </w:rPr>
        <w:t xml:space="preserve">». </w:t>
      </w:r>
      <w:bookmarkStart w:id="118" w:name="pg10270_80155"/>
    </w:p>
    <w:p>
      <w:pPr>
        <w:pStyle w:val="Heading3"/>
        <w:numPr>
          <w:ilvl w:val="2"/>
          <w:numId w:val="1"/>
        </w:numPr>
        <w:rPr/>
      </w:pPr>
      <w:bookmarkStart w:id="119" w:name="__RefHeading___Toc3860058_1067777946"/>
      <w:bookmarkStart w:id="120" w:name="_Toc43"/>
      <w:bookmarkEnd w:id="118"/>
      <w:bookmarkEnd w:id="119"/>
      <w:r>
        <w:rPr>
          <w:rtl w:val="true"/>
        </w:rPr>
        <w:t>المقصد الثالث في خصال الکفّارة</w:t>
      </w:r>
      <w:bookmarkEnd w:id="120"/>
    </w:p>
    <w:p>
      <w:pPr>
        <w:pStyle w:val="Heading4"/>
        <w:numPr>
          <w:ilvl w:val="3"/>
          <w:numId w:val="1"/>
        </w:numPr>
        <w:rPr/>
      </w:pPr>
      <w:bookmarkStart w:id="121" w:name="__RefHeading___Toc3860060_1067777946"/>
      <w:bookmarkStart w:id="122" w:name="_Toc44"/>
      <w:bookmarkEnd w:id="121"/>
      <w:r>
        <w:rPr>
          <w:rtl w:val="true"/>
        </w:rPr>
        <w:t>القول في العتق</w:t>
      </w:r>
      <w:bookmarkEnd w:id="122"/>
    </w:p>
    <w:p>
      <w:pPr>
        <w:pStyle w:val="Heading5"/>
        <w:numPr>
          <w:ilvl w:val="4"/>
          <w:numId w:val="1"/>
        </w:numPr>
        <w:rPr/>
      </w:pPr>
      <w:bookmarkStart w:id="123" w:name="__RefHeading___Toc3860062_1067777946"/>
      <w:bookmarkStart w:id="124" w:name="_Toc45"/>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القول • في العتق</w:t>
      </w:r>
    </w:p>
    <w:p>
      <w:pPr>
        <w:pStyle w:val="BookText"/>
        <w:rPr/>
      </w:pPr>
      <w:r>
        <w:rPr>
          <w:rFonts w:ascii="Amiri" w:hAnsi="Amiri" w:eastAsia="Amiri" w:cs="Amiri"/>
          <w:color w:val="111111"/>
          <w:sz w:val="28"/>
          <w:sz w:val="28"/>
          <w:szCs w:val="28"/>
          <w:rtl w:val="true"/>
          <w:lang w:bidi="ar-SA"/>
        </w:rPr>
        <w:t>ويتعيّن على الواجد فى الكفّارات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الوجدان بملك الرقبة، وملك الثمن مع إمكان الابتياع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الرقبة ثلاثة 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للمعهود الذكري، وهي المذكورة سابقاً</w:t>
      </w:r>
      <w:r>
        <w:rPr>
          <w:rStyle w:val="FootnoteAnchor"/>
          <w:rtl w:val="true"/>
        </w:rPr>
        <w:footnoteReference w:id="430"/>
      </w:r>
      <w:r>
        <w:rPr>
          <w:rFonts w:ascii="Amiri" w:hAnsi="Amiri" w:eastAsia="Amiri" w:cs="Amiri"/>
          <w:color w:val="111111"/>
          <w:sz w:val="28"/>
          <w:sz w:val="28"/>
          <w:szCs w:val="28"/>
          <w:rtl w:val="true"/>
          <w:lang w:bidi="ar-SA"/>
        </w:rPr>
        <w:t>الموجبة للخصال الثلاث على الترتيب ككفّارة الظهار، أو هي خاصّة بقرينة ذكر الترتيب في أوّل البحث عن كلّ خصلة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أحكام المخيّرة وكفّارة الجمع يستفاد ممّا يذكر في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الكسوة، فإنّها وإن كانت من خصال الكفّارة، إلّا أنّها مختصّة بكفّارة اليمين، فأدرجها في آخر بحث الإطعام</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خصّ البحث بالمرتّبة؛ لأنّها المعقود لأجلها الكلام، والمستطرد بسببها باقي الأقسام وهي كفّارة الظهار، وإلّا ففي الكفّارات ما لا تجتمع فيه الخصال مطلقاً، وفيها ما لا عتق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العتق ويتعيّن على الواجد في الكفارات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الشارع على من وجب عليه الكفّارة بالعتق مرتّب على وجودها بالفعل أو بالقوّة، كما ينبّه عليه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 لَّمْ يَجِدْ فَصِيَامُ شَهْرَيْنِ مُتَتَابِعَيْنِ</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 والوجدان أعمّ من الملك؛ لأنّه 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يملك الرقبة، ولكنّه يقدر على شرائها بما يملكه من الثمن فاضلاً عن المستثنيات، كما يعتبر فيها مع وجودها على ملكه أن تكون فاضلةٌ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تفصيله إن شاء الله تعالى</w:t>
      </w:r>
      <w:r>
        <w:rPr>
          <w:rStyle w:val="FootnoteAnchor"/>
          <w:rtl w:val="true"/>
        </w:rPr>
        <w:footnoteReference w:id="433"/>
      </w:r>
      <w:bookmarkStart w:id="125" w:name="pg10270_80156"/>
    </w:p>
    <w:p>
      <w:pPr>
        <w:pStyle w:val="Heading5"/>
        <w:numPr>
          <w:ilvl w:val="4"/>
          <w:numId w:val="1"/>
        </w:numPr>
        <w:rPr/>
      </w:pPr>
      <w:bookmarkStart w:id="126" w:name="__RefHeading___Toc3860064_1067777946"/>
      <w:bookmarkStart w:id="127" w:name="_Toc46"/>
      <w:bookmarkEnd w:id="125"/>
      <w:bookmarkEnd w:id="126"/>
      <w:r>
        <w:rPr>
          <w:rtl w:val="true"/>
        </w:rPr>
        <w:t>الوصف الأوّل</w:t>
      </w:r>
      <w:r>
        <w:rPr>
          <w:rtl w:val="true"/>
        </w:rPr>
        <w:t xml:space="preserve">: </w:t>
      </w:r>
      <w:r>
        <w:rPr>
          <w:rtl w:val="true"/>
        </w:rPr>
        <w:t>الإيمان</w:t>
      </w:r>
      <w:bookmarkEnd w:id="127"/>
    </w:p>
    <w:p>
      <w:pPr>
        <w:pStyle w:val="Heading6"/>
        <w:numPr>
          <w:ilvl w:val="5"/>
          <w:numId w:val="1"/>
        </w:numPr>
        <w:rPr/>
      </w:pPr>
      <w:bookmarkStart w:id="128" w:name="__RefHeading___Toc3860066_1067777946"/>
      <w:bookmarkStart w:id="129" w:name="_Toc47"/>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الوصف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w:t>
      </w:r>
    </w:p>
    <w:p>
      <w:pPr>
        <w:pStyle w:val="BookText"/>
        <w:rPr/>
      </w:pPr>
      <w:r>
        <w:rPr>
          <w:rFonts w:ascii="Amiri" w:hAnsi="Amiri" w:eastAsia="Amiri" w:cs="Amiri"/>
          <w:color w:val="111111"/>
          <w:sz w:val="28"/>
          <w:sz w:val="28"/>
          <w:szCs w:val="28"/>
          <w:rtl w:val="true"/>
          <w:lang w:bidi="ar-SA"/>
        </w:rPr>
        <w:t>وهو معتبر في كفّارة القتل إجماعاً، وفي غيرها على التردّد، والأشبه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بالإيمان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أو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ويستوي في الإجزاء الذكر والأنثى، والصغير والكبير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والطفل في حكم المسلم، ويجزئ إن كان أبواه مسلمين أو أحدهما ولو حين 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 في القتل خاصّةً إلّا البالغ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وهو معتبر في كفّارة القتل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العلماء على اشتراط الإيمان في المملوك الذي يُعتق عن كفّارة القتل بقوله تعالى في كفّارة قتل الخطإ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وحملوا الكفّارة الواجبة في قتل العمد عليه؛ لاتّحاد جنس السبب وهو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اشتراطه في باقي الكفّارات حيث يجب فيها العتق، فالأكثر على الاشتراط؛ حملاً للمطلق على المقيَّد وإن اختلف السبب، على ما يقوله جمع من الأصوليّين</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ولرواية سيف بن عُميرة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أيجوز للمسلم أن يعتق مملوكاً مشركاً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تَيَمَّمُواْ الْخَبيثَ مِنْهُ تُنفِقُونَ</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والكافر خبيث والكّفارة إنفاق، والنهي يدلّ على الفساد؛ ولأنّ الذمّة مشغولة بالعتق يقيناً، وبدون المؤمن لا يخرج عن عهدة التكليف يقيناً، فلا يجزئ في رفع ما وجب باليقين إلّا اليقين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 فلأنّ الجمع بين المطلق والمقيّد إنّما يجب حيث يحصل التنافي بينهما، وذلك مع اتّحاد السبب لا مع اختلافه؛ إذ لا منافاة بين أن يقول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القتل ولا تجزئ الكافرة، وبين قوله في كفّارة الظهار ونحوها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تجزئ 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بوجوب حمل المطلق على المقيّد مع اختلاف السبب قد تبيّن ضعفه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المحقّقون القائلون باشتراط الإيمان مطلقاً لا يقولون بذلك القول، وإنّما مشوا فيه هنا مع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سيف ضعيفة السند</w:t>
      </w:r>
      <w:r>
        <w:rPr>
          <w:rStyle w:val="FootnoteAnchor"/>
          <w:rtl w:val="true"/>
        </w:rPr>
        <w:footnoteReference w:id="438"/>
      </w:r>
      <w:r>
        <w:rPr>
          <w:rFonts w:ascii="Amiri" w:hAnsi="Amiri" w:eastAsia="Amiri" w:cs="Amiri"/>
          <w:color w:val="111111"/>
          <w:sz w:val="28"/>
          <w:sz w:val="28"/>
          <w:szCs w:val="28"/>
          <w:rtl w:val="true"/>
          <w:lang w:bidi="ar-SA"/>
        </w:rPr>
        <w:t>، وأخصّ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النهي عن إنفاق الخبيث فالظاهر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صرّح به المفسّرون</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الرديء من المال يعطى الفقير، وربما كانت الماليّة في الكافر أكثر منها في المسلم، والإنفاق لماليّته لا المعتقده مع أنّ مثل هذا لا يطلق عليه الإنفاق لغةً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شغل الذمّة بالعتق فيتفرّغ منه بامتثال ما أمر به الشارع، فإذا أمر بتحرير رقبة وأطلق برئت الذمّة بامتثال الأمر كذلك، ولا يراد من الخروج عن عهدة التكليف في هذا وغيره إلّا 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القائلون بالقياس قاسوا على كفّارة القتل غيرها بجامع الكفّارة، واستأنسوا له باشتراط العدالة في الشاهدين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وَأَشْهِدُواْ ذَوَى عَدْلٍ مِّنكُمْ</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مع إطلاق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وَاسْتَشْهِدُواْ شَهِيدَيْنِ مِن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وَأَشْهِدُوا إِذَا تَبَايَعْتُمْ</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وغير ذلك من المطلقات</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لا يجدي عند أصحابنا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في المبسوط</w:t>
      </w:r>
      <w:r>
        <w:rPr>
          <w:rStyle w:val="FootnoteAnchor"/>
          <w:rtl w:val="true"/>
        </w:rPr>
        <w:footnoteReference w:id="443"/>
      </w:r>
      <w:r>
        <w:rPr>
          <w:rFonts w:ascii="IRNazanin" w:hAnsi="IRNazanin" w:eastAsia="IRNazanin"/>
          <w:color w:val="111111"/>
          <w:sz w:val="28"/>
          <w:sz w:val="28"/>
          <w:szCs w:val="28"/>
          <w:rtl w:val="true"/>
          <w:lang w:bidi="fa-IR"/>
        </w:rPr>
        <w:t>والخلاف</w:t>
      </w:r>
      <w:r>
        <w:rPr>
          <w:rStyle w:val="FootnoteAnchor"/>
          <w:rtl w:val="true"/>
        </w:rPr>
        <w:footnoteReference w:id="444"/>
      </w:r>
      <w:r>
        <w:rPr>
          <w:rFonts w:ascii="Amiri" w:hAnsi="Amiri" w:eastAsia="Amiri" w:cs="Amiri"/>
          <w:color w:val="111111"/>
          <w:sz w:val="28"/>
          <w:sz w:val="28"/>
          <w:szCs w:val="28"/>
          <w:rtl w:val="true"/>
          <w:lang w:bidi="ar-SA"/>
        </w:rPr>
        <w:t>، وابن الجنيد</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عدم اشتراط</w:t>
      </w:r>
    </w:p>
    <w:p>
      <w:pPr>
        <w:pStyle w:val="BookText"/>
        <w:rPr/>
      </w:pPr>
      <w:r>
        <w:rPr>
          <w:rFonts w:ascii="Amiri" w:hAnsi="Amiri" w:eastAsia="Amiri" w:cs="Amiri"/>
          <w:color w:val="111111"/>
          <w:sz w:val="28"/>
          <w:sz w:val="28"/>
          <w:szCs w:val="28"/>
          <w:rtl w:val="true"/>
          <w:lang w:bidi="ar-SA"/>
        </w:rPr>
        <w:t>الإيمان في غير كفّارة القتل؛ للأصل، وعملاً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فالمراد بالإيمان هنا الإسلام، وهو الإقرار بالشهادتين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معناه الخاصّ وهو التصديق القلبي بهما؛ لأنّ ذلك لا يمكن الاطلّاع عليه، وإنّما التكليف متعلّق بإظهار الشهادتين، ولا معناه الأخصّ وهو اعتقاد الإماميّة؛ لأنّ ذلك أمر متأخّر عن الإيمان المعتبر</w:t>
      </w:r>
    </w:p>
    <w:p>
      <w:pPr>
        <w:pStyle w:val="BookText"/>
        <w:rPr/>
      </w:pPr>
      <w:r>
        <w:rPr>
          <w:rFonts w:ascii="Amiri" w:hAnsi="Amiri" w:eastAsia="Amiri" w:cs="Amiri"/>
          <w:color w:val="111111"/>
          <w:sz w:val="28"/>
          <w:sz w:val="28"/>
          <w:szCs w:val="28"/>
          <w:rtl w:val="true"/>
          <w:lang w:bidi="ar-SA"/>
        </w:rPr>
        <w:t>في الكفّارة، واصطلاح خاصّ، والأصل عدم اشتراطه بعد انصرافه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باشتراط الإيمان الخاصّ؛ لشبهة أنّ الإسلام لا يتحقّق بدونه، أو بدلالة النهى</w:t>
      </w:r>
    </w:p>
    <w:p>
      <w:pPr>
        <w:pStyle w:val="BookText"/>
        <w:rPr/>
      </w:pPr>
      <w:r>
        <w:rPr>
          <w:rFonts w:ascii="Amiri" w:hAnsi="Amiri" w:eastAsia="Amiri" w:cs="Amiri"/>
          <w:color w:val="111111"/>
          <w:sz w:val="28"/>
          <w:sz w:val="28"/>
          <w:szCs w:val="28"/>
          <w:rtl w:val="true"/>
          <w:lang w:bidi="ar-SA"/>
        </w:rPr>
        <w:t>عن إنفاق الخبيث عليه</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وضعفهما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فرق بين الصغير والكبير في ذلك، ولا بين الذكر والأنثى؛ عملاً بالعموم</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الإسلام في الصغير بالتبعيّة لأبويه أو أحدهما، ومن ثمّ يقتل به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تبعيّته لهما بين كونهما مسلمين حين يولد وبعده، ولا بين موته قبل أن يبلغ ويعزب</w:t>
      </w:r>
      <w:r>
        <w:rPr>
          <w:rStyle w:val="FootnoteAnchor"/>
          <w:rtl w:val="true"/>
        </w:rPr>
        <w:footnoteReference w:id="448"/>
      </w:r>
      <w:r>
        <w:rPr>
          <w:rFonts w:ascii="Amiri" w:hAnsi="Amiri" w:eastAsia="Amiri" w:cs="Amiri"/>
          <w:color w:val="111111"/>
          <w:sz w:val="28"/>
          <w:sz w:val="28"/>
          <w:szCs w:val="28"/>
          <w:rtl w:val="true"/>
          <w:lang w:bidi="ar-SA"/>
        </w:rPr>
        <w:t>عن الإسلام وبعده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وللعامّة في هذا اختلاف</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والرواية التي أشار إليها بعدم إجزاء الصغير في كفّارة القتل رواها معمر بن يحير في الحسن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يظاهر من امرأته، يجوز عتق المولود في الكفّارة؟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العتق يجوز فيه المولود، إلّا في كفّارة القتل، فإنّ الله تعالى </w:t>
      </w:r>
      <w:bookmarkStart w:id="130" w:name="pg10270_80159"/>
    </w:p>
    <w:p>
      <w:pPr>
        <w:pStyle w:val="Heading6"/>
        <w:numPr>
          <w:ilvl w:val="5"/>
          <w:numId w:val="1"/>
        </w:numPr>
        <w:rPr/>
      </w:pPr>
      <w:bookmarkStart w:id="131" w:name="__RefHeading___Toc3860068_1067777946"/>
      <w:bookmarkStart w:id="132" w:name="_Toc48"/>
      <w:bookmarkEnd w:id="130"/>
      <w:bookmarkEnd w:id="131"/>
      <w:r>
        <w:rPr>
          <w:rtl w:val="true"/>
        </w:rPr>
        <w:t>إجزاء عتق الصغیر و الأخرس لو کانا مسلمین</w:t>
      </w:r>
      <w:bookmarkEnd w:id="1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يجزئ الحمل ولو كان أبواه مسلمين وإن كان بحكم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بلغ المملوك أخرس وأبواه كافران، فأسلم بالإشارة حكم بإسلامه وأجزاً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يفتقر مع وصف الإسلام في الإجزاء إلى الصلاة، ويكفي في الإسلام الإقرار بالشهادتين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التبرّي ممّا عدا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مقرّة قد بلغت الحنث</w:t>
      </w:r>
      <w:r>
        <w:rPr>
          <w:rFonts w:eastAsia="Amiri" w:cs="Amiri" w:ascii="Amiri" w:hAnsi="Amiri"/>
          <w:color w:val="111111"/>
          <w:sz w:val="28"/>
          <w:szCs w:val="28"/>
          <w:rtl w:val="true"/>
          <w:lang w:bidi="ar-SA"/>
        </w:rPr>
        <w:t>»</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روى الحسين بن سعيد عن رجاله عن الصادق علیه السلام</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وبمضمونها عمل ابن الجنيد</w:t>
      </w:r>
      <w:r>
        <w:rPr>
          <w:rStyle w:val="FootnoteAnchor"/>
          <w:rtl w:val="true"/>
        </w:rPr>
        <w:footnoteReference w:id="451"/>
      </w:r>
      <w:r>
        <w:rPr>
          <w:rFonts w:ascii="Amiri" w:hAnsi="Amiri" w:eastAsia="Amiri" w:cs="Amiri"/>
          <w:color w:val="111111"/>
          <w:sz w:val="28"/>
          <w:sz w:val="28"/>
          <w:szCs w:val="28"/>
          <w:rtl w:val="true"/>
          <w:lang w:bidi="ar-SA"/>
        </w:rPr>
        <w:t>، وهو قول موجّه، إلّا أن المختار الأوّل؛ للحوق أحكام الإيمان به والارتداد بعد بلوغه ولو لم يسبق تلفّظه بالشهادة بعد البلوغ فيكون حقيقةً،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وَاتَّبَعَتْهُمْ ذُرِّيَّتُهُم بِإِيمَنِ أَلْحَقْنَا بِهِمْ ذُرِّيَّتَهُمْ وَ مَا أَلَتْنَهُم مِّنْ عَمَلِهِم مِّن شَيْءٍ</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أي ألحقنا بهم ذرِّيَّاتهم في الإيمان، فدلّ على أنّهم مؤمنون، ولدخوله</w:t>
      </w:r>
    </w:p>
    <w:p>
      <w:pPr>
        <w:pStyle w:val="BookText"/>
        <w:rPr/>
      </w:pPr>
      <w:r>
        <w:rPr>
          <w:rFonts w:ascii="Amiri" w:hAnsi="Amiri" w:eastAsia="Amiri" w:cs="Amiri"/>
          <w:color w:val="111111"/>
          <w:sz w:val="28"/>
          <w:sz w:val="28"/>
          <w:szCs w:val="28"/>
          <w:rtl w:val="true"/>
          <w:lang w:bidi="ar-SA"/>
        </w:rPr>
        <w:t>في الوصيّة للمؤمنين ولو لا الحقيقة لما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الأدلّة لا تخلو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يجزئ الحمل ولو كان أبواه مسلمين وإن كان بحكم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إجزاء الصغير انفصاله حيّاً قبل الإعتاق، فلا يجزئ الحمل وإن انفصل بعد ذلك حيّاً، ولا يكون ذلك كاشفاً عن صحّة العتق ولا تمام السبب، وسواء انفصل لما دون ستّة أشهر من حين العتق أم لأكثر؛ لأنّ الحمل لا يلحقه حكم الأحياء شرعاً، ومن ثَمّ لا تجب فطرته وإن كان أبواه مسلمين وكان بحكم المسلم، حتّى أنّ الجاني عليه يضمنه كالمسلم على تقدير موته بعد انفصاله حيّاً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إسلام الأخرس بالإشارة المفهمة كما تصحّ عقوده بالإشارة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أبواه</w:t>
      </w:r>
    </w:p>
    <w:p>
      <w:pPr>
        <w:pStyle w:val="BookText"/>
        <w:rPr/>
      </w:pPr>
      <w:r>
        <w:rPr>
          <w:rFonts w:ascii="IRNazanin" w:hAnsi="IRNazanin" w:eastAsia="IRNazanin"/>
          <w:color w:val="111111"/>
          <w:sz w:val="28"/>
          <w:sz w:val="28"/>
          <w:szCs w:val="28"/>
          <w:rtl w:val="true"/>
          <w:lang w:bidi="fa-IR"/>
        </w:rPr>
        <w:t>کافرين فأسلم بالإشارة المفهمة حكم بإسلامه وأجزأ عتقه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حكمه الأعجمي الذي لا يفهم لغته، وروي أنّ رجلاً جاء إلى النبي صلّى الله عليه و آله وسلّم ومعه جارية أعجميّة أو خرساء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عليّ عتق رقبة، فهل تجزئ عنّي هذه ؟ فقال لها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فأشارت إلى السماء، 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فأشارت إلى أنّه رسول الله،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أعتقها فإنّها مؤمنة</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جعلت الإشارة إلى السماء دليلاً على إيمانها؛ لأنّهم كانوا عبدة الأصنام، فأفهمت بالإشارة البراءة منها؛ لأنّ الإله الذي في السماء ليس هو الأصنام، ولا يراد بكونه فيها التحيّز ، بل على حدّ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فِي السَّمَاءِ إِلَه</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يفتقر الأخرس مع إسلامه بالإشارة المفهمة إلى الصلاة؛ لأنّها فرع الإسلام، والمعتبر</w:t>
      </w:r>
    </w:p>
    <w:p>
      <w:pPr>
        <w:pStyle w:val="BookText"/>
        <w:rPr/>
      </w:pPr>
      <w:r>
        <w:rPr>
          <w:rFonts w:ascii="Amiri" w:hAnsi="Amiri" w:eastAsia="Amiri" w:cs="Amiri"/>
          <w:color w:val="111111"/>
          <w:sz w:val="28"/>
          <w:sz w:val="28"/>
          <w:szCs w:val="28"/>
          <w:rtl w:val="true"/>
          <w:lang w:bidi="ar-SA"/>
        </w:rPr>
        <w:t>ثبوت أصله، ولما ذكرناه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بإسلامه إلّا إذا صلّى بعد الإشارة</w:t>
      </w:r>
      <w:r>
        <w:rPr>
          <w:rStyle w:val="FootnoteAnchor"/>
          <w:rtl w:val="true"/>
        </w:rPr>
        <w:footnoteReference w:id="455"/>
      </w:r>
      <w:r>
        <w:rPr>
          <w:rFonts w:ascii="Amiri" w:hAnsi="Amiri" w:eastAsia="Amiri" w:cs="Amiri"/>
          <w:color w:val="111111"/>
          <w:sz w:val="28"/>
          <w:sz w:val="28"/>
          <w:szCs w:val="28"/>
          <w:rtl w:val="true"/>
          <w:lang w:bidi="ar-SA"/>
        </w:rPr>
        <w:t>لأنّ الإشارة غير صريحة في الغرض فتؤكّد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بعضهم على ما إذا لم تكن الإشارة مفهمة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اتّصافه بالإسلام أن يشهد أن لا إله إلّا الله وأن محمّداً رسول الله؛</w:t>
      </w:r>
    </w:p>
    <w:p>
      <w:pPr>
        <w:pStyle w:val="BookText"/>
        <w:rPr/>
      </w:pPr>
      <w:r>
        <w:rPr>
          <w:rFonts w:ascii="Amiri" w:hAnsi="Amiri" w:eastAsia="Amiri" w:cs="Amiri"/>
          <w:color w:val="111111"/>
          <w:sz w:val="28"/>
          <w:sz w:val="28"/>
          <w:szCs w:val="28"/>
          <w:rtl w:val="true"/>
          <w:lang w:bidi="ar-SA"/>
        </w:rPr>
        <w:t>لأن النبي صلّى الله عليه و آله وسلّم كان يكتفى بذلك من الأعراب ومن يُظهر الإسلام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يشترط التبرّي ممّا عدا الإسلام من الملل الباطلة؛ للأصل، وعدم نقله عن النبي صلّى الله عليه و آله وسلّم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يحكم بإسلام المسبيّ من أطفال الكفّار، سواء كان معه أبواه الكافران أو انفرد به السابى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كان يقبل من الكافر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بعض العامّة ذلك</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آخرون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الكافر ممّن يعترف بأصل رسالة النبي صلّى الله عليه و آله وسلّم ، كقوم من اليهود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رسول مبعوث إلى العرب خاصّةً، فلا بُدّ من هذه الزيادة في حقّه، وإن كان ممّن ينكر أصل الرسالة كالوثني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لإسلامه الكلمتان</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يعتبر الإقرار بالشهادتين معاً في حقّ من ينكرهما كالمعطّل والوثني، فلو كان موحّداً لله تعالى وهو منكر للرسالة كفى إقراره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الاكتفاء بها من اليهودي والنصراني وجهان، أصحّهما العدم؛ لأنّهما مشركان في التوحيد كما نبّه عليه تعالى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حكايته عن مقالتهم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سُبْحَنَهُ عَمَّا يُشْرِكُونَ</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وإشراكهم باعتقاد إلهيّة عيسى والعُزير وعلى تقدير اختصاص هذا الاعتقاد ببعض فرقهم لا وثوق منهم ،بخلافه، فلا يكتفى منهم بدون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يحكم بإسلام المسبيّ من أطفال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المصنّف من عدم الحكم بإسلام الطفل المسبيّ المنفرد عن أبويه الكافرين هو المشهور بين الأصحاب سيّما المتأخّرين؛ لعدم دليل صالح للحكم بالإسلام، وثبوت كفره قبل الانفراد عنهما فيستصحب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النبي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 وإنّما أبواه يهوّدانه</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الحديث لا يدلّ على الحكم بإسلامه على تقدير انفراده؛ لأنّه قد حكم عليه بالكفر قبل الانفراد، ولا دليل على زوال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ولادته على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كون المراد بها الإسلام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 المراهق لم يحكم بإسلامه 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يفرّق بينه وبين أبويه؟</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صوناً له أن يستزلّاه عن عزمه وإن كان بحكم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زال ذلك بتبعيّة الأبوين، وليست التبعيّة علّةً في حال وجودهما خاصّةً، بدليل أنّهما لو ماتا عنه لم يحكم بإسلامه إجماعاً وإن كان في 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آجراه لمسلم مدّة تتصّل بالبلوغ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يتبع السابي</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محتجّاً بأنّ هذا الطفل لا حكم له بنفسه، وليس هاهنا غير السابي فيحكم بإسلامه كما حكم بانتقاله بذلك من الحرّيّة إلى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الشهيد في الدروس</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وللأصحاب قول آخر أنّه يتبعه في الطهارة لا غير؛ لمكان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فائدة الخلاف في جواز عتقه عن الكفّارة إن اعتبرنا الإسلام، وفي لحوق أحكام المسلمين به من الصلاة عليه ودفنه على تقدير موته قبل البلوغ، وفي اشتراط إعرابه بالإسلام بعد البلوغ بغير فصل إن لم نحكم بإسلامه بالتبعيّة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الحكم بطهارته، وبقاء الشكّ في غيرها من أحكام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w:t>
      </w:r>
    </w:p>
    <w:p>
      <w:pPr>
        <w:pStyle w:val="BookText"/>
        <w:rPr/>
      </w:pPr>
      <w:r>
        <w:rPr>
          <w:rFonts w:ascii="Amiri" w:hAnsi="Amiri" w:eastAsia="Amiri" w:cs="Amiri"/>
          <w:color w:val="111111"/>
          <w:sz w:val="28"/>
          <w:sz w:val="28"/>
          <w:szCs w:val="28"/>
          <w:rtl w:val="true"/>
          <w:lang w:bidi="ar-SA"/>
        </w:rPr>
        <w:t>في هذه المسألة مستوفى في كتاب الجهاد</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أسلم المراهق لم يحكم بإسلامه 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التردّد من ارتفاع القلم عنه الموجب لسلب عبارته وتصرّفاته التي من جملتها الإسلام، ومن تمام عقل المميّز، واعتبار الشارع له في مثل الوصيّة والصدقة ففي الإسلام أولى، ولأنّ الإسلام يتعدّى من فعل الأب إليه على تقدير كون أحد أبويه مؤمناً، فمباشرته للإيمان مع عدم إيمان أبويه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عدم الحكم بإسلامه بذلك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بالتفرقة بينه وبين أبويه؛ حذراً من أن يستزلّاه عمّا عزم عليه من الإسلام حسن</w:t>
      </w:r>
      <w:r>
        <w:rPr>
          <w:rFonts w:eastAsia="Amiri" w:cs="Amiri" w:ascii="Amiri" w:hAnsi="Amiri"/>
          <w:color w:val="111111"/>
          <w:sz w:val="28"/>
          <w:szCs w:val="28"/>
          <w:rtl w:val="true"/>
          <w:lang w:bidi="ar-SA"/>
        </w:rPr>
        <w:t xml:space="preserve">. </w:t>
      </w:r>
      <w:bookmarkStart w:id="133" w:name="pg10270_80163"/>
    </w:p>
    <w:p>
      <w:pPr>
        <w:pStyle w:val="Heading5"/>
        <w:numPr>
          <w:ilvl w:val="4"/>
          <w:numId w:val="1"/>
        </w:numPr>
        <w:rPr/>
      </w:pPr>
      <w:bookmarkStart w:id="134" w:name="__RefHeading___Toc3860070_1067777946"/>
      <w:bookmarkStart w:id="135" w:name="_Toc49"/>
      <w:bookmarkEnd w:id="133"/>
      <w:bookmarkEnd w:id="134"/>
      <w:r>
        <w:rPr>
          <w:rtl w:val="true"/>
        </w:rPr>
        <w:t xml:space="preserve">الوصف الثاني </w:t>
      </w:r>
      <w:r>
        <w:rPr>
          <w:rtl w:val="true"/>
        </w:rPr>
        <w:t>:</w:t>
      </w:r>
      <w:r>
        <w:rPr>
          <w:rtl w:val="true"/>
        </w:rPr>
        <w:t>السلامة من العيوب</w:t>
      </w:r>
      <w:bookmarkEnd w:id="135"/>
    </w:p>
    <w:p>
      <w:pPr>
        <w:pStyle w:val="BookText"/>
        <w:rPr/>
      </w:pPr>
      <w:r>
        <w:rPr>
          <w:rFonts w:ascii="Amiri" w:hAnsi="Amiri" w:eastAsia="Amiri" w:cs="Amiri"/>
          <w:color w:val="111111"/>
          <w:sz w:val="28"/>
          <w:sz w:val="28"/>
          <w:szCs w:val="28"/>
          <w:rtl w:val="true"/>
          <w:lang w:bidi="ar-SA"/>
        </w:rPr>
        <w:t xml:space="preserve">الوصف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السلامة من العيوب</w:t>
      </w:r>
    </w:p>
    <w:p>
      <w:pPr>
        <w:pStyle w:val="BookText"/>
        <w:rPr/>
      </w:pPr>
      <w:r>
        <w:rPr>
          <w:rFonts w:ascii="Amiri" w:hAnsi="Amiri" w:eastAsia="Amiri" w:cs="Amiri"/>
          <w:color w:val="111111"/>
          <w:sz w:val="28"/>
          <w:sz w:val="28"/>
          <w:szCs w:val="28"/>
          <w:rtl w:val="true"/>
          <w:lang w:bidi="ar-SA"/>
        </w:rPr>
        <w:t>فلا يجزئ الأعمى، ولا الأجذم، ولا المقعد، ولا المنكَّل به؛ لتحقّق العتق بحصول هذه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ويجزئ مع غير ذلك من العيوب، كالأصمّ والأخرس، ومن قطعت إحدى يديه أو إحدى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قطعت رجلاه لم يجزئ؛ لتحقّق الإقعاد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القول بتبعيّته حينئذٍ للمسلم في الطهارة إن لم نقل بقبول إسلامه؛ حذراً من الحرج والضرر اللاحقين بمن يحفظه من المسلمين إلى أن يبلغ؛ إذ لو بقي محكوماً بنجاسته لم يرغب في أخذه، لاقتضائه المباشرة غالباً، وليس للقائلين بطهارة المسبيّ دليل أوجبها</w:t>
      </w:r>
    </w:p>
    <w:p>
      <w:pPr>
        <w:pStyle w:val="BookText"/>
        <w:rPr/>
      </w:pPr>
      <w:r>
        <w:rPr>
          <w:rFonts w:ascii="Amiri" w:hAnsi="Amiri" w:eastAsia="Amiri" w:cs="Amiri"/>
          <w:color w:val="111111"/>
          <w:sz w:val="28"/>
          <w:sz w:val="28"/>
          <w:szCs w:val="28"/>
          <w:rtl w:val="true"/>
          <w:lang w:bidi="ar-SA"/>
        </w:rPr>
        <w:t>بخصوصها دون باقي أحكام الإسلام سوى ما ذكرناه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السلامة من العيوب فلا يجزئ الأعمى ولا الأجذم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الإقعاد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العيوب الكائنة بالمملوك إن كانت موجبة لعتقه، كالعمى والجذام والإقعاد والتنكيل من مولاه، فلا اشتباه في عدم إجزائه في الكفّارة؛ لسبق الحكم بعتقه على إعتاقه لها، وإلّا فإن لم تُنقّص ماليّته ولا تخلّ باكتسابه، كقطع بعض أنامله ونقصان إصبع من أصابعه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خلاف في كونه مجزئاً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أوجبت نقص الماليّة وأخلّت بالاكتساب وأضرّت به ضرراً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كقطع اليدين أو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عندنا أنّه لا يمنع؛ لعموم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الشامل للناقصة والتامّة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يجزئ الناقص في خلقه ببطلان الجارحة إذا لم يكن في البدن سواها، كالخصيّ والأصمّ والأخرس وإن كان أشلّ من يد واحدة أو أقطع منها جاز</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ويجزئ ولد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قوم؛ استسلافاً لوصفه بالكفر، أو لقصوره عن صفة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مقطوع اليدين والرجلين، أو اليد والرجل من جانب</w:t>
      </w:r>
    </w:p>
    <w:p>
      <w:pPr>
        <w:pStyle w:val="BookText"/>
        <w:rPr/>
      </w:pPr>
      <w:r>
        <w:rPr>
          <w:rFonts w:ascii="Amiri" w:hAnsi="Amiri" w:eastAsia="Amiri" w:cs="Amiri"/>
          <w:color w:val="111111"/>
          <w:sz w:val="28"/>
          <w:sz w:val="28"/>
          <w:szCs w:val="28"/>
          <w:rtl w:val="true"/>
          <w:lang w:bidi="ar-SA"/>
        </w:rPr>
        <w:t>واحد، فإنّه لا يجزئ بلا خلاف</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تفصيل مذاهب الناس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نقوله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الآفات التي ينعتق بها لا يجزئ معها، فأمّا من عدا هؤلاء</w:t>
      </w:r>
    </w:p>
    <w:p>
      <w:pPr>
        <w:pStyle w:val="BookText"/>
        <w:rPr/>
      </w:pPr>
      <w:r>
        <w:rPr>
          <w:rFonts w:ascii="Amiri" w:hAnsi="Amiri" w:eastAsia="Amiri" w:cs="Amiri"/>
          <w:color w:val="111111"/>
          <w:sz w:val="28"/>
          <w:sz w:val="28"/>
          <w:szCs w:val="28"/>
          <w:rtl w:val="true"/>
          <w:lang w:bidi="ar-SA"/>
        </w:rPr>
        <w:t>فالظاهر أنّه يجزئه</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وهذا موافق لما ذكرناه، لكنّه يخالف ما ذكره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ويجزئ ولد الزني، ومنعه قوم؛ استسلافاً لوصفه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أن ولد الزني كغيره من المكلّفين بالنسبة إلى الإسلام والإيمان، فإذا بلغ وأعرب</w:t>
      </w:r>
    </w:p>
    <w:p>
      <w:pPr>
        <w:pStyle w:val="BookText"/>
        <w:rPr/>
      </w:pPr>
      <w:r>
        <w:rPr>
          <w:rFonts w:ascii="Amiri" w:hAnsi="Amiri" w:eastAsia="Amiri" w:cs="Amiri"/>
          <w:color w:val="111111"/>
          <w:sz w:val="28"/>
          <w:sz w:val="28"/>
          <w:szCs w:val="28"/>
          <w:rtl w:val="true"/>
          <w:lang w:bidi="ar-SA"/>
        </w:rPr>
        <w:t>عن نفسه بالشهادتين فهو مسلم، وإلّا لزم تكليف ما لا يطاق، فيجزئ عتقه عن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بإجماع الفرقة 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تَيَمَّمُواْ الْخَبِيثَ مِنْهُ تُنفِقُونَ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يتناول ولد الزني</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منع منه ابن الجنيد؛ محتجّاً بالآية</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الإجماع ودلالة الآية، فإنّه مع إظهار الإسلام لا يُعدّ خبيثاً ، ولو سلّم فعتقه</w:t>
      </w:r>
    </w:p>
    <w:p>
      <w:pPr>
        <w:pStyle w:val="BookText"/>
        <w:rPr/>
      </w:pPr>
      <w:r>
        <w:rPr>
          <w:rFonts w:ascii="IRNazanin" w:hAnsi="IRNazanin" w:eastAsia="IRNazanin"/>
          <w:color w:val="111111"/>
          <w:sz w:val="28"/>
          <w:sz w:val="28"/>
          <w:szCs w:val="28"/>
          <w:rtl w:val="true"/>
          <w:lang w:bidi="fa-IR"/>
        </w:rPr>
        <w:t>لا یعدّ نفقةً كما أسلفناه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سعيد بن يسار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يعتق ولد الزنى</w:t>
      </w:r>
      <w:r>
        <w:rPr>
          <w:rFonts w:eastAsia="IRNazanin" w:cs="IRNazanin"/>
          <w:color w:val="111111"/>
          <w:sz w:val="28"/>
          <w:szCs w:val="28"/>
          <w:rtl w:val="true"/>
          <w:lang w:bidi="fa-IR"/>
        </w:rPr>
        <w:t>»</w:t>
      </w:r>
      <w:r>
        <w:rPr>
          <w:rStyle w:val="FootnoteAnchor"/>
          <w:rtl w:val="true"/>
        </w:rPr>
        <w:footnoteReference w:id="470"/>
      </w:r>
      <w:r>
        <w:rPr>
          <w:rFonts w:ascii="Amiri" w:hAnsi="Amiri" w:eastAsia="Amiri" w:cs="Amiri"/>
          <w:color w:val="111111"/>
          <w:sz w:val="28"/>
          <w:sz w:val="28"/>
          <w:szCs w:val="28"/>
          <w:rtl w:val="true"/>
          <w:lang w:bidi="ar-SA"/>
        </w:rPr>
        <w:t>، وهو شامل للكفّارة وغيرها</w:t>
      </w:r>
      <w:r>
        <w:rPr>
          <w:rFonts w:eastAsia="Amiri" w:cs="Amiri" w:ascii="Amiri" w:hAnsi="Amiri"/>
          <w:color w:val="111111"/>
          <w:sz w:val="28"/>
          <w:szCs w:val="28"/>
          <w:rtl w:val="true"/>
          <w:lang w:bidi="ar-SA"/>
        </w:rPr>
        <w:t xml:space="preserve">. </w:t>
      </w:r>
      <w:bookmarkStart w:id="136" w:name="pg10270_80165"/>
    </w:p>
    <w:p>
      <w:pPr>
        <w:pStyle w:val="Heading5"/>
        <w:numPr>
          <w:ilvl w:val="4"/>
          <w:numId w:val="1"/>
        </w:numPr>
        <w:rPr/>
      </w:pPr>
      <w:bookmarkStart w:id="137" w:name="__RefHeading___Toc3860072_1067777946"/>
      <w:bookmarkStart w:id="138" w:name="_Toc50"/>
      <w:bookmarkEnd w:id="136"/>
      <w:bookmarkEnd w:id="137"/>
      <w:r>
        <w:rPr>
          <w:rtl w:val="true"/>
        </w:rPr>
        <w:t>الوصف الثالث أن يكون تامّ الملك</w:t>
      </w:r>
      <w:bookmarkEnd w:id="138"/>
    </w:p>
    <w:p>
      <w:pPr>
        <w:pStyle w:val="Heading6"/>
        <w:numPr>
          <w:ilvl w:val="5"/>
          <w:numId w:val="1"/>
        </w:numPr>
        <w:rPr/>
      </w:pPr>
      <w:bookmarkStart w:id="139" w:name="__RefHeading___Toc3860074_1067777946"/>
      <w:bookmarkStart w:id="140" w:name="_Toc51"/>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فلا يجزئ المدبّر ما لم ينقض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المبسوط والخلاف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بلوغه وإظهاره الإسلام، أمّا قبل بلوغه ففي إجزائه نظر؛ إذ ليس مسلماً بنفسه، ولا تابعاً فيه لغيره ؛ لانتفائه عن الأبوين شرعاً وإن كان ولداً لهما لغةٌ ، والظاهر عدم إجزائه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طاهر إذا كان متولّداً من مسلمين وإن انتفى عنهما؛ لأصالة الطهارة، وكون</w:t>
      </w:r>
    </w:p>
    <w:p>
      <w:pPr>
        <w:pStyle w:val="BookText"/>
        <w:rPr/>
      </w:pPr>
      <w:r>
        <w:rPr>
          <w:rFonts w:ascii="Amiri" w:hAnsi="Amiri" w:eastAsia="Amiri" w:cs="Amiri"/>
          <w:color w:val="111111"/>
          <w:sz w:val="28"/>
          <w:sz w:val="28"/>
          <w:szCs w:val="28"/>
          <w:rtl w:val="true"/>
          <w:lang w:bidi="ar-SA"/>
        </w:rPr>
        <w:t>النجاسة متوقّفة على الحكم بكفره ولو تبعاً، وهو منفيّ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متولّداً من كافرين ففى الحكم بنجاسته نظر، من عدم إلحاقه بهما حتّى يتبعهما</w:t>
      </w:r>
    </w:p>
    <w:p>
      <w:pPr>
        <w:pStyle w:val="BookText"/>
        <w:rPr/>
      </w:pPr>
      <w:r>
        <w:rPr>
          <w:rFonts w:ascii="Amiri" w:hAnsi="Amiri" w:eastAsia="Amiri" w:cs="Amiri"/>
          <w:color w:val="111111"/>
          <w:sz w:val="28"/>
          <w:sz w:val="28"/>
          <w:szCs w:val="28"/>
          <w:rtl w:val="true"/>
          <w:lang w:bidi="ar-SA"/>
        </w:rPr>
        <w:t>في النجاسة، ومن أنّه من أجزائهما لغةً وإن انتفى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الإشكال لو تولّد من مسلم وكافر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تامّ الملك فلا يجزئ المدبّر ما لم ينقض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بعدم إجزاء عتق المدبّر ما لم ينقض تدبيره قبل العتق للشيخ في النهاية</w:t>
      </w:r>
      <w:r>
        <w:rPr>
          <w:rStyle w:val="FootnoteAnchor"/>
          <w:rtl w:val="true"/>
        </w:rPr>
        <w:footnoteReference w:id="471"/>
      </w:r>
      <w:r>
        <w:rPr>
          <w:rFonts w:ascii="Amiri" w:hAnsi="Amiri" w:eastAsia="Amiri" w:cs="Amiri"/>
          <w:color w:val="111111"/>
          <w:sz w:val="28"/>
          <w:sz w:val="28"/>
          <w:szCs w:val="28"/>
          <w:rtl w:val="true"/>
          <w:lang w:bidi="ar-SA"/>
        </w:rPr>
        <w:t>وتلميذه القاضي</w:t>
      </w:r>
      <w:r>
        <w:rPr>
          <w:rStyle w:val="FootnoteAnchor"/>
          <w:rtl w:val="true"/>
        </w:rPr>
        <w:footnoteReference w:id="472"/>
      </w:r>
      <w:r>
        <w:rPr>
          <w:rFonts w:ascii="Amiri" w:hAnsi="Amiri" w:eastAsia="Amiri" w:cs="Amiri"/>
          <w:color w:val="111111"/>
          <w:sz w:val="28"/>
          <w:sz w:val="28"/>
          <w:szCs w:val="28"/>
          <w:rtl w:val="true"/>
          <w:lang w:bidi="ar-SA"/>
        </w:rPr>
        <w:t>وابن الجنيد</w:t>
      </w:r>
      <w:r>
        <w:rPr>
          <w:rStyle w:val="FootnoteAnchor"/>
          <w:rtl w:val="true"/>
        </w:rPr>
        <w:footnoteReference w:id="473"/>
      </w:r>
      <w:r>
        <w:rPr>
          <w:rFonts w:ascii="IRNazanin" w:hAnsi="IRNazanin" w:eastAsia="IRNazanin"/>
          <w:color w:val="111111"/>
          <w:sz w:val="28"/>
          <w:sz w:val="28"/>
          <w:szCs w:val="28"/>
          <w:rtl w:val="true"/>
          <w:lang w:bidi="fa-IR"/>
        </w:rPr>
        <w:t>لحسنة الحلبي عن أبي عبد الله علیه السلام في رجل يجعل لعبده العتق إن حدث به حدث، وعلى الرجل تحرير رقبة في كفّارة يمين أو ظهار، أيجزئ عنه أن يعتق عبده ذلك في تلك الرقبة الواجبة؟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موثّقة عبد الرحمن</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المكاتب المطلق إذا أدّى من كتابته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يؤدّ أو كان مشروطاً، قال في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نظر إلى نقصان الرقّ؛ لتحقّق الكتابة وظاهر کلامه في النهاية أنّه يجزئ ولعلّه أشبه من حيث تحقّق الرقّ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الشيخ في كتابي الفروع</w:t>
      </w:r>
      <w:r>
        <w:rPr>
          <w:rStyle w:val="FootnoteAnchor"/>
          <w:rtl w:val="true"/>
        </w:rPr>
        <w:footnoteReference w:id="476"/>
      </w:r>
      <w:r>
        <w:rPr>
          <w:rFonts w:ascii="Amiri" w:hAnsi="Amiri" w:eastAsia="Amiri" w:cs="Amiri"/>
          <w:color w:val="111111"/>
          <w:sz w:val="28"/>
          <w:sz w:val="28"/>
          <w:szCs w:val="28"/>
          <w:rtl w:val="true"/>
          <w:lang w:bidi="ar-SA"/>
        </w:rPr>
        <w:t>وابن إدريس</w:t>
      </w:r>
      <w:r>
        <w:rPr>
          <w:rStyle w:val="FootnoteAnchor"/>
          <w:rtl w:val="true"/>
        </w:rPr>
        <w:footnoteReference w:id="477"/>
      </w:r>
      <w:r>
        <w:rPr>
          <w:rFonts w:ascii="IRNazanin" w:hAnsi="IRNazanin" w:eastAsia="IRNazanin"/>
          <w:color w:val="111111"/>
          <w:sz w:val="28"/>
          <w:sz w:val="28"/>
          <w:szCs w:val="28"/>
          <w:rtl w:val="true"/>
          <w:lang w:bidi="fa-IR"/>
        </w:rPr>
        <w:t>والمتأخّرون</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ويكون عنقه فسخاً للتدبير؛ لأنّه بمنزلة الوصيّة يبطلها التصرّف الناقل عن الملك ويقع صحيحاً كما مرّ في بابه</w:t>
      </w:r>
      <w:r>
        <w:rPr>
          <w:rStyle w:val="FootnoteAnchor"/>
          <w:rtl w:val="true"/>
        </w:rPr>
        <w:footnoteReference w:id="479"/>
      </w:r>
      <w:r>
        <w:rPr>
          <w:rFonts w:ascii="IRNazanin" w:hAnsi="IRNazanin" w:eastAsia="IRNazanin"/>
          <w:color w:val="111111"/>
          <w:sz w:val="28"/>
          <w:sz w:val="28"/>
          <w:szCs w:val="28"/>
          <w:rtl w:val="true"/>
          <w:lang w:bidi="fa-IR"/>
        </w:rPr>
        <w:t>، وهذا هو الأشهر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حمل الرواية على من جعل ذلك بوجهٍ لازم، أو تحمل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المكاتب المطلق إذا أدّى من كتابته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توجيه عدم إجزاء عتقه أيضاً بأنّ الكتابة معاملة بين السيّد والمملوك، وهي لازمة من قبل السيّد على ما يأتي</w:t>
      </w:r>
      <w:r>
        <w:rPr>
          <w:rStyle w:val="FootnoteAnchor"/>
          <w:rtl w:val="true"/>
        </w:rPr>
        <w:footnoteReference w:id="480"/>
      </w:r>
      <w:r>
        <w:rPr>
          <w:rFonts w:ascii="Amiri" w:hAnsi="Amiri" w:eastAsia="Amiri" w:cs="Amiri"/>
          <w:color w:val="111111"/>
          <w:sz w:val="28"/>
          <w:sz w:val="28"/>
          <w:szCs w:val="28"/>
          <w:rtl w:val="true"/>
          <w:lang w:bidi="ar-SA"/>
        </w:rPr>
        <w:t>مطلقاً، وقد خرج بها عن الملك خروجاً متزلزلاً ،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بيع للعبد من نفسه</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لزوم العقود، والآية تتضمّن الأمر بالوفاء بها</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والعتق يستلزم الملك، وبقاؤه في المكاتب غير معلوم، ومن ثَمَّ لم تجب فطرته ولا نفقته، وانتفت عنه لوازم الملك من المنع من التصرّف وغيره وإن نهاه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والحجر عليه في بعض التصرّفات؛ مراعاةً لوفاء الدين لا يقتضي كونه باقياً في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وعوده إليه على تقدير العجز أمر متجدّد، وقد بيّنا أن خروجه غير مستقرّ، فالقول بعدم الجواز متوجّه لذلك</w:t>
      </w:r>
      <w:r>
        <w:rPr>
          <w:rFonts w:eastAsia="Amiri" w:cs="Amiri" w:ascii="Amiri" w:hAnsi="Amiri"/>
          <w:color w:val="111111"/>
          <w:sz w:val="28"/>
          <w:szCs w:val="28"/>
          <w:rtl w:val="true"/>
          <w:lang w:bidi="ar-SA"/>
        </w:rPr>
        <w:t xml:space="preserve">. </w:t>
      </w:r>
      <w:bookmarkStart w:id="141" w:name="pg10270_80167"/>
    </w:p>
    <w:p>
      <w:pPr>
        <w:pStyle w:val="Heading6"/>
        <w:numPr>
          <w:ilvl w:val="5"/>
          <w:numId w:val="1"/>
        </w:numPr>
        <w:rPr/>
      </w:pPr>
      <w:bookmarkStart w:id="142" w:name="__RefHeading___Toc3860076_1067777946"/>
      <w:bookmarkStart w:id="143" w:name="_Toc52"/>
      <w:bookmarkEnd w:id="141"/>
      <w:bookmarkEnd w:id="142"/>
      <w:r>
        <w:rPr>
          <w:rtl w:val="true"/>
        </w:rPr>
        <w:t>یجزئ الآبق و المستولد</w:t>
      </w:r>
      <w:bookmarkEnd w:id="1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ويجزئ الآبق إذا لم يعلم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توجيه الجواز من حيث إنّ تعجيل عتقه محض الإحسان إليه، وتحريره المحض متوقّف على أداء المال، فهو متردّد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أنّ الأمر منحصر في الرقّيّة أو الحرّيّة؛ لأنّ المدّعى وجود الحرّيّة المتزلزلة فيه، و فيها معنى الحرّيّة من وجه والرقّيّة من آخر، وهى إلى 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فالحكم موضع التردّد إن لم ترجّح جانب المنع، وقد مال إليه في المختلف</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صحّة عتقه ما لم يتحرّر منه شيء؛ استصحاباً لحكم الرقّيّة إلى أن يثبت المزيل، ولا ثبوت قبل أداء المطلق شيئاً من مال الكتابة أو كونه مشروطاً، فحكم الرقّ مستصحب، و لجواز التبرّع بعتقه اتفاقاً، وذلك دليل بقاء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المعاملة ووجوب الوفاء بها مسلّم لكن لا يقتضي خروجه عن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بيعاً للمملوك من نفسه غير صحيح عندنا كما سيأتي</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ويجزئ الآبق إذا لم يعلم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الأصالة بقائه حيّاً، ومن ثَمَّ وجبت فطرته، ويستمرّ حكم الرقّ إلى أن ينقطع خبره و يمضي عليه مدّةً لا يعيش إليها 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رواية أبي هاشم الجعفري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قد أبق منه مملوكه يجوز أن يعتقه في كفّارة الظهار؟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ما لم يعرف منه موتاً</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واستوجه في المختلف الرجوع فيه إلى الظنّ، فیصحّ عتقه مع ظنّ حياته، ويبطل مع ظنّ وفاته أو اشتباه الحال</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ومختار المصنّف أصحّ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تجزئ المستولدة؛ لتحقّق رقّيّتها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الشافعيّة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عتقه عن الكفّارة مطلقاً، لنقصان الملك</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المغصوب كالآبق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تجزئ المستولدة؛ لتحقّق رقيّتّها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 جواز عتق أُمّ الولد في الكفّارة كما يجوز عتقها تبرّعاً؛ لبقاء الملك وإن امتنع بيعها على بعض الوجوه، فإنّ عدم جواز البيع لا يقتضي زوال الملك، و لجواز بيعها على بعض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بعض الأخبار عن زين العابدين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الولد تجزئ في الظهار</w:t>
      </w:r>
      <w:r>
        <w:rPr>
          <w:rFonts w:eastAsia="IRNazanin" w:cs="IRNazanin"/>
          <w:color w:val="111111"/>
          <w:sz w:val="28"/>
          <w:szCs w:val="28"/>
          <w:rtl w:val="true"/>
          <w:lang w:bidi="fa-IR"/>
        </w:rPr>
        <w:t>»</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ومنع منه بعض الأصحاب</w:t>
      </w:r>
      <w:r>
        <w:rPr>
          <w:rStyle w:val="FootnoteAnchor"/>
          <w:rtl w:val="true"/>
        </w:rPr>
        <w:footnoteReference w:id="489"/>
      </w:r>
      <w:r>
        <w:rPr>
          <w:rFonts w:ascii="Amiri" w:hAnsi="Amiri" w:eastAsia="Amiri" w:cs="Amiri"/>
          <w:color w:val="111111"/>
          <w:sz w:val="28"/>
          <w:sz w:val="28"/>
          <w:szCs w:val="28"/>
          <w:rtl w:val="true"/>
          <w:lang w:bidi="ar-SA"/>
        </w:rPr>
        <w:t>، وهو مذهب بعض العامّة</w:t>
      </w:r>
      <w:r>
        <w:rPr>
          <w:rStyle w:val="FootnoteAnchor"/>
          <w:rtl w:val="true"/>
        </w:rPr>
        <w:footnoteReference w:id="490"/>
      </w:r>
      <w:r>
        <w:rPr>
          <w:rFonts w:ascii="Amiri" w:hAnsi="Amiri" w:eastAsia="Amiri" w:cs="Amiri"/>
          <w:color w:val="111111"/>
          <w:sz w:val="28"/>
          <w:sz w:val="28"/>
          <w:szCs w:val="28"/>
          <w:rtl w:val="true"/>
          <w:lang w:bidi="ar-SA"/>
        </w:rPr>
        <w:t>؛ لنقصان الرقّ باستحقاقها العتق لجهة 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 فإنّها إنما تستحقّ العتق بعد الموت لا مطلقاً، وإنّما الثابت في حياة المولى المنع من التصرّف بما يوجب نقل الملك، وتنجيز العتق إحسان محض وتعجيل لما تشبّثت به وأهّلها الشارع 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أعتقها المولى عن كفّارته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عتقها عن كفّارة غيره، إمّا بأن يبيعها لتعتق عن الكفّارة، أو بمجرّد أمر مَنْ عليه الكفّارة للمالك بالعتق، ففي الصحّة إشكال آخر من حيث نقلها عن ملك المولى قبل العتق حقيقةً أو ضمناً، وهو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وجه بالجواز من حيث استلزامه تعجيل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w:t>
      </w:r>
      <w:r>
        <w:rPr>
          <w:rStyle w:val="FootnoteAnchor"/>
          <w:rtl w:val="true"/>
        </w:rPr>
        <w:footnoteReference w:id="491"/>
      </w:r>
      <w:r>
        <w:rPr>
          <w:rFonts w:ascii="Amiri" w:hAnsi="Amiri" w:eastAsia="Amiri" w:cs="Amiri"/>
          <w:color w:val="111111"/>
          <w:sz w:val="28"/>
          <w:sz w:val="28"/>
          <w:szCs w:val="28"/>
          <w:rtl w:val="true"/>
          <w:lang w:bidi="ar-SA"/>
        </w:rPr>
        <w:t>، وسيأتي</w:t>
      </w:r>
      <w:r>
        <w:rPr>
          <w:rStyle w:val="FootnoteAnchor"/>
          <w:rtl w:val="true"/>
        </w:rPr>
        <w:footnoteReference w:id="492"/>
      </w:r>
      <w:r>
        <w:rPr>
          <w:rFonts w:ascii="Amiri" w:hAnsi="Amiri" w:eastAsia="Amiri" w:cs="Amiri"/>
          <w:color w:val="111111"/>
          <w:sz w:val="28"/>
          <w:sz w:val="28"/>
          <w:szCs w:val="28"/>
          <w:rtl w:val="true"/>
          <w:lang w:bidi="ar-SA"/>
        </w:rPr>
        <w:t xml:space="preserve">أيضاً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أعتق نصفين من عبدين مشتركين لم يجزئ؛ إذ لا يسمّى ذلك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أعتق شقصاً من عبد مشترك نفذ العتق في نصيبه، فإن نوى الكفّارة وهو موسر أجزأ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ينعتق بنفس إعتاق الشقص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ينعتق إلّا بأداء قيمة حصّة الشريك فهل يجزئ عند أدائها؟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لتحقّق عتق الرقبة وفيه تردّد، منشوه تحقّق عتق الشقص أخيراً بسبب بذل العوض لا بالإعتاق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معسراً صحّ العتق في نصيبه، ولا يجزئ عن الكفّارة ولو أيسر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أعتق نصفين من عبدين مشتركين لم يجزئ؛ إذ لا يسمّى ذلك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المأمور به في الكفّارة تحرير رقبة، وهي حقيقة في الواحدة الكاملة، فلو أعتق نصفي مملوكين لم يجزئ؛ لعدم صدق اسم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 تنزيلاً للأشقاص منزلة الأشخاص، ولذلك تجب الزكاة على من ملك نصف ثمانين شاة</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ولهم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باقي العبدين إن كان حرّاً أجزاً وإلّا فلا</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أنّه إذا كان الباقي حرّاً أفاد الإعتاقُ الاستقلالَ والتخلّص من الرقّ، وهو مقصود من الإعتاق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فيما لو أعتق ثلثاً من واحد وثلثين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أعتق شقصاً من عبد مشترك نفذ العتق في 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عتق الرقبة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أعتق الموسر نصيبه من العبد المشترك سرى إلى نصيب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تحصل </w:t>
      </w:r>
    </w:p>
    <w:p>
      <w:pPr>
        <w:pStyle w:val="BookText"/>
        <w:rPr/>
      </w:pPr>
      <w:r>
        <w:rPr>
          <w:rFonts w:ascii="Amiri" w:hAnsi="Amiri" w:eastAsia="Amiri" w:cs="Amiri"/>
          <w:color w:val="111111"/>
          <w:sz w:val="28"/>
          <w:sz w:val="28"/>
          <w:szCs w:val="28"/>
          <w:rtl w:val="true"/>
          <w:lang w:bidi="ar-SA"/>
        </w:rPr>
        <w:t>ذلك؛ لاستقرار الرقّ في نصيب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ملك النصيب، فنوى إعتاقه عن الكفّارة صحّ وإن تفرّق العتق؛ لتحقّق عتق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السراية بنفس اللفظ، أو بأداء القيمة، أو يتوقّف فإذا أدّى القيمة تبيّن حصول العتق من وقت اللفظ ؟ أوجه تأتى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الأوجه يتفرّع إعتاق العبد المذكور عن الكفّارة، فالمشهور بين الأصحاب صحّته إذا نوى عتقه عن الكفّارة، أما في نصيبه فظاهر، وأمّا في الباقي؛ فلأنّ سبب استحقاق عتقه إعتاق نصيبه، وقد اقترنت به نيّة الكفّارة، والعتق في الباقي يتبع العتق في نصيبه، فكما يتبعه في أصل العتق جاز أن يتبعه في الوقوع عن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الإجزاء على هذا بين أن يوجّه العتق على جميع العبد وبين أن يوجّهه على نصيبه؛ لحصول العتق بالسراية في الحالتين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ويحتمل قويّاً اشتراط نيّة العتق لجميع؛ لأنّه مأمور بإعتاق رقبة بالنيّة، فلا يكفي نیّة نصيبه وإن تبعه الباقي بحكم الشرع، فإنّ ذلك غير كافٍ في صرفه إلى الكفّارة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قلنا بالسراية عند اللفظ أو بالوقف و أدّى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العتق إنّما يحصل بأداء القيمة ففي الإجزاء وجهان، تردّد فيهما المصنّف، من تحقّق عتق الرقبة الذي هو مقصود الشارع، ومن منع كون المقصود عتقها مطلقاً بل عن الكفّارة، وعتق الباقي إنّما حصل بسبب بذل العوض لا بسبب الكفّارة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تقدير الإجزاء فهل تكفي النیّة الأُولى لنصيب الشريك، أم يحتاج إلى تجديد النیّة عند الأداء؟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المبسوط</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تكفي نيّته عند اللفظ؛ لأنّ النیّة اقترنت بالعتق، إلّا أنّ العتق حصل على ترتّب وتدرّج</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التجديد لتقترن النیّة بعتق نصيب الشريك كما اقترنت بعتق نصيبه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نوى في الحال صرف العتق في نصيبه إلى الكفّارة، ونوى عند أداء القيمة صرف العتق في نصيب الشريك إليها أجزاً أيضاً؛ لاقتران النیّة بحالة حصول العتق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كان موسراً، فأمّا المعسر فإنّ عتقه يوجد في نصيبه ولا يسري إلى نصيب شريكه، فإن ملك بعد ذلك مالاً وأيسر لم ينفذ العتق فيه؛ لأنّ الرقّ قد استقرّ فيه للشريك فلا يجوز إزالته بعد استقراره، لكن إن ملكه وأعتقه ابتداءً أجزاً؛ لأنّ عتق الرقبة قد حصل وإن كان متفرّقاً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ابن الجنيد من إجزاء هذا العتق عن الكفّارة؛ لأنّ عتق السراية حصل بغير قصده بل بالسنّة عليه</w:t>
      </w:r>
      <w:r>
        <w:rPr>
          <w:rStyle w:val="FootnoteAnchor"/>
          <w:rtl w:val="true"/>
        </w:rPr>
        <w:footnoteReference w:id="496"/>
      </w:r>
      <w:r>
        <w:rPr>
          <w:rFonts w:ascii="Amiri" w:hAnsi="Amiri" w:eastAsia="Amiri" w:cs="Amiri"/>
          <w:color w:val="111111"/>
          <w:sz w:val="28"/>
          <w:sz w:val="28"/>
          <w:szCs w:val="28"/>
          <w:rtl w:val="true"/>
          <w:lang w:bidi="ar-SA"/>
        </w:rPr>
        <w:t>، ويصدق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أعتق جميع العبد، وإنّما أعتق نصيبه وعُتق عليه الباقي بحكم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موجّه، إلّا أنّ الأشهر الإجزاء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أنّه يفرّق بين هذه المسألة وبين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القول بإجزاء العتق بالسراية عن الكفّارة، مع أنّ إعتاقه لنصفي العبدين أبلغ من عتق النصف الواحد وقد حكم بإجزائه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شرط الإجزاء أن ينوي عتق الجميع عن الكفّارة كما بيّناه، أو ينوي عتق نصيبه ويطلق؛ ليسري العتق على الباقي ويتبع ما نواه على الوجه الآخر، والأمران منفيّان في السابقة، فإنّه بنیّة عتق النصفين من الاثنين عن كفّارةٍ واحدةٍ قد صرّح بعدم إرادة عتق الباقي من العبد الواحد عن الكفّارة على تقدير السراية، ونيّة العدم صرفت الشقص الخارج عن عتقه للكفّارة فلم يقع مجزئاً عنها لذلك، ولو كان قد نوى عتق الشقصين عن كفّارتين جاءت المسألة الثانیّة بأسرها، وصحّ عتقهما عن الكفّارة، وسرى إليهما على ما فصّل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معنى عتق ما يملكه من العبد عن الكفّارة مع يساره لو أعتق بعض عبد يملكه بأسره عن الكفّارة، فإنّه يسري إلى الجميع، ويجزئه إذا نوى ذلك أو لم ينو ما ينافي الكفّارة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أعتق المرهون لم یصحّ ما لم يجزئ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مطلقاً إن كان موسراً، و يكلّف أداء المال إن كان حالّاً أو رهناً بدله إن كان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قتل عمداً فأعتقه في الكفّارة فللشيخ قولان والأشبه 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قتل خطأ قال فى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يجزئ عتقه؛ لتعلّق حقّ المجنيّ عليه برقبته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ويضمن السيّد دية المقتول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أعتق المرهون لم یصحّ ما لم يجزئ المرتهن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البعد أنّ الراهن ممنوع من التصرّف في المرهون بالإجماع، فإخراج هذا الفرد من التصرّف تحكّم، وعموم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الراهن والمرتهن ممنوعان من التصرّف</w:t>
      </w:r>
      <w:r>
        <w:rPr>
          <w:rFonts w:eastAsia="IRNazanin" w:cs="IRNazanin"/>
          <w:color w:val="111111"/>
          <w:sz w:val="28"/>
          <w:szCs w:val="28"/>
          <w:rtl w:val="true"/>
          <w:lang w:bidi="fa-IR"/>
        </w:rPr>
        <w:t>»</w:t>
      </w:r>
      <w:r>
        <w:rPr>
          <w:rStyle w:val="FootnoteAnchor"/>
          <w:rtl w:val="true"/>
        </w:rPr>
        <w:footnoteReference w:id="497"/>
      </w:r>
      <w:r>
        <w:rPr>
          <w:rFonts w:ascii="Amiri" w:hAnsi="Amiri" w:eastAsia="Amiri" w:cs="Amiri"/>
          <w:color w:val="111111"/>
          <w:sz w:val="28"/>
          <w:sz w:val="28"/>
          <w:szCs w:val="28"/>
          <w:rtl w:val="true"/>
          <w:lang w:bidi="ar-SA"/>
        </w:rPr>
        <w:t>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أجازه المرتهن نفذ؛ لأنّ المنع كان لحقه، فإذا أجاز زال المانع وصادف وقوع العتق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واستند الشيخ في صحّة العتق إلى عموم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وأنّ الراهن مالك لها، وهو مع يساره واجد فيتناوله العموم</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قتل عمداً فأعتقه في الكفّارة فللشيخ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اختلف كلام الشيخ في هذه المسألة اختلافاً فاحشاً؛ لأنّه في الخلاف منع من صحّة عتق الجاني عمداً، وجوّز عتقه إذا كانت الجناية خطأ، واستدلّ على ذلك بإجماع الفرقة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أعتق عنه معتِق بمسألته صحّ، ولم يكن له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شرط عوضاً،</w:t>
      </w:r>
    </w:p>
    <w:p>
      <w:pPr>
        <w:pStyle w:val="BookText"/>
        <w:rPr/>
      </w:pPr>
      <w:r>
        <w:rPr>
          <w:rFonts w:ascii="Amiri" w:hAnsi="Amiri" w:eastAsia="Amiri" w:cs="Amiri"/>
          <w:color w:val="111111"/>
          <w:sz w:val="28"/>
          <w:sz w:val="28"/>
          <w:szCs w:val="28"/>
          <w:rtl w:val="true"/>
          <w:lang w:bidi="ar-SA"/>
        </w:rPr>
        <w:t>كأن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عشرة، صحّ ولزمه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تبرّع بالعتق عنه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 العتق عن المعتِق دون من أعتق عنه، سواء كان المعتَق عنه حيّاً أو ميّتاً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أعتق الوارث عن الميّت من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مال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التسوية بين الأجنبي والوارث في المنع أو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عكس في المبسوط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يقتضيه مذهبنا أنّه إن كان عامداً نفذ العتق؛ لأنّ القود لا يبطل بكونه حرّاً، وإن كان</w:t>
      </w:r>
    </w:p>
    <w:p>
      <w:pPr>
        <w:pStyle w:val="BookText"/>
        <w:rPr/>
      </w:pPr>
      <w:r>
        <w:rPr>
          <w:rFonts w:ascii="Amiri" w:hAnsi="Amiri" w:eastAsia="Amiri" w:cs="Amiri"/>
          <w:color w:val="111111"/>
          <w:sz w:val="28"/>
          <w:sz w:val="28"/>
          <w:szCs w:val="28"/>
          <w:rtl w:val="true"/>
          <w:lang w:bidi="ar-SA"/>
        </w:rPr>
        <w:t>خطاً لا ينفذ؛ لأنّه يتعلّق برقبته، والسيّد بالخيار بين أن يفديه أو يسلّمه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والمصنّف اختار مذهبه في الخلاف، وهو صحّة العتق مع كون الجناية خطأ</w:t>
      </w:r>
      <w:r>
        <w:rPr>
          <w:rStyle w:val="FootnoteAnchor"/>
          <w:rtl w:val="true"/>
        </w:rPr>
        <w:footnoteReference w:id="502"/>
      </w:r>
      <w:r>
        <w:rPr>
          <w:rFonts w:ascii="Amiri" w:hAnsi="Amiri" w:eastAsia="Amiri" w:cs="Amiri"/>
          <w:color w:val="111111"/>
          <w:sz w:val="28"/>
          <w:sz w:val="28"/>
          <w:szCs w:val="28"/>
          <w:rtl w:val="true"/>
          <w:lang w:bidi="ar-SA"/>
        </w:rPr>
        <w:t>، وبطلانه مع العمد ؛ لأنّه مع العمد يكون التخيير إلى أولياء المقتول، إن شاؤوا قتلوه وإن شاؤوا استرقّوه، وصحّة عتقه تستلزم إبطال ذلك، أمّا الخطأ فالخيار إلى المولى، إن شاء افتكّه بالأرش أو القيمة على الخلاف، وإن شاء دفعه إلى أولياء المقتول، فإذا أعتقه يكون قد اختار الافتكاك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يتمّ مع يساره ، فلو كان معسراً لم ينفذ عتقه؛ لتضرّر أولياء المقتول به وإسقاط حقّهم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صحّته مع الخطا والعمد؛ مراعى بفكّه له في الخطإ، واختيار أولياء المقتول</w:t>
      </w:r>
    </w:p>
    <w:p>
      <w:pPr>
        <w:pStyle w:val="BookText"/>
        <w:rPr/>
      </w:pPr>
      <w:r>
        <w:rPr>
          <w:rFonts w:ascii="Amiri" w:hAnsi="Amiri" w:eastAsia="Amiri" w:cs="Amiri"/>
          <w:color w:val="111111"/>
          <w:sz w:val="28"/>
          <w:sz w:val="28"/>
          <w:szCs w:val="28"/>
          <w:rtl w:val="true"/>
          <w:lang w:bidi="ar-SA"/>
        </w:rPr>
        <w:t>الفداء في العمد، وبذله له أو عفوهم عن الجناية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أعتق عنه معتِق بمسألته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وجب على شخص كفّارة تتأدى بالعتق فأعتق عنه غيره بنیّة الكفّارة، فإن كان ذلك بمسألة من عليه الكفّارة صحّ، سواء شرط له عوضاً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عبدك عن كفّارتي ولك</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يشترط بأن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عبدك عن كفّارتي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الصحّة في الموضعين أنّ المعتِق كالنائب عن الآمر على التقديرين، وكالوكيل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الإعتاق، فيكون الأمر كأنه أعتق الرقبة عن الكفّارة، فيدخل في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 ولا مانع من ذلك إلّا عدم كونه مالكاً لها، ولكن سيأتي أنّ الملك ينتقل إليه على وجه لیصحّ العتق</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تبرّع المعتق عنه من غير سؤاله قال الشيخ في المبسوط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 العتق عن المعتق دون من أعتق عنه، سواء كان المعتق عنه حيّاً أو ميّتاً إن لم يكن المعتِق وارثاً، فإن كان وارثاً صحّ عتقه عن الميّت وإن لم يكن من مال الميّت</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وفرّق بين الوارث والأجنبي بأنّ الوارث مخاطب بأداء الحقوق الواجبة على المورّث، وله التخيير في جهات القضاء، وقائم مقامه في قبول قوله فيما كان يقبل قوله فيه، وفي تعيين الوصيّة المبهمة والمطلقة على وجه، مع تكليفه بما عليه من الصلاة والصوم بخلاف الأجنبي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عليك أنّ هذه الفروق خارجة عن موضع الفرض، ولا يقتضي عموم الولاية؛ لأنّ الفرض كونه غير وصيّ، ومن ثَمَّ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التسوية بين الأجنبي والوارث في المنع أو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التبرّع حاصل من كلّ واحد منهما؛ لما ذكرناه من أنّ الفرض كونه غير وصيٍّ، ولا يلزم من قيامه مقامه في بعض الأحكام قيامه 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فإمّا أن يمنع من الإجزاء فيهما؛ نظراً إلى وقوع العتق من غير مالك، ولا من هو في حكمه كالوكيل والمأمور، ولا عتق إلّا في ملك، أو صحّته فيهما التفاتاً إلى أن المتبرّع نوى العنق عن ذي الكفّارة فيقع عنه؛ لعموم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بالنيّات</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 ولأنّه لو لم يقع عنه ما وقع أصلاً، أمّا عن المعتق؛ فلأنّه لم ينوه عن نفسه ولا عمل إلا بنیّة، وأمّا عن الآخر؛ فلأنّه الفرض ولأنّه جار مجرى قضاء الدين الجائز تبرّعاً من الأجنبي والوارث ودين الله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عبدك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 عنك، فقد وقع الاتّفاق على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متى ينتقل إلى الآمر ؟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بعد قول المعتِق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أعتقت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ينعتق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الاقتصار على الثمرة، وهو صحّة العتق وبراءة ذمّة الآمر، وما عداه 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 أن يقضى، وتوقّف العتق على الملك يندفع بالملك الضمني كما قيل به مع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يرجّح أحد الأمرين، وإنّما منع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الإجزاء عن الميّت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وقوعه عن الحيّ نظر، وإن كان الوقوع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عبدك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عبدك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وقع العتق عن الآمر بغير خلاف ممّن يعتدّ به، ولا بُدَّ من الحكم بدخوله في ملك المعتَق عنه، لقوله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عتق إلّا في ملك</w:t>
      </w:r>
      <w:r>
        <w:rPr>
          <w:rFonts w:eastAsia="IRNazanin" w:cs="IRNazanin"/>
          <w:color w:val="111111"/>
          <w:sz w:val="28"/>
          <w:szCs w:val="28"/>
          <w:rtl w:val="true"/>
          <w:lang w:bidi="fa-IR"/>
        </w:rPr>
        <w:t>»</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العلماء في وقت دخوله، وذكروا فيه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يحصل عقيب الفراغ من لفظ الإعتاق على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يستلزم تأخّر العتق عن الإعتاق بقدر ما يتوسّطهما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واعتذروا عنه بأنّ تأخّر العتق عن الإعتاق بسبب أنّه إعتاق عن الغير، ومثله واقع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 عبدي عنك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عتقه يتوقّف على قبول المعتَق عنه، ويلزم منه تأخّر العتق عن الإعتاق</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القول إلى التحكّم؛ لأنّ الدليل الدالّ على صحّة هذا العتق إن سلّم دلالته على انتقال الملك فليس فيه توقيت له، فتخصيصه بهذا الوقت تحكّم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يحصل الملك بشروعه في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ويعتق إذا تمَّ اللفظ بمجموع الصيغة، فالجزء علّة للعتق وهو ملك الآمر، والکلّ سبب لزوال ملكه عنه بالإعتاق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إذا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هذا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اختلفوا أيضاً في الوقت الذي يملكه الآكل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عندي أنّه يكون إباحةً للتناول، ولا ينتقل إلى ملك الآكل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المفيد</w:t>
      </w:r>
      <w:r>
        <w:rPr>
          <w:rStyle w:val="FootnoteAnchor"/>
          <w:rtl w:val="true"/>
        </w:rPr>
        <w:footnoteReference w:id="508"/>
      </w:r>
      <w:r>
        <w:rPr>
          <w:rFonts w:ascii="Amiri" w:hAnsi="Amiri" w:eastAsia="Amiri" w:cs="Amiri"/>
          <w:color w:val="111111"/>
          <w:sz w:val="28"/>
          <w:sz w:val="28"/>
          <w:szCs w:val="28"/>
          <w:rtl w:val="true"/>
          <w:lang w:bidi="ar-SA"/>
        </w:rPr>
        <w:t>والعلّامة</w:t>
      </w:r>
      <w:r>
        <w:rPr>
          <w:rStyle w:val="FootnoteAnchor"/>
          <w:rtl w:val="true"/>
        </w:rPr>
        <w:footnoteReference w:id="509"/>
      </w:r>
      <w:r>
        <w:rPr>
          <w:rFonts w:ascii="Amiri" w:hAnsi="Amiri" w:eastAsia="Amiri" w:cs="Amiri"/>
          <w:color w:val="111111"/>
          <w:sz w:val="28"/>
          <w:sz w:val="28"/>
          <w:szCs w:val="28"/>
          <w:rtl w:val="true"/>
          <w:lang w:bidi="ar-SA"/>
        </w:rPr>
        <w:t>وولده فخر الدين</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أنّه يستلزم صيرورته ملكاً للآمر قبل تمام الصيغة، فلو فرض تركه إكمالها خرج عن ملكه ولم يقع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يحصل الملك للمستدعي بالاستدعاء، ويعتق عليه إذا تلفّظ المالك بالإعتاق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ورد على السابق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يحصل الملك والعتق معاً عند تمام الإعتاق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سلامة عن المحذور السابق، إلّا أنّ اشتراط وقوع العتق في ملك يقتضي تقدّم الملك على العتق فلا يتمّ وقوعهما معاً في وقت واحد عند تمام لفظ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يحصل بالأمر المقترن بصيغة العتق، فيكون تمام الصيغة كاشفاً عن سبق الملك عليها، وعدم إيقاعها بعد الاستدعاء أو قطعها أو وقوع خلل فيها دالّاً على عدم حصول الملك بالأمر؛ لعدم حصول ما يعتبر في صحّته وهو اقترانه بالأمر بالعتق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الاقتران المذكور يكون شرطاً في سبق الملك، ولا يتحقّق الاقتران إلّا بتمام صيغة العتق، فيلزم تأخّر الملك عن الإعتاق، وإلّا لتأخّر الشرط عن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هذه الإشكالات ونحوها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الاقتصار على الثمرة، وهو صحّة العتق عن الآمر وبراءة ذمّته من الكفّارة، ولا يجب البحث عن وقت انتقال الملك إليه؛ فإنّ ذلك تخمين لا يرجع إلى دليل صالح</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ومثله إذا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bookmarkStart w:id="144" w:name="pg10270_80177"/>
    </w:p>
    <w:p>
      <w:pPr>
        <w:pStyle w:val="Heading5"/>
        <w:numPr>
          <w:ilvl w:val="4"/>
          <w:numId w:val="1"/>
        </w:numPr>
        <w:rPr/>
      </w:pPr>
      <w:bookmarkStart w:id="145" w:name="__RefHeading___Toc3860078_1067777946"/>
      <w:bookmarkStart w:id="146" w:name="_Toc53"/>
      <w:bookmarkEnd w:id="144"/>
      <w:bookmarkEnd w:id="145"/>
      <w:r>
        <w:rPr>
          <w:rtl w:val="true"/>
        </w:rPr>
        <w:t>شروط الإعتاق</w:t>
      </w:r>
      <w:bookmarkEnd w:id="146"/>
    </w:p>
    <w:p>
      <w:pPr>
        <w:pStyle w:val="Heading6"/>
        <w:numPr>
          <w:ilvl w:val="5"/>
          <w:numId w:val="1"/>
        </w:numPr>
        <w:rPr/>
      </w:pPr>
      <w:bookmarkStart w:id="147" w:name="__RefHeading___Toc3860080_1067777946"/>
      <w:bookmarkStart w:id="148" w:name="_Toc54"/>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و يشترط في الإعتاق شروط</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3860082_1067777946"/>
      <w:bookmarkStart w:id="150" w:name="_Toc55"/>
      <w:bookmarkEnd w:id="149"/>
      <w:r>
        <w:rPr>
          <w:rtl w:val="true"/>
        </w:rPr>
        <w:t>الشرط الأوّل</w:t>
      </w:r>
      <w:r>
        <w:rPr>
          <w:rtl w:val="true"/>
        </w:rPr>
        <w:t xml:space="preserve">: </w:t>
      </w:r>
      <w:r>
        <w:rPr>
          <w:rtl w:val="true"/>
        </w:rPr>
        <w:t>النيّة معتبرة في الإعتاق</w:t>
      </w:r>
      <w:bookmarkEnd w:id="15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النيّة؛ لأنّه عبادة يحتمل وجوهاً، فلا يختصّ بأحدها إلّا بالنیّة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نیّة القربة، فلا یصحّ العتق من الكافر، ذميّاً كان أو حربيّاً أو مرتدّاً؛ لتعذر نيّة القربة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تشبه السابقة في اشتباه وقت انتقال الملك إلى الآكل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ينتقل إلى ملك المأذون له في الأكل بتناوله بيده</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بوضعه 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بازدراد اللقمة</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الكلّ على أنّه لا يملك بوضعه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الأقوال جواز إطعامه لغيره على الأوّل لا على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الإذن صريحاً كما ذكره المصنّف، وبقرائن الأحوال كوضع الطعام بين يدي 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ما اختاره المصنّف، من أنّ المأذون لا يملكه مطلقاً، وإنّما يستبيح الأكل بالإذن؛ الملك على مالكه، وعدم حصول شيء من الأسباب الناقلة عنه شرعاً، بل هو إباحة محضة من غير تمليك، لكنّها مختصّة بالنوع المأذون فيه لفظاً أو بقرينة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في تلقيم الضيفان بعضهم بعضاً، ووضع شيء منه بين يديه، وإطعام غيرهم من السائل والهرّ وغيرهما، إلى الاذن المستفادة من اللفظ أو القرينة، ومع الشكّ يحرم التصرّف بغير الأكل مطلقاً؛ عملاً بالمتيقّن من الإباحة، وللنهي عن أكل مال الناس بالباطل</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القول في أخذ شيء منه للمأذون له في الأكل لغلامه أو ليأكله في وقت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النيّة؛ لأنّه عبادة يحتمل وجوهاً، فلا يختصّ بأحدها إلّا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النیّة معتبرة في الكفّارة؛ لأنّها عبادة تقع على وجوه مختلفة، فلا يتميّز المقصود منها إلّا بالنیّة؛ لقوله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بالنيات</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ويعتبر فيها نیّة القربة؛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وهذا هو القدر المتّفق عليه منها، وسيأتي الخلاف في اشتراط نیّة التعيين وعدمه</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ويتحصّل من ذلك أنّ المعتبر نیّة العتق عن الكفّارة تقرّباً إلى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ومقتضى العبارة أنّ نیّة الوجوب غير معتبرة فيه، إمّا لأنّه لا يقع عن الكفّارة إلّا واجباً فلا يفتقر إلى التمييز به، أو لأنّ نیّة الوجه لا دليل على اعتبارها في مطلق العبادات، وما تقدّم من ثبوته في تلك الكفّارات المختلف فيها على وجه الاستحباب يحصّل المراد بالتعيين إن اعتبرناه</w:t>
      </w:r>
      <w:r>
        <w:rPr>
          <w:rStyle w:val="FootnoteAnchor"/>
          <w:rtl w:val="true"/>
        </w:rPr>
        <w:footnoteReference w:id="517"/>
      </w:r>
      <w:r>
        <w:rPr>
          <w:rFonts w:ascii="Amiri" w:hAnsi="Amiri" w:eastAsia="Amiri" w:cs="Amiri"/>
          <w:color w:val="111111"/>
          <w:sz w:val="28"/>
          <w:sz w:val="28"/>
          <w:szCs w:val="28"/>
          <w:rtl w:val="true"/>
          <w:lang w:bidi="ar-SA"/>
        </w:rPr>
        <w:t>، وإلّا اعتبر ذكر ما يميّز الواجب عن غيره وإن لم يجعل غايةً كغيره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فقد فرّع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نیّة القربة به أنّه لا یصحّ من الكافر، كتابيّاً كان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محتجّاً بتعذّر نیّة القربة في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نظر؛ لأنّه إن أراد بنیّة القربة المتعذّرة منه نيّة إيقاع الفعل طلباً للتقرّب إلى الله تعالى بواسطة نيل الثواب أو ما جرى مجرى ذلك، سواء حصل له ما نواه أم لا منعنا من تعذّر نيّة القربة من مطلق الكافر؛ لأنّ من اعترف منهم بالله تعالى وكان كفره بجحد نبوّة النبي صلّی الله علیه و آله و سلّم أو غيره من الأنبياء أو بعض شرائع الإسلام يمكن منه هذا النوع من التقرّب، وإنّما يمتنع من الكافر المعطّل الذي لا يعترف بوجود الله تعالى، كالدهري وبعض عبدة الأصنام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أراد بها إيقاعه على وجه التقرّب إلى الله تعالى بحيث يستحقّ بها الثواب، طالبناه بدليل على اشتراط مثل ذلك، وعارضناه بعبادة المخالف من المسلمين وعتقه ؛ فإنّه لا يستتبع الثواب عنده مع صحّة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صحّة عبادات غيره بحث قرّر في محلّه</w:t>
      </w:r>
      <w:r>
        <w:rPr>
          <w:rStyle w:val="FootnoteAnchor"/>
          <w:rtl w:val="true"/>
        </w:rPr>
        <w:footnoteReference w:id="51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فكلامهم في هذا الباب مختلف غير منقّح؛ لأنّهم تارة يحكمون ببطلان عبادة </w:t>
      </w:r>
    </w:p>
    <w:p>
      <w:pPr>
        <w:pStyle w:val="BookText"/>
        <w:rPr/>
      </w:pPr>
      <w:r>
        <w:rPr>
          <w:rFonts w:ascii="IRNazanin" w:hAnsi="IRNazanin" w:eastAsia="IRNazanin"/>
          <w:color w:val="111111"/>
          <w:sz w:val="28"/>
          <w:sz w:val="28"/>
          <w:szCs w:val="28"/>
          <w:rtl w:val="true"/>
          <w:lang w:bidi="fa-IR"/>
        </w:rPr>
        <w:t>الكافر مطلقاً؛ استناداً إلى تعذر نیّة القربة منه ومقتضى ذلك إرادة المعنى الثاني ؛ لأنّ ذلك هو المتعذّر منه لا الأوّل، وتارة يجوّزون منه بعض العبادات كالعتق، وسيأتي تجويز جماعة من الأصحاب له منه</w:t>
      </w:r>
      <w:r>
        <w:rPr>
          <w:rStyle w:val="FootnoteAnchor"/>
          <w:rtl w:val="true"/>
        </w:rPr>
        <w:footnoteReference w:id="519"/>
      </w:r>
      <w:r>
        <w:rPr>
          <w:rFonts w:ascii="Amiri" w:hAnsi="Amiri" w:eastAsia="Amiri" w:cs="Amiri"/>
          <w:color w:val="111111"/>
          <w:sz w:val="28"/>
          <w:sz w:val="28"/>
          <w:szCs w:val="28"/>
          <w:rtl w:val="true"/>
          <w:lang w:bidi="ar-SA"/>
        </w:rPr>
        <w:t>مع اشتراط القربة فيه؛ نظراً إلى ما ذكرناه من الوجه في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وقع الخلاف بينهم في وقفه وصدقته وعتقه المتبرّع به، ونحو ذلك من التصرّفات الماليّة المعتبر فيها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واتّفقوا على عدم صحّة العبادات البدنیّة منه؛ نظراً إلى أنّ المال يراعى فيه جانب المدفوع إليه ولو بفكّ الرقبة من الرقّ فيرجّح فيه جانب الغرامات، بخلاف العبادات البدنیّة، ومن ثَمَّ ذهب بعض العامّة إلى عدم اشتراط النیّة في العتق والإطعام واعتبرها في الصيام</w:t>
      </w:r>
      <w:r>
        <w:rPr>
          <w:rStyle w:val="FootnoteAnchor"/>
          <w:rtl w:val="true"/>
        </w:rPr>
        <w:footnoteReference w:id="520"/>
      </w:r>
      <w:r>
        <w:rPr>
          <w:rFonts w:ascii="Amiri" w:hAnsi="Amiri" w:eastAsia="Amiri" w:cs="Amiri"/>
          <w:color w:val="111111"/>
          <w:sz w:val="28"/>
          <w:sz w:val="28"/>
          <w:szCs w:val="28"/>
          <w:rtl w:val="true"/>
          <w:lang w:bidi="ar-SA"/>
        </w:rPr>
        <w:t>، إلّا أنّ هذا الاعتبار غير منضبط عند الأصحاب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له في العتق زيادة بحث إن شاء الله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عُد إلى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ذمّيّاً كان الكافر أو حربيّاً أو مرتدّاً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للتسوية بين هذه الفرق مزيّة؛ لأنّ الكافر المقرّ بالله تعالى لا يفرّق فيه بين الذمّي والحربي وإن افترقا في الإقرار بالجزية، فإنّ ذلك أمر خارج عن هذا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حقّ التسوية بين أصناف الكفّار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مقرّاً بالله تعالى كالكتابي، أم جاحداً له كالوثني ؛ لأنّ ذلك هو موضع الإشكال ومحل الخلاف</w:t>
      </w:r>
    </w:p>
    <w:p>
      <w:pPr>
        <w:pStyle w:val="BookText"/>
        <w:rPr/>
      </w:pPr>
      <w:r>
        <w:rPr>
          <w:rFonts w:ascii="Amiri" w:hAnsi="Amiri" w:eastAsia="Amiri" w:cs="Amiri"/>
          <w:color w:val="111111"/>
          <w:sz w:val="28"/>
          <w:sz w:val="28"/>
          <w:szCs w:val="28"/>
          <w:rtl w:val="true"/>
          <w:lang w:bidi="ar-SA"/>
        </w:rPr>
        <w:t>وأما ما قاله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الكافر مطلقاً لا يعرف الله تعالى على الوجه المعتبر، ولو عرفه لأقرّ بجميع رسله ودين الإسلام</w:t>
      </w:r>
      <w:r>
        <w:rPr>
          <w:rFonts w:eastAsia="Amiri" w:cs="Amiri" w:ascii="Amiri" w:hAnsi="Amiri"/>
          <w:color w:val="111111"/>
          <w:sz w:val="28"/>
          <w:szCs w:val="28"/>
          <w:rtl w:val="true"/>
          <w:lang w:bidi="ar-SA"/>
        </w:rPr>
        <w:t>»</w:t>
      </w:r>
      <w:r>
        <w:rPr>
          <w:rStyle w:val="FootnoteAnchor"/>
          <w:rtl w:val="true"/>
        </w:rPr>
        <w:footnoteReference w:id="52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كلام بعيد عن التحقيق جدّاً، ولا ملازمة بين الأمرين، كما لا ملازمة بين معرفة </w:t>
      </w:r>
    </w:p>
    <w:p>
      <w:pPr>
        <w:pStyle w:val="BookText"/>
        <w:rPr/>
      </w:pPr>
      <w:r>
        <w:rPr>
          <w:rFonts w:ascii="IRNazanin" w:hAnsi="IRNazanin" w:eastAsia="IRNazanin"/>
          <w:color w:val="111111"/>
          <w:sz w:val="28"/>
          <w:sz w:val="28"/>
          <w:szCs w:val="28"/>
          <w:rtl w:val="true"/>
          <w:lang w:bidi="fa-IR"/>
        </w:rPr>
        <w:t>ويعتبر نیّة التعيين إن اجتمعت أجناس مختلفة على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كانت الكفّارات من جنس واحد 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يجزئ نیّة التكفير مع القربة،ولا يفتقر إلى التعيين وفيه إشكال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الصوم فالأشبه بالمذهب أنّه لا بدّ فيه من نیّة التعيين، ويجوز تجديدها إلى 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المسلم لله تعالى ومعرفة دين الحق من فرق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حِزْبٍ بِمَا لَدَيْهِمْ فَرِحُون</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ويعتبر نیّة التعيين إن اجتمعت أجناس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تجديدها إلى 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تعدّدت الكفّارات على واحدٍ، فإمّا أن يتّحد السبب جنساً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هنا الحقيقة النوعيّة كما هو استعمال الفقهاء في 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تعدّدها فإمّا أن تتماثل الكفّارات ككفّارة قتل الخطإ والظهار، أو تختلف كإحدى الكفّارتين مع كفّارة اليمين وكفّارة رمضان على القول الأصحّ من أنّها مخيّرة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اختلفت الأسباب والمسبّبات قال الشيخ في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وجب التعيين؛ لقوله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بالنيات</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فما لم يحصل فيه النیّة لا يجزئ، ولأنّ الأصل شغل الذمّة ولا يقين ببراءتها مع الإطلاق، ولا متناع الصرف إليهما جميعاً، وللبعض ترجيح بلا مرجّح</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وهذا هو الذي اختاره المصنّف وابن إدريس</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المبسوط اكتفى بالإطلاق مطلقاً</w:t>
      </w:r>
      <w:r>
        <w:rPr>
          <w:rStyle w:val="FootnoteAnchor"/>
          <w:rtl w:val="true"/>
        </w:rPr>
        <w:footnoteReference w:id="527"/>
      </w:r>
      <w:r>
        <w:rPr>
          <w:rFonts w:ascii="Amiri" w:hAnsi="Amiri" w:eastAsia="Amiri" w:cs="Amiri"/>
          <w:color w:val="111111"/>
          <w:sz w:val="28"/>
          <w:sz w:val="28"/>
          <w:szCs w:val="28"/>
          <w:rtl w:val="true"/>
          <w:lang w:bidi="ar-SA"/>
        </w:rPr>
        <w:t>لأصالة البراءة من اشتراطه وحصول الامتثال، وجاز انصرافه إلى واحدة لا بعينها، فيبقى في ذمّته أُخرى كذلك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ويشكل بأنّه مع اختلافها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ككفّارة الظهار واليمين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تخيّر بعد العتق بين عتق آخر والإطعام كان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منصرفاً إلى المرتّبة وهو خلاف الفرض، وإن تعيّن العتق ثانياً كان منصرفاً إلى المخيّرة وهو خلاف التقدير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هذا الاشكال فصّل العلّامة في المختلف، فأوجب التعيين مع اختلاف الكفّارات حكماً لا مع اتّفاقها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ويرد عليه ما لو كانت إحداهما كفّارة جمع والأخرى كفّارة مرتّبة، فإنّ حكمهما مختلف والمحذور مندفع؛ لأنّ العتق ثانياً متعيّن من غير المحذور المذكور، لاشتغال الذمّة بعتق معيّن ثانياً على کلّ تقدير، إلّا أن يجعل هذا من أفراد متّفق الحكم، من حيث اشتراكهما في تعيين العتق ابتداءً، لكنّه خلاف المفهوم من مختلف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اندفاع الإشكال بأنّ الشيخ صرّح في المبسوط بجواز التعيين بعد الإبهام،</w:t>
      </w:r>
      <w:r>
        <w:rPr>
          <w:rStyle w:val="FootnoteAnchor"/>
          <w:rtl w:val="true"/>
        </w:rPr>
        <w:footnoteReference w:id="529"/>
      </w:r>
      <w:r>
        <w:rPr>
          <w:rFonts w:ascii="Amiri" w:hAnsi="Amiri" w:eastAsia="Amiri" w:cs="Amiri"/>
          <w:color w:val="111111"/>
          <w:sz w:val="28"/>
          <w:sz w:val="28"/>
          <w:szCs w:val="28"/>
          <w:rtl w:val="true"/>
          <w:lang w:bidi="ar-SA"/>
        </w:rPr>
        <w:t>فينصرف العتق إلى التي صرفه إليها كما لو عيّن في الابتداء، وبقي حكم الأخرى بحاله، فلا محذور حينئذٍ</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دفعه أيضاً بالتزام تعيين العتق ثانياً على تقدير كون إحداهما مرتّبة والأخرى مخيّرة، ولا يلزم انصراف العتق أوّلاً إلى المخيّرة بل إلى كفّارة مطلقة ممّا في ذمّته، وتبقى أُخرى مطلقةً كذلك متردّدة بين المرتّبة والمخيّرة، فإذا اختار غير العتق لم يحصل براءة الذمّة ممّا هو متعلّق بها؛ لأنّه ليس مخيّراً، وإن اختار العتق برئت ذمّته على التقديرين، فتعيّن العتق لذلك لا لانصرافه إلى المخيّرة وإن شاركه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كمن عليه كفّارة مشتبهة بين المخيّرة والمرتّبة، فإنّه يتعيّن عليه العتق لتيقّن براءة الذمة منهما، وإن لم يكن العتق متعيّناً عليه في نفس الأمر، بل من باب مقدّمة الواجب، لتوقّف البراءة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تعدّدت الكفّارة واتّحد جنس سببها فالمشهور بين الأصحاب عدم وجوب التعيين، بل قال الشهيد في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يعرف لأحد من العلماء قولاً باشتراط التعيين والشيخ في الخلاف نقل الإجماع على عدم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المصنّف هنا جعل فيه إشكالاً</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وكأنّ وجهه اشتراك الجميع فى أنّ كلّ واحدة عمل وکلّ عمل يفتقر إلى النیّة، فکلّ كفّارة تفتقر إلى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القول بالموجب، فإنّه إذا نوى الكفّارة مطلقاً فقد حصل العمل بنیّة، وبرئت الذمّة من واحدة مطلقة ممّا في الذمّة، وبقي الباقي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يدلّ عليه الخبر</w:t>
      </w:r>
      <w:r>
        <w:rPr>
          <w:rStyle w:val="FootnoteAnchor"/>
          <w:rtl w:val="true"/>
        </w:rPr>
        <w:footnoteReference w:id="531"/>
      </w:r>
      <w:r>
        <w:rPr>
          <w:rFonts w:ascii="Amiri" w:hAnsi="Amiri" w:eastAsia="Amiri" w:cs="Amiri"/>
          <w:color w:val="111111"/>
          <w:sz w:val="28"/>
          <w:sz w:val="28"/>
          <w:szCs w:val="28"/>
          <w:rtl w:val="true"/>
          <w:lang w:bidi="ar-SA"/>
        </w:rPr>
        <w:t>وجوب القصد إلى العمل، أمّا كونه مشخّصاً بجميع وجوهه فلا يدلّ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البحث كلّه إذا كفّر بالعتق وفي معناه التكفير بالإطعام والكسوة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الصوم فقد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الأشبه بالمذهب أنّه لا بدّ فيه من نیّة التعيين مطلقاً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 بينه وبين باقي الخصال أنّه من العبادات البدنیّة والأمر فيها أضيق، ولذلك لا يجزئ فيها التوكيل، بخلاف الماليّة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العبادات الماليّة نازعة إلى الغرامات فاكتفي فيها بأصل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وبأنّ العبادات البدنیّة مراتب متفاوتة، وما يتعلّق بها من النصب والتعب يختلف موقعه ووجوهه، فالمشقّة في صلاة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 وفي صلاة الظهر من وجه آخر، لاختلاف الوقت وأعداد الركعات، بخلاف العتق فإنّه أمر واحد لا اختلاف فيه، فلم يحتجّ فيه إلى التعيين إمّامطلقاً أو على بعض الوجوه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فروع على القول بعدم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أعتق عبداً عن إحدى كفّارتيه صحّ لتحقّق نيّة التكفير؛ إذ لا عبرة بالسبب مع اتّحاد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الأشبه بالمذهب أنّه لا بدّ من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إلى عدم تحقّق الوفاق عليه، وأنه محتمل للخلاف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تعبيره بذلك أنّ ظاهر الشيخ في المبسوط اشتراك جميع خصال الكفّارات في جواز الإطلاق؛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فرض المسألة في الكفّارات المتّحدة الجنس ككفّارات اليمين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أبهم النیّة فلم يعيّن بل نوى كفّارة مطلقاً أجزأه؛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فَكَفَّرَتُهُ إِطْعَامُ عَشَرَةِ</w:t>
      </w:r>
    </w:p>
    <w:p>
      <w:pPr>
        <w:pStyle w:val="BookText"/>
        <w:rPr/>
      </w:pPr>
      <w:r>
        <w:rPr>
          <w:rFonts w:ascii="Amiri" w:hAnsi="Amiri" w:eastAsia="Amiri" w:cs="Amiri"/>
          <w:color w:val="111111"/>
          <w:sz w:val="28"/>
          <w:sz w:val="28"/>
          <w:szCs w:val="28"/>
          <w:rtl w:val="true"/>
          <w:lang w:bidi="ar-SA"/>
        </w:rPr>
        <w:t xml:space="preserve">مسكين </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ولم يفرّق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كانت أجناساً،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حنث وقتل وظاهر ووطئ في رمضان فالحكم فيها كلّها كما لو كان الجنس واحداً، فإنّه لا يفتقر إلى تعيين النیّة</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وظاهر هذا عدم الفرق بين الصوم وغيره؛ فلذا قال المصنّف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وباقي الأصحاب لم يتعرّضوا للبحث عن التعيين وعدمه إلّا في العتق، والظاهر أنّهم أحالوا الباقي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تلك الفروق لا تخلو من تكلّف، ولا توجب تعيّن نيّة التعيين مطلقاً، فلو قيل بمساواته لغيره من الخصال كما يظهر من إطلاق الشيخ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تجديدها 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في الجملة لا مطلقاً، وذلك مع نسيانها ليلاً، وفي ابتداء الصوم، بمعنى أنّه لو تجدّد عزمه على الشروع في صوم الكفّارة في أثناء النهار قبل الزوال 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أعتق عبداً عن إحدى كفّارتيه صحّ، لتحقّق نیّة التكفير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بالحكم المتّحد هنا وجوب العتق عن الكفّارة، سواء اختلفت مع ذلك في حكم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كان عليه كفّارات ثلاث متساوية في العتق والصوم والصدقة فأعتق ونوى القربة والتكفير، ثمّ عجز فصام شهرين متتابعين بنیّة القربة والتكفير، ثمّ عجز فأطعم ستّين مسكيناً كذلك، برئ من الثلاث ولو لم يعيّن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الترتيب والتخيير أم لا؛ لأنّ ذلك متفرّع على قول الشيخ بعدم وجوب التعيين مطلقاً</w:t>
      </w:r>
      <w:r>
        <w:rPr>
          <w:rStyle w:val="FootnoteAnchor"/>
          <w:rtl w:val="true"/>
        </w:rPr>
        <w:footnoteReference w:id="534"/>
      </w:r>
      <w:r>
        <w:rPr>
          <w:rFonts w:ascii="Amiri" w:hAnsi="Amiri" w:eastAsia="Amiri" w:cs="Amiri"/>
          <w:color w:val="111111"/>
          <w:sz w:val="28"/>
          <w:sz w:val="28"/>
          <w:szCs w:val="28"/>
          <w:rtl w:val="true"/>
          <w:lang w:bidi="ar-SA"/>
        </w:rPr>
        <w:t>، فتعيّن تفسير الحكم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الذي جعل في المختلف عدم وجوب التعيين مترتّباً على اتّحاده</w:t>
      </w:r>
      <w:r>
        <w:rPr>
          <w:rStyle w:val="FootnoteAnchor"/>
          <w:rtl w:val="true"/>
        </w:rPr>
        <w:footnoteReference w:id="535"/>
      </w:r>
      <w:r>
        <w:rPr>
          <w:rFonts w:ascii="Amiri" w:hAnsi="Amiri" w:eastAsia="Amiri" w:cs="Amiri"/>
          <w:color w:val="111111"/>
          <w:sz w:val="28"/>
          <w:sz w:val="28"/>
          <w:szCs w:val="28"/>
          <w:rtl w:val="true"/>
          <w:lang w:bidi="ar-SA"/>
        </w:rPr>
        <w:t>، فالمراد به ما هو أخصّ من ذلك، وهو حكمها في الترتيب والتخيير، كما يرشد إليه مثاله وتعليله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كانتا مع اختلاف سببهما متّفقتين في الجمع أو الترتيب أو التخيير برئ من العتق عن إحداهما، ولزمه في الأوّل عتق رقبة أُخرى مطلقةً كذلك، فتبرأ ذمّته منهما وكذا في الثاني أو المركّب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فإنّه بالعتق يبرأ من إحدى الكفّارتين، ويتخيّر ثانياً بين فعل إحدى الخصال الثلاث مطلقةً، فيبرأ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إحداهما مرتّبةً والأخرى مخيّرةً برئت ذمّته من إحداهما أيضاً لا على التعيين، وتعيّن عليه العتق ثانياً عن إحداهما كذلك؛ لتوقّف البراءة ممّا</w:t>
      </w:r>
      <w:r>
        <w:rPr>
          <w:rStyle w:val="FootnoteAnchor"/>
          <w:rtl w:val="true"/>
        </w:rPr>
        <w:footnoteReference w:id="536"/>
      </w:r>
      <w:r>
        <w:rPr>
          <w:rFonts w:ascii="Amiri" w:hAnsi="Amiri" w:eastAsia="Amiri" w:cs="Amiri"/>
          <w:color w:val="111111"/>
          <w:sz w:val="28"/>
          <w:sz w:val="28"/>
          <w:szCs w:val="28"/>
          <w:rtl w:val="true"/>
          <w:lang w:bidi="ar-SA"/>
        </w:rPr>
        <w:t>في ذمته المتردّد بين الأمرين عليه، إن لم يصرف ذلك المطلق الأوّل بعد العتق إلى واحدة معيّنة، وإلّا لزمه حكم الأخرى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ثانياً عن العتق تعيّن عليه الصوم، لما ذكرناه من العلّة في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عليه كفّارات ثلاث متساوية في العتق والصوم و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بتساويها في الثلاثة تساويها حكماً كالترتيب وإن اختلفت سبباً؛ لأنّه متفرّع على عدم اشتراط التعيين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يريد تساويها كمّيّة وإن اختلفت في الترتيب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اجتمع عليه كفّارة ظهار وقتل وإفطار رمضان فأعتق ونوى الكفّارة مطلقاً برئ من واحدة غير معيّنة إن لم يعيّنه بعد ذلك لأحدها، فإذا عجز عن العتق ثانياً فصام شهرين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عليه كفّارة ولم يدر أهي عن قتل أو ظهار؟ فأعتق ونوى القربة والتكفير أجزأه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 لو شكّ بين نذر وظهار فنوى التكفير لم يجزئ ؛ لأنّ النذر لا يجزئ فيه نیّة التكفير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نوى إبراء ذمّته من أيّهما كان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نوى العتق مطلقاً لم يجزئ؛ لأنّ احتمال إرادة التطوّع أظهر عند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لو نوى الوجوب؛ لأنّه قد يكون لا عن كفّارة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متتابعين برئ من أخرى كذلك، فإذا عجز عن الصوم فأطعم ستّين مسكيناً برئ من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واشترط العجز عن المرتبة السابقة؛ ليجري الحكم على المرتّبةو المخيّرة، فإنّ الثلاث إن كانت مرتّبة أو مجتمعة من الأمرين فاشتراط العجز في محلّه، وإن كانت کلّها مخيّرة وفعل الثلاث خصالٍ كما ذكر برئ من الثلاث وإن لم يكن حال فعل الصوم والإطعام عاجزاً عن السابق لكن فائدة القيد شمول الأقسام ولا يضرّ هنا أيضاً؛ لأنّ العجز لا يغيّر الحكم وإن لم يكن معتبراً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وبقي من الأقسام ما لو اجتمع عليه ثلاث كفّارات جمع فأعتق ونوى الكفّارة مطلقاً، فإنّه يبرأ من عتق واحدة غير معيّنة، فإذا صام كذلك برئ من صوم واحدة كذلك، فإذا أطعم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لم يصرفه إلى واحدة معيّنة، وإلّا افتقر في بقيّة الخصال إلى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عليه كفّارة ولم يدر أهي عن قتل أو 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إشكال في الإجزاء تفريعاً على القول بعدم وجوب التعيين كما فرضه المصنّف؛ لأنّ هذه النیّة مجزئة على هذا القول وإن علم بنوع الكفّارة فمع الجهل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اشترطنا التعيين مع العلم احتمل سقوطه مع الجهل كما في هذه الصورة، ووجوب الترديد بين الأمرين،</w:t>
      </w:r>
    </w:p>
    <w:p>
      <w:pPr>
        <w:pStyle w:val="BookText"/>
        <w:rPr/>
      </w:pPr>
      <w:r>
        <w:rPr>
          <w:rFonts w:ascii="IRNazanin" w:hAnsi="IRNazanin" w:eastAsia="IRNazanin"/>
          <w:color w:val="111111"/>
          <w:sz w:val="28"/>
          <w:sz w:val="28"/>
          <w:szCs w:val="28"/>
          <w:rtl w:val="true"/>
          <w:lang w:bidi="fa-IR"/>
        </w:rPr>
        <w:t>كالصلاة المشتبهة حيث وجب تعيينها ابتداءً فكذا مع الجهل، فتردّد النیّة بين المشكوك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أولی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شكّ بين نذر وظهار فنوى التكفير لم يجزئ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من النیّة المطلقة حيث لا يجب التعيين نیّة يشترك فيها جميع ما في ذمّته من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عليه كفّارتان وله عبدان فأعتقهما ونوى نصف كلّ واحد منهما عن كفّارة صحّ؛ لأنّ كلّ نصف تحرّر عن الكفّارة المرادة به وتحرّر الباقي عنها بالسراية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لو أعتق نصف عبده عن كفّارة معيّنة صحّ؛ لأنّه ينعتق کلّه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الأمور المتعدّدة من كفّارات أو غيرها، فإذا علم أنّ في ذمّته عتق رقبة وشكّ بين كونها بسبب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نذر عتق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كفّارة ظهار، فالأمر الجامع بين الأمرين في النیّة أن ينوي أمراً يشترك فيه النذر والكفّارة، وهو أن ينوي العتق عمّا في ذمّته من النذر أو الكفّارة، ولو نوى به التكفير لم يجزئ؛ لاحتمال كون ما في ذمّته من العتق منذوراً والنذر لا يجزئ فيه نيّة التكفير، وبالعكس، بخلاف ما لو علم أنّه عن كفّارة واشتبهت بين 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ويمين وقتل وغير ذلك، فإنّه إذا نوى التكفير أجزأ؛ لاشتراك الجميع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لا يجزئ لو نوىالعتق مطلقاً وإن كان مشتركاً بين الأمرين؛ لأنّه ظاهر في إرادة التطوّع به، فلا بدّ من ضميمةٍ تدلّ على صرفه إلى ما في ذمّته كنيّة العتق الواجب عليه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نوى به الوجوب مطلقاً، فقد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بأنّ الوجوب قد يكون لا عن كفّارة فلا يجزئ عنها؛ لأنّ المعتبر نيّتها في الجملة وهي لا تتأدّى بالأعمّ، كما لو نوى العتق الواجب وفي ذمّته كفّارة محقّقة، فإنّه لا يجزئ بل لا بدّ من ضميمة كونه عن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العتق الواجب أجزأ</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وافق على عدم إجزاء نيّة الوجوب، والفرق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عليه كفّارتان وله عبدان فأعتقهما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كان عليه كفّارتان وله عبدان، فأعتق نصف أحدهما عن كفّارة ونصف الآخر عن الأخرى صحّ، وسرى العتق إليهما، وانعتق كلّ واحدٍ عن الكفّارة التي نوى بها عتق نصفه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نوى بعتق النصف ذلك؛ لأنّه في قوّة نیّة عتق الجميع عن الكفّارة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نوى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النصف المعيّن المعتق مباشرةً بالكفّارة دون ما يحصل بالسراية لم یصحّ العتق عن الكفّارة مطلقاً، أمّا النصف الواقع مباشرةً فلعدم الاكتفاء به، وعدم إجزاء ضميمة الباقي من رقبة أُخرى؛ لعدم صدق الرقبة على النصفين، وأمّا المعتق بالسراية فلعدم نیّة الكفّارة به</w:t>
      </w:r>
    </w:p>
    <w:p>
      <w:pPr>
        <w:pStyle w:val="BookText"/>
        <w:rPr/>
      </w:pPr>
      <w:r>
        <w:rPr>
          <w:rFonts w:ascii="IRNazanin" w:hAnsi="IRNazanin" w:eastAsia="IRNazanin"/>
          <w:color w:val="111111"/>
          <w:sz w:val="28"/>
          <w:sz w:val="28"/>
          <w:szCs w:val="28"/>
          <w:rtl w:val="true"/>
          <w:lang w:bidi="fa-IR"/>
        </w:rPr>
        <w:t>بل نیّة عدمها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ما لو لم يكن عليه إلّا كفّارة واحدة فأعتق نصف عبده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ذلك</w:t>
      </w:r>
      <w:r>
        <w:rPr>
          <w:rStyle w:val="FootnoteAnchor"/>
          <w:rtl w:val="true"/>
        </w:rPr>
        <w:footnoteReference w:id="538"/>
      </w:r>
      <w:r>
        <w:rPr>
          <w:rFonts w:ascii="Amiri" w:hAnsi="Amiri" w:eastAsia="Amiri" w:cs="Amiri"/>
          <w:color w:val="111111"/>
          <w:sz w:val="28"/>
          <w:sz w:val="28"/>
          <w:szCs w:val="28"/>
          <w:rtl w:val="true"/>
          <w:lang w:bidi="ar-SA"/>
        </w:rPr>
        <w:t>، وأنّ ابن الجنيد منع من صحّة العتق عن الكفّارة على هذا الوجه</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وجيه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فأعتقهما ونوى نصف كلّ واحدٍ منهما عن 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يتبادر منه أو يشمل ما لو أعتقهما جميعاً ونوى في كلّ واحدٍ منهما بنصفه الواحد عن إحدى الكفّارتين والنصف الآخر عن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الحكم بالصحّة على هذا التقدير إشكال؛ لأنّ العتق مباشرةً على هذا الوجه لا يقع عن الكفّارة، والسراية مشروطة بصحّة العتق في البعض، وليس أحد النصفين أولى بالصحّة من الآخر، وقد نوى في كلّ واحد من العبدين العتق عن کلّ واحد من الكفّارتين، فترجيح وقوع أحدٍ النصفين عن واحدةٍ دون الآخر ترجيح من غير مرجّح، وإذا لم يقع ذلك مباشرةً فأولى أن لا يقع سرايةً؛ لأنّها فرعه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الأولى تنزيل العبارة على ما ذكرناه سابقاً من نيّة العتق عن إحداهما بنصف أحدهما خاصّةً ونصف الآخر عن الأُخرى، من غير تعرّض لوقوع النصف الآخر من كلّ واحدٍ عن الأُخرى؛ لتحقّق السراية تبعاً للعتق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القواعد في هذه المسألة أجود من عبارة المصنّف حيث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عليه كفّارتان فأعتق نصف عبدٍ عن إحداهما ونصف الآخر عن الأُخرى صحّ، وسرى العتق إليهما</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اشترى أباه أو غيره ممّن ينعتق عليه ونوى به التكفير، قال في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يجزئ، وفي الخلاف لا يجزئ وهو أشبه؛ لأنّ نیّة العتق تؤثّر في ملك المعتق لا في ملك غيره، فالسراية سابقة على النيّة، فلا يصادف حصولها ملكاً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اشترى أباه أو غيره ممّن ينعتق عليه ونوى به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المسألة تشبه السابقة من حيث إنّ العتق يقع إجباريّاً، والنیّة عند سببه، وقد اختلف فيها كلام الشيخ، فالموجود في المبسوط في باب الكفّارات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الإجزاء</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صرّح به في الخلاف</w:t>
      </w:r>
      <w:r>
        <w:rPr>
          <w:rStyle w:val="FootnoteAnchor"/>
          <w:rtl w:val="true"/>
        </w:rPr>
        <w:footnoteReference w:id="542"/>
      </w:r>
      <w:r>
        <w:rPr>
          <w:rFonts w:ascii="Amiri" w:hAnsi="Amiri" w:eastAsia="Amiri" w:cs="Amiri"/>
          <w:color w:val="111111"/>
          <w:sz w:val="28"/>
          <w:sz w:val="28"/>
          <w:szCs w:val="28"/>
          <w:rtl w:val="true"/>
          <w:lang w:bidi="ar-SA"/>
        </w:rPr>
        <w:t>أيضاً؛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 والمفهوم منه فعل الحرّيّة بالاختيار وهنا الحرّيّة إجباريّة؛ ولأنّ النیّة معتبرة وهى هنا متعذّرة؛ لأنّها ليست قبل الملك؛ لاستحالة إيقاعها على ملك الغير، ولا بعده؛ لحصول العتق، ولا في حاله؛ إذ لا استقرار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يحصل الفرق بينها وبين ما سبق من عتق المملوك المشترك </w:t>
      </w:r>
      <w:r>
        <w:rPr>
          <w:rStyle w:val="FootnoteAnchor"/>
          <w:rtl w:val="true"/>
        </w:rPr>
        <w:footnoteReference w:id="544"/>
      </w:r>
      <w:r>
        <w:rPr>
          <w:rFonts w:ascii="IRNazanin" w:hAnsi="IRNazanin" w:eastAsia="IRNazanin"/>
          <w:color w:val="111111"/>
          <w:sz w:val="28"/>
          <w:sz w:val="28"/>
          <w:szCs w:val="28"/>
          <w:rtl w:val="true"/>
          <w:lang w:bidi="fa-IR"/>
        </w:rPr>
        <w:t xml:space="preserve">لأنّ النیّة في تلك صادفت ملكاً للبعض فأثّرت فيه وتبعه الباقي، بخلاف هذه، فإنّ الملك حال الشراء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محلّ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 عن المعتق، وبعده يحصل العتق</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المصنّف عن المبسوط الإجزاء</w:t>
      </w:r>
      <w:r>
        <w:rPr>
          <w:rStyle w:val="FootnoteAnchor"/>
          <w:rtl w:val="true"/>
        </w:rPr>
        <w:footnoteReference w:id="545"/>
      </w:r>
      <w:r>
        <w:rPr>
          <w:rFonts w:ascii="IRNazanin" w:hAnsi="IRNazanin" w:eastAsia="IRNazanin"/>
          <w:color w:val="111111"/>
          <w:sz w:val="28"/>
          <w:sz w:val="28"/>
          <w:szCs w:val="28"/>
          <w:rtl w:val="true"/>
          <w:lang w:bidi="fa-IR"/>
        </w:rPr>
        <w:t>، واستدلّوا له بأنّ الملك سابق على السراية قطعاً كسبق العلّة على المعلول؛ لأنّ العتق مشروط بالملك، والسبب سابق على الملك، ضرورة سبق السبب على مسبّبه، والنیّة مقارنة للسبب، فالسراية لم تصادف إلّا عبداً معتقاً عن كفّارة فلا سراية</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نمنع حصول العتق هنا إلّا عن الكفّارة؛ لأنّه إنّما ينعتق بالقرابة لو لم يوجد سبب أسبق، وقد وجد نیّة الكفّارة </w:t>
      </w:r>
      <w:bookmarkStart w:id="151" w:name="pg10270_80189"/>
    </w:p>
    <w:p>
      <w:pPr>
        <w:pStyle w:val="Heading6"/>
        <w:numPr>
          <w:ilvl w:val="5"/>
          <w:numId w:val="1"/>
        </w:numPr>
        <w:rPr/>
      </w:pPr>
      <w:bookmarkStart w:id="152" w:name="__RefHeading___Toc3860084_1067777946"/>
      <w:bookmarkStart w:id="153" w:name="_Toc56"/>
      <w:bookmarkEnd w:id="151"/>
      <w:bookmarkEnd w:id="152"/>
      <w:r>
        <w:rPr>
          <w:rtl w:val="true"/>
        </w:rPr>
        <w:t>الشرط الثاني</w:t>
      </w:r>
      <w:r>
        <w:rPr>
          <w:rtl w:val="true"/>
        </w:rPr>
        <w:t xml:space="preserve">: </w:t>
      </w:r>
      <w:r>
        <w:rPr>
          <w:rtl w:val="true"/>
        </w:rPr>
        <w:t>تجريده عن العوض</w:t>
      </w:r>
      <w:r>
        <w:rPr>
          <w:rtl w:val="true"/>
        </w:rPr>
        <w:t>.</w:t>
      </w:r>
      <w:bookmarkEnd w:id="1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 وعليك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يجزئ عن الكفّارة؛ لأنّه قصد العوض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متّجه لكن يشترط استصحاب النیّة فعلاً إلى عقد البيع؛ لتصادف الملك، وتصدق مقارنتها للسبب إلى حين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ذكروه من الفرق بين هذه وعتق المشترك أنّ النیّة إنّما أثّرت في المملوك، أمّا ما سرى إليه العتق من ملك الغير فلم يكن مملوكاً حال النیّة، وإنّما ترتّبت السراية على عتق البعض وحكم بملك المعتق له ضمناً قبل السراية، والأمر هنا كذلك، بل الملك هنا حقيقي لا ضمني؛ لأنّ الانعتاق مسبّب عن ملك القريب له فإذا قارنته النیّة فقد قارنت العتق واشتركا في مقارنتها للسبب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فرّق بين الأمرين بأنّ العتق بالنسبة إلى السراية إلى حصّة الشريك سبب فاعلي له، والشراء بالنسبة إلى عتق القريب سبب مُعدّ لا فاعلي؛ لأنّه يجعل المحلّ قابلاً لتأثير السبب</w:t>
      </w:r>
      <w:r>
        <w:rPr>
          <w:rStyle w:val="FootnoteAnchor"/>
          <w:rtl w:val="true"/>
        </w:rPr>
        <w:footnoteReference w:id="547"/>
      </w:r>
      <w:r>
        <w:rPr>
          <w:rFonts w:ascii="Amiri" w:hAnsi="Amiri" w:eastAsia="Amiri" w:cs="Amiri"/>
          <w:color w:val="111111"/>
          <w:sz w:val="28"/>
          <w:sz w:val="28"/>
          <w:szCs w:val="28"/>
          <w:rtl w:val="true"/>
          <w:lang w:bidi="ar-SA"/>
        </w:rPr>
        <w:t>في العتق، والسبب الفاعلي فيه هو النسب، وفاعل قبول المحلّ لأثر يفعله غيره غير</w:t>
      </w:r>
    </w:p>
    <w:p>
      <w:pPr>
        <w:pStyle w:val="BookText"/>
        <w:rPr/>
      </w:pPr>
      <w:r>
        <w:rPr>
          <w:rFonts w:ascii="Amiri" w:hAnsi="Amiri" w:eastAsia="Amiri" w:cs="Amiri"/>
          <w:color w:val="111111"/>
          <w:sz w:val="28"/>
          <w:sz w:val="28"/>
          <w:szCs w:val="28"/>
          <w:rtl w:val="true"/>
          <w:lang w:bidi="ar-SA"/>
        </w:rPr>
        <w:t>فاعل لذلك الأثر، والمعتبر في العتق المطلوب في الكفّارة كون المعتق فاعلاً له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نظر؛ لاشتراك الأمرين في أصل السببيّة التي لها مدخل في التأثير في العتق، والفاعل له حقيقةً هو الله تعالى، وإنّما هذه اعتبارات نصبها الله تعالى علامة لحكمته لا فاعلةً في الحكم، فإمّا أن یصحّ العتق عن الكفّارة فيهما؛ نظراً إلى السببيّة، أو لا فيهما؛ لعدم مباشرته للصيغة التي جعلها الشارع موجبةً للعتق بذاتها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قال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 وعليك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يجزئ عن الكفّارة؛ لأنّه قصد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يجزئ فيما بعده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شرائط صحّة العتق عن الكفّارة تمحّضه للقربة، وهو يستلزم تجريده عن اشتراط عوض على المملوك أو على غيره أو عليهما؛ لأنّ عتقه على العوض ينافي تمحّض </w:t>
      </w:r>
    </w:p>
    <w:p>
      <w:pPr>
        <w:pStyle w:val="BookText"/>
        <w:rPr/>
      </w:pPr>
      <w:r>
        <w:rPr>
          <w:rFonts w:ascii="Amiri" w:hAnsi="Amiri" w:eastAsia="Amiri" w:cs="Amiri"/>
          <w:color w:val="111111"/>
          <w:sz w:val="28"/>
          <w:sz w:val="28"/>
          <w:szCs w:val="28"/>
          <w:rtl w:val="true"/>
          <w:lang w:bidi="ar-SA"/>
        </w:rPr>
        <w:t>ولو قال له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مملوكك عن كفّارتك ولك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 لم يجزئ عن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وقوع العتق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بوقوعه هل يلزم العوض؟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 المالك العوض بعد قبضه لم يجزئ عن الكفّارة؛ لأنّه لم يجزئ حال الإعتاق فلم يجزئ فيما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الإخلاص في عتقه، سواء ابتدأ المالك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أعتقتك وعليك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جعله جواباً للسؤال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أعتقني ولك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مملوكك عن كفّارتك ولك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 الجميع في المقتضي، فلا يقع عن الكفّارة إجماعاً لما ذكر</w:t>
      </w:r>
    </w:p>
    <w:p>
      <w:pPr>
        <w:pStyle w:val="BookText"/>
        <w:rPr/>
      </w:pPr>
      <w:r>
        <w:rPr>
          <w:rFonts w:ascii="Amiri" w:hAnsi="Amiri" w:eastAsia="Amiri" w:cs="Amiri"/>
          <w:color w:val="111111"/>
          <w:sz w:val="28"/>
          <w:sz w:val="28"/>
          <w:szCs w:val="28"/>
          <w:rtl w:val="true"/>
          <w:lang w:bidi="ar-SA"/>
        </w:rPr>
        <w:t>وهل يقع العتق مجرّداً عنها؟ وجهان، من أنّه عتق صدر من أهله في محلّه، ولأنّ قصده للعتق عن الكفّارة يستلزم قصد مطلق العتق؛ لأنّ المطلق موجود في ضمن المقيّد، وقد تعذّر العتق عن الكفّارة لمانع العوض فيقع المطلق؛ لأنّ العوض لا ينافيه؛ لجواز اشتراطه على المملوك ابتداءً وجعل الأجنبي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الشيخ في المبسوط</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أنّه لم ينو العتق مطلقاً وإنّما نواه عن الكفّارة، فلو وقع عن غيرها لزم وقوعه بغير نيّة، وقد قال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ويتفرّع على ذلك لزوم العوض للآمر أو للعبد، فحكم الشيخ بلزوم العوض تفريعاً على القول بصحّة العتق المطلق؛ لأنّه فعل ما أمره به فاستحقّ العوض كغيره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واستحسنه المصنّف</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 بلزوم العوض وعدم الإجزاء عن الكفّارة مما لا يجتمعان، والثاني ثابت إجماعاً، فينتفي الأوّل، وبيانه أنّ الجعل إنّما هو عن العتق في الكفّارة لا عن مطلق العتق، ولم يقع فلا عوض</w:t>
      </w:r>
      <w:r>
        <w:rPr>
          <w:rStyle w:val="FootnoteAnchor"/>
          <w:rtl w:val="true"/>
        </w:rPr>
        <w:footnoteReference w:id="5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السيّد عميد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لا نسلّم عدم اجتماعهما ؛ لأنّه جعل له العتق عن الكفّارة وقد فعل ، ولم يجعل له عن الإجزاء عن الكفّارة؛ لأنّ الإجزاء حكم شرعي ليس فعلاً للمکلّف فیصحّ الجعل عليه</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وأورد عليه شيخنا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الجاعل على فعل شرعي جعالةً كالحجّ مثلاً إنّما طلب الصحيح الذي له صلاحية الإجزاء بخروج المکلّف عن العهدة؛ لدلالة اللفظ حقيقةً عليه، ولم يطلب صورته التي هي أعمّ من الصحيح والفاسد، فكذلك الجاعل عن الكّفارة إنّما جعل على عتق مجزئ عن الكفّارة، حملاً للّفظ على حقيقته، وصرفاً له عن المجاز، أعني الحمل على الصورة، وحيث لم يوجد ما طلبه لا يستحقّ شيئاً</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وأجاب السيد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الحقيقة وإن كانت مطلوبة إلّا أنّ هذا الموضع يمتنع فيه الحقيقة؛ لأنّ وقوع العتق عن الكفّارة مُحال، فكان طالباً للمُحال</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فحينئذٍ حمل لفظه على الصورة بتلك القرينة، والمجاز يصار إليه بقرينة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المقتضي للمجاز هنا تحصيل حكم شرعى؛ لئلّا تخرج أفعال المكلّف عن الشرع، والبطلان وعدم صحّة الجعالة حكم شرعي فلم لا يحمل عليه؟</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والحقّ أنّ الجعالة على شيء لا يستحقّ بها الجعل إلّا بفعل مقتضى الجعالة بجميع أوصافها، فخروج هذا الفرد عن القاعدة لا وجه 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عجز المجعول له عن فعل مقتضى الجعالة وقدرته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نقل </w:t>
      </w:r>
      <w:bookmarkStart w:id="154" w:name="pg10270_80192"/>
    </w:p>
    <w:p>
      <w:pPr>
        <w:pStyle w:val="Heading6"/>
        <w:numPr>
          <w:ilvl w:val="5"/>
          <w:numId w:val="1"/>
        </w:numPr>
        <w:rPr/>
      </w:pPr>
      <w:bookmarkStart w:id="155" w:name="__RefHeading___Toc3860086_1067777946"/>
      <w:bookmarkStart w:id="156" w:name="_Toc57"/>
      <w:bookmarkEnd w:id="154"/>
      <w:bookmarkEnd w:id="155"/>
      <w:r>
        <w:rPr>
          <w:rtl w:val="true"/>
        </w:rPr>
        <w:t>الشرط الثالث</w:t>
      </w:r>
      <w:r>
        <w:rPr>
          <w:rtl w:val="true"/>
        </w:rPr>
        <w:t xml:space="preserve">: </w:t>
      </w:r>
      <w:r>
        <w:rPr>
          <w:rtl w:val="true"/>
        </w:rPr>
        <w:t>أن لا يكون السبب محرّماً</w:t>
      </w:r>
      <w:r>
        <w:rPr>
          <w:rtl w:val="true"/>
        </w:rPr>
        <w:t>.</w:t>
      </w:r>
      <w:bookmarkEnd w:id="156"/>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السبب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نكّل بعبده، بأن قلع عينيه أو قطع رجليه ، ونوى التكفير انعتق ولم يجزئ عن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بصحّته عن الكفّارة لا يستحقّ عليه جعلاً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بالقرائن أنّ غرضه من ذلك إنّما هو تخليص المملوك من الرقّ، وتقييده بالكفّارة ليكون وسيلةً إلى إجابة المالك إلى ملتمسه اتّجه استحقاق الجعل عليه وإن لم يقع الكفّارة؛ لأنّها ليست مقصودة بالذات حينئذٍ، وإنّما المقصود العتق المقتضي للخلوص من الرقّ كيف اتّفق وقد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على تقدير عدم وقوعه عن الكفّارة طالب للمُحال فيحمل على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يتوجّه مع علمه بالحكم وهو عدم وقوعهعن الكفّارة، أمّا مع جهله به فلا يكون طلبه لوقوعه عنها طلباً للمُحال في زعمه، وإن كان في نفس الأمر كذلك، فصرفه إلى الصورة غير جيّد؛ لعدم القرينة الموجبة لحمله على المجاز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فلو قال المعتق بعد ظهور الحال له 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أردّ العوض ليكون العتق مجزئاً عن كفّارتي، أو ردّه بالفعل لم ينقلب مجزئاً؛ لأنّه إذا لم يجزئ حال الإعتاق لم يجزئ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 في الابتداء عقيب الالتماس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أعتقته عن كفّارتي لا على الألف، كان ردّاً لكلامه وأجزأه عن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لبعض الشافعيّة هنا وجهاً بصحّة العتق وإجزائه عن الكفّارة وسقوط العوض؛ لأنّ العتق حاصل كما تقرّر، والعوض ساقط، فأشبه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الظهر لنفسك ولك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تجزئه صلاته ولا يستحقّ العوض</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يكون السبب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نكّل بعبده، بأن قلع عينيه أو قطع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الكفّارة عبادةً وطاعةً مشروطةً بنيّة القربة كان التسبّب إلى العتق عنها بسبب </w:t>
      </w:r>
      <w:bookmarkStart w:id="157" w:name="pg10270_80193"/>
    </w:p>
    <w:p>
      <w:pPr>
        <w:pStyle w:val="Heading4"/>
        <w:numPr>
          <w:ilvl w:val="3"/>
          <w:numId w:val="1"/>
        </w:numPr>
        <w:rPr/>
      </w:pPr>
      <w:bookmarkStart w:id="158" w:name="__RefHeading___Toc3860088_1067777946"/>
      <w:bookmarkStart w:id="159" w:name="_Toc58"/>
      <w:bookmarkEnd w:id="157"/>
      <w:bookmarkEnd w:id="158"/>
      <w:r>
        <w:rPr>
          <w:rtl w:val="true"/>
        </w:rPr>
        <w:t>القول في الصيام</w:t>
      </w:r>
      <w:bookmarkEnd w:id="159"/>
    </w:p>
    <w:p>
      <w:pPr>
        <w:pStyle w:val="Heading5"/>
        <w:numPr>
          <w:ilvl w:val="4"/>
          <w:numId w:val="1"/>
        </w:numPr>
        <w:rPr/>
      </w:pPr>
      <w:bookmarkStart w:id="160" w:name="__RefHeading___Toc3860090_1067777946"/>
      <w:bookmarkStart w:id="161" w:name="_Toc59"/>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ويتعيّن الصوم في المرتّبة مع العجز عن العتق</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3860092_1067777946"/>
      <w:bookmarkStart w:id="163" w:name="_Toc60"/>
      <w:bookmarkEnd w:id="162"/>
      <w:r>
        <w:rPr>
          <w:rtl w:val="true"/>
        </w:rPr>
        <w:t>حدّ العجز عن العتق و انتقال الفرض إلی الصوم</w:t>
      </w:r>
      <w:bookmarkEnd w:id="163"/>
    </w:p>
    <w:p>
      <w:pPr>
        <w:pStyle w:val="BookText"/>
        <w:rPr/>
      </w:pPr>
      <w:r>
        <w:rPr>
          <w:rFonts w:ascii="Amiri" w:hAnsi="Amiri" w:eastAsia="Amiri" w:cs="Amiri"/>
          <w:color w:val="111111"/>
          <w:sz w:val="28"/>
          <w:sz w:val="28"/>
          <w:szCs w:val="28"/>
          <w:rtl w:val="true"/>
          <w:lang w:bidi="ar-SA"/>
        </w:rPr>
        <w:t>ويتحقّق العجز إمّا بعدم الرقبة وعدم ثمنها، وإمّا بعدم التمكّن من شرائها وإن وجد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العجز عن الإطعام أن لا يكون معه ما يفضل عن قوته وقوت عياله ليوم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الرقبة وكان مضطرّاً إلى خدمتها أو ثمنها؛ لنفقته وكسوته لم يجب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يباع المسكن ولا ثياب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ويباع ما يفضل عن قدر الحاجة من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يباع الخادم على المرتفع عن مباشرة الخدمة، ويباع على من جرت عادته بخدمة نفسه، إلّا مع المرض المحوج إلى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محرّم غير مجزئ عنها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نكّل بعبده ناوياً به العتق عن الكفّارة عتق عليه قهراً كما سيأتي إن شاء الله</w:t>
      </w:r>
      <w:r>
        <w:rPr>
          <w:rStyle w:val="FootnoteAnchor"/>
          <w:rtl w:val="true"/>
        </w:rPr>
        <w:footnoteReference w:id="556"/>
      </w:r>
      <w:r>
        <w:rPr>
          <w:rFonts w:ascii="Amiri" w:hAnsi="Amiri" w:eastAsia="Amiri" w:cs="Amiri"/>
          <w:color w:val="111111"/>
          <w:sz w:val="28"/>
          <w:sz w:val="28"/>
          <w:szCs w:val="28"/>
          <w:rtl w:val="true"/>
          <w:lang w:bidi="ar-SA"/>
        </w:rPr>
        <w:t>ولا يقع عن الكفّارة؛ للنهي عن السبب المنافي لقصد الطاعة به</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يفرّق بينه وبين شراء القريب الذي يعتق بملكه بنیّة الكفّارة؛ لأنّ السبب مباح إن لم يكن راجحاً، وبين عتق بعض المملوك بنيّتها ليسري عليه العتق، بل المذكور بهذا النوع أشبه؛ لاشتراكهما في وقوع النیّة حال الملك، بخلاف شراء القريب، وإنّما افترقا بجواز السبب وتحريمه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ويتحقّق العجز إمّا بعدم الرقبة وعدم 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المحوج إلى الخدمة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الكفّارة المرتّبة ككفّارة الظهار يتوقّف فرض الصوم فيها على عدم وجدان تحرير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عليه تعالى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مِّن قَبْلِ أَن يَتَمَاسًا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شَهْرَيْنِ مُتَتَابِعَيْنِ</w:t>
      </w:r>
      <w:r>
        <w:rPr>
          <w:rFonts w:eastAsia="Amiri" w:cs="Amiri" w:ascii="Amiri" w:hAnsi="Amiri"/>
          <w:color w:val="111111"/>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ملكه عبد فاضل عن حاجته فواجبة الإعتاق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احتاج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خدمته لمرضه أو كبره أو زمانته أو ضخامته المانعة له من خدمة نفسه عادةً فهو كالمعدوم، كما أنّ الماء المحتاج إليه للعطش كالمعدوم في جواز التيمّم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لو كان من أهل المروّات ومنصبه يأبى من أن يخدم نفسه ويباشر الأعمال التي تستخدم فيها المماليك، فلا يکلّف صرفه إلى الكفّارة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والمعتبر في ذلك العادة الغالبة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لم يملك عين الرقبة وملك ثمنها وقدر على شرائها فهو 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أن يكون فاضلاً عن حاجة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يطالب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مسكنه وثياب بدنه اللائقة به عادة، و دابّة ركوبه المحتاج إليها لعادةٍ أو عجز، ونفقته وكسوته اللائقة بحاله، ونفقة عياله الواجبي النفقة، ومنه كسوتهم وما لابدّ منه من الأثاث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يقدّر الأكثر هنا للنفقة والكسوة مدةً، فيمكن أن يكون المعتبر كفاية العمر، ويتحقّق ذلك بملك ما يحصل من نمائه إدرار النفقة في کلّ سنة بما يقوم بكفايته،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يريدوا به مؤونة السنة؛ لأنّ المؤونات تتكرّر فيها ويتجدّد الإعداد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يريدوا به قوت يومٍ وليلة زيادة على المحتاج إليه في الوقت الحاضر من الكسوة والأمتعة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ولعدم ورود التقدير في كلامهم هنا وفي النصوص عدل المصنّف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الإطعام أن لا يكون معه ما يفضل عن قوته وقوت عياله ليوم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العجز عن للعجز عن الرقبة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المبسوط ترجيح المعنى الأوّل؛ 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له فضل عن كفايته على الدوام أو وفق الكفاية، فإن كان له فضل لم يكن من أهل الصيام؛ لأنّه واجد، وإن كان له وفق كفايته على الدوام لا يزيد عليه شيئاً فإنّ فرضه الصيام</w:t>
      </w:r>
      <w:r>
        <w:rPr>
          <w:rFonts w:eastAsia="Amiri" w:cs="Amiri" w:ascii="Amiri" w:hAnsi="Amiri"/>
          <w:color w:val="111111"/>
          <w:sz w:val="28"/>
          <w:szCs w:val="28"/>
          <w:rtl w:val="true"/>
          <w:lang w:bidi="ar-SA"/>
        </w:rPr>
        <w:t>»</w:t>
      </w:r>
      <w:r>
        <w:rPr>
          <w:rStyle w:val="FootnoteAnchor"/>
          <w:rtl w:val="true"/>
        </w:rPr>
        <w:footnoteReference w:id="55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الدروس قطع بالمعنى الثالث وهو اعتبار قوت يوم وليلة</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الخادم غالياً بحيث يتمكّن من الاستبدال منه ببعض ثمنه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بيعه؛ لإمكان الغنى عنه وكذا قيل في المسكن إذا كان غالياً وأمكن تحصيل البدل ببعض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أنّه لا يباع؛ تمسّكاً بعموم النهي عن بيع المسكن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أقوى؛ لأنّ الكفّارة بمنزلة الدين، فيستثنى فيها ما يستثنى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الكسوة المحتاج إليها في الوقت، فمستثناة وإن بقيت بعد ذلك مدّةً طويلة 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المسكن والخادم</w:t>
      </w:r>
    </w:p>
    <w:p>
      <w:pPr>
        <w:pStyle w:val="BookText"/>
        <w:rPr/>
      </w:pPr>
      <w:r>
        <w:rPr>
          <w:rFonts w:ascii="Amiri" w:hAnsi="Amiri" w:eastAsia="Amiri" w:cs="Amiri"/>
          <w:color w:val="111111"/>
          <w:sz w:val="28"/>
          <w:sz w:val="28"/>
          <w:szCs w:val="28"/>
          <w:rtl w:val="true"/>
          <w:lang w:bidi="ar-SA"/>
        </w:rPr>
        <w:t>وحيث كان المعتبر قوت اليوم والليلة، فلو كانت مؤونته تستدرّ من ضيعة أو تجارة ويحصل منهما كفايته بلا مزيد، ولو باعهما لتحصيل عبد لارتدّ إلى حدّ المساكين كلّف ذلك، و استثني من ثمنه ما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اعتبرنا قوت السنة أو الدوام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كلام العلّامة، ففي التحرير أوجب بيعهما</w:t>
      </w:r>
      <w:r>
        <w:rPr>
          <w:rStyle w:val="FootnoteAnchor"/>
          <w:rtl w:val="true"/>
        </w:rPr>
        <w:footnoteReference w:id="561"/>
      </w:r>
      <w:r>
        <w:rPr>
          <w:rFonts w:ascii="Amiri" w:hAnsi="Amiri" w:eastAsia="Amiri" w:cs="Amiri"/>
          <w:color w:val="111111"/>
          <w:sz w:val="28"/>
          <w:sz w:val="28"/>
          <w:szCs w:val="28"/>
          <w:rtl w:val="true"/>
          <w:lang w:bidi="ar-SA"/>
        </w:rPr>
        <w:t>، وفي القواعد قطع بعدم الوجوب</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يبيّن المراد من النفقة المستثناة له، ولكن هذا يشعر باستثناء أزيد من قوت اليوم والليلة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مع وجدان الثمن والرقبة بين بذل مالكها له بثمن المثل فما دون وأزيد منه على الأقوى؛ لتحقّق القدرة إلّا مع الإجحاف المفرط المؤدّي إلى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يملك الرقبة ولا ثمنها، وبذل له أحدهما هبةً فالأقوى عدم وجوب القبول؛ دفعاً للمنّة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استحباب القبول وجهان، أمّا الجواز فلا ريب فيه، كما يجزئ لو تكلّف العاجز أصلاً بالاستدانة،و بالموجود مع الدين غير المطالب به، وبالنفقة المستثناة حيث يستثنى له ما يحتمل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الخادم غالياً بحيث يتمكّن من الاستبدال منه ببعض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الخادم المستثنى له والمسكن إن كانا معدومين استثني له ثمن ما يليق به منهما عادةً،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تحقّق العجز عن العتق يلزم في الظهار والقتل خطأ صوم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المملوك صوم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أفطر في الشهر الأوّل من غير عذر استأنف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لعذر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صام من الثاني ولو يوماً أتمّ وهل يأثم مع الإفطار؟ فيه تردّد، أشبهه عدم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وكميّةً ، ولا يستثنى له النفيس الزائد عن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موجوداً له بالفعل وهو بقدر الحاجة واللائق بحاله 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زائداً في النفاسة بحيث يمكن الاعتياض بثمنه ما يكفيه ويفضل منه ثمن رقبة مع كونه غير زائد عن حاله عادة ففي وجوب بيعهو الاعتياض عنه بما دونه وجهان، من تحقّق القدرة على الرقبة مع مراعاة المستثنى، فإنّ المعتبر منه النوع لا الشخص، فيجب البيع؛ لتوقّف الواجب عليه، ومن أنّه عين المستثنى مع عموم النهي عن بيع الخادم والمسكن</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الأقوى، خصوصاً إذا كان مألوفاً، فإنّ فراق المألوف إضرار بالمکلّف، وقد روعي في حاله ما هو نظير ذلك أو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تحقّق العجز عن العتق يلزم في الظهار والقتل خطاً صوم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المملوك صوم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انتقل فرضه في المرتّبة إلى الصوم فالواجب منه صوم شهرين متتابعين إن كان حرّاً إجماعاً، وإن كان عبداً فالمشهور أنّه على النصف مطلقاً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أبو الصلاح</w:t>
      </w:r>
      <w:r>
        <w:rPr>
          <w:rStyle w:val="FootnoteAnchor"/>
          <w:rtl w:val="true"/>
        </w:rPr>
        <w:footnoteReference w:id="564"/>
      </w:r>
      <w:r>
        <w:rPr>
          <w:rFonts w:ascii="Amiri" w:hAnsi="Amiri" w:eastAsia="Amiri" w:cs="Amiri"/>
          <w:color w:val="111111"/>
          <w:sz w:val="28"/>
          <w:sz w:val="28"/>
          <w:szCs w:val="28"/>
          <w:rtl w:val="true"/>
          <w:lang w:bidi="ar-SA"/>
        </w:rPr>
        <w:t>وابن إدريس</w:t>
      </w:r>
      <w:r>
        <w:rPr>
          <w:rStyle w:val="FootnoteAnchor"/>
          <w:rtl w:val="true"/>
        </w:rPr>
        <w:footnoteReference w:id="565"/>
      </w:r>
      <w:r>
        <w:rPr>
          <w:rFonts w:ascii="Amiri" w:hAnsi="Amiri" w:eastAsia="Amiri" w:cs="Amiri"/>
          <w:color w:val="111111"/>
          <w:sz w:val="28"/>
          <w:sz w:val="28"/>
          <w:szCs w:val="28"/>
          <w:rtl w:val="true"/>
          <w:lang w:bidi="ar-SA"/>
        </w:rPr>
        <w:t>وابن زهرة</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في الظهار كالحرّ؛ استناداً إلى عموم الآية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164" w:name="pg10270_80197"/>
    </w:p>
    <w:p>
      <w:pPr>
        <w:pStyle w:val="BookText"/>
        <w:rPr/>
      </w:pPr>
      <w:bookmarkEnd w:id="164"/>
      <w:r>
        <w:rPr>
          <w:rFonts w:ascii="IRNazanin" w:hAnsi="IRNazanin" w:eastAsia="IRNazanin"/>
          <w:color w:val="111111"/>
          <w:sz w:val="28"/>
          <w:sz w:val="28"/>
          <w:szCs w:val="28"/>
          <w:rtl w:val="true"/>
          <w:lang w:bidi="fa-IR"/>
        </w:rPr>
        <w:t>والأقوى المشهور؛ لصحيحة محمّد بن حمران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المملوك أعليه ظهار؟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ما على الحرّ صوم شهر، وليس عليه كفّارة من صدقة ولا عتق</w:t>
      </w:r>
      <w:r>
        <w:rPr>
          <w:rFonts w:eastAsia="IRNazanin" w:cs="IRNazanin"/>
          <w:color w:val="111111"/>
          <w:sz w:val="28"/>
          <w:szCs w:val="28"/>
          <w:rtl w:val="true"/>
          <w:lang w:bidi="fa-IR"/>
        </w:rPr>
        <w:t>»</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مخصوصة بهذا الخبر بناءً على جواز تخصيص الكتاب بخبر الواحد، مع أنّ ظاهر الآية أنّ الأمر فيها متوجّه إلى الحرّ، بقرينة الأمر بتحرير الرقبة والإطعام، فتكون مخصوصةً ابتداءً</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3860094_1067777946"/>
      <w:bookmarkStart w:id="166" w:name="_Toc61"/>
      <w:bookmarkEnd w:id="165"/>
      <w:r>
        <w:rPr>
          <w:rtl w:val="true"/>
        </w:rPr>
        <w:t>يتحقّق التتابع في الشهرين</w:t>
      </w:r>
      <w:bookmarkEnd w:id="166"/>
    </w:p>
    <w:p>
      <w:pPr>
        <w:pStyle w:val="BookText"/>
        <w:rPr/>
      </w:pPr>
      <w:r>
        <w:rPr>
          <w:rFonts w:ascii="Amiri" w:hAnsi="Amiri" w:eastAsia="Amiri" w:cs="Amiri"/>
          <w:color w:val="111111"/>
          <w:sz w:val="28"/>
          <w:sz w:val="28"/>
          <w:szCs w:val="28"/>
          <w:rtl w:val="true"/>
          <w:lang w:bidi="ar-SA"/>
        </w:rPr>
        <w:t>ويتحقّق التتابع في الشهرين بصوم شهر متتابع ومن الثاني شيئاً ولو يوماً، فإذا فرّق بعد ذلك لم يقدح في التتابع إجماعاً منّا، ولكن هل يأثم؟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تتابع الشهرين إنّما يتحقّق لغةً وعرفاً بإكمالهما، فإذا لم يحصل فلا أقلّ من الإثم، ولا استبعاد في الإجزاء معه للنصّ</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الأكثر إلى عدم الإثم بذلك؛ للأصل ولأنّ التتابع إن صدق بذلك فلا وجه للإثم؛ لتحقّق الامتثال وإلّا لم يجزئ والصحيحة الحلبي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والتتابع أن يصوم شهراً ومن الآخر أيّاماً أو شيئاً منه</w:t>
      </w:r>
      <w:r>
        <w:rPr>
          <w:rFonts w:eastAsia="IRNazanin" w:cs="IRNazanin"/>
          <w:color w:val="111111"/>
          <w:sz w:val="28"/>
          <w:szCs w:val="28"/>
          <w:rtl w:val="true"/>
          <w:lang w:bidi="fa-IR"/>
        </w:rPr>
        <w:t>»</w:t>
      </w:r>
      <w:r>
        <w:rPr>
          <w:rStyle w:val="FootnoteAnchor"/>
          <w:rtl w:val="true"/>
        </w:rPr>
        <w:footnoteReference w:id="57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مع الخبر أنّ التتابع وقع صفةً للشهرين لا للأيّام، وتتابع الشهرين يحصل بالشروع في الثاني متابعاً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الاعتماد على النصّ</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كان المكفّر بالصوم عبداً فالمشهور تحقّق المتابعة بخمسة عشر يوماً، فيجوز تفريق الباقي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لو وجب على الحرّ صوم شهر متتابع بنذر و شبهه؛ لرواية الفضيل بن يسار عن أبي جعفر علیه السلام قال في رجل جعل على نفسه صوم شهر فصام خمسة عشر يوماً ثمّ عرض له 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جائز له أن يقضي ما بقي عليه، وإن كان أقلّ من خمسة عشر يوماً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والعذر الذي یصحّ معه البناء الحيض والنفاس والمرض والإغماء والجنون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السفر فإن اضطرّ إليه كان عذراً، وإلّا كان قاطعاً للتتابع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أفطرت الحامل أو المرضع خوفاً على أنفسهما لم ينقطع التتابع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أفطرتا لم يجزئ له حتى يصوم شهراً تامّاً</w:t>
      </w:r>
      <w:r>
        <w:rPr>
          <w:rFonts w:eastAsia="IRNazanin" w:cs="IRNazanin"/>
          <w:color w:val="111111"/>
          <w:sz w:val="28"/>
          <w:szCs w:val="28"/>
          <w:rtl w:val="true"/>
          <w:lang w:bidi="fa-IR"/>
        </w:rPr>
        <w:t>»</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روى موسى بن بكر عن الصادق علیه السلام</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طريق الروايتين ضَعْفُ بموسى بن بكر</w:t>
      </w:r>
      <w:r>
        <w:rPr>
          <w:rStyle w:val="FootnoteAnchor"/>
          <w:rtl w:val="true"/>
        </w:rPr>
        <w:footnoteReference w:id="573"/>
      </w:r>
      <w:r>
        <w:rPr>
          <w:rFonts w:ascii="Amiri" w:hAnsi="Amiri" w:eastAsia="Amiri" w:cs="Amiri"/>
          <w:color w:val="111111"/>
          <w:sz w:val="28"/>
          <w:sz w:val="28"/>
          <w:szCs w:val="28"/>
          <w:rtl w:val="true"/>
          <w:lang w:bidi="ar-SA"/>
        </w:rPr>
        <w:t>، لكنّ العمل بمضمونهما مشتهر بين الأصحاب أو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فهما ظاهرتان في الشهر المنذور، أما ما يجب كفّارة على العبد فلا، لكن ألحقه الشيخ</w:t>
      </w:r>
      <w:r>
        <w:rPr>
          <w:rStyle w:val="FootnoteAnchor"/>
          <w:rtl w:val="true"/>
        </w:rPr>
        <w:footnoteReference w:id="574"/>
      </w:r>
      <w:r>
        <w:rPr>
          <w:rFonts w:ascii="IRNazanin" w:hAnsi="IRNazanin" w:eastAsia="IRNazanin"/>
          <w:color w:val="111111"/>
          <w:sz w:val="28"/>
          <w:sz w:val="28"/>
          <w:szCs w:val="28"/>
          <w:rtl w:val="true"/>
          <w:lang w:bidi="fa-IR"/>
        </w:rPr>
        <w:t>، وأتباعه</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تردّد فيه في الصوم</w:t>
      </w:r>
      <w:r>
        <w:rPr>
          <w:rStyle w:val="FootnoteAnchor"/>
          <w:rtl w:val="true"/>
        </w:rPr>
        <w:footnoteReference w:id="576"/>
      </w:r>
      <w:r>
        <w:rPr>
          <w:rFonts w:ascii="IRNazanin" w:hAnsi="IRNazanin" w:eastAsia="IRNazanin"/>
          <w:color w:val="111111"/>
          <w:sz w:val="28"/>
          <w:sz w:val="28"/>
          <w:szCs w:val="28"/>
          <w:rtl w:val="true"/>
          <w:lang w:bidi="fa-IR"/>
        </w:rPr>
        <w:t>وجزم به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أنّه مع الإخلال بالمتابعة حيث تعتبر يفسد صوم الماضي و يجب الاستئناف،وهل يأثم بذلك ؟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لأنّه إبطال للعمل وهو منهيّ عنه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ويحتمل عدم الإثم؛ لأنّ العبادة لم تبطل في نفسها؛ إذ صوم کلّ يوم منفكّ عن الآخر، فإذا مضى النهار وحكم بانعقاده لا يلحقه البطلان بعد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اللازم من الإخلال بالمتابعة عدم الإجزاء عن الكفّارة، لا بطلان ما مضى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حصول الثواب على ما مضى صحيحاً في الجملة على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الشيخ فخر الدين</w:t>
      </w:r>
      <w:r>
        <w:rPr>
          <w:rStyle w:val="FootnoteAnchor"/>
          <w:rtl w:val="true"/>
        </w:rPr>
        <w:footnoteReference w:id="579"/>
      </w:r>
      <w:r>
        <w:rPr>
          <w:rFonts w:ascii="Amiri" w:hAnsi="Amiri" w:eastAsia="Amiri" w:cs="Amiri"/>
          <w:color w:val="111111"/>
          <w:sz w:val="28"/>
          <w:sz w:val="28"/>
          <w:szCs w:val="28"/>
          <w:rtl w:val="true"/>
          <w:lang w:bidi="ar-SA"/>
        </w:rPr>
        <w:t>الإجماع على الإثم بالإخلال بالمتابعة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والعذر الذي یصحّ معه البناء الحيض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المبسوط قال بالفرق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خوفاً على الولد، قال في المبسوط ينقطع، وفي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ينقطع، 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أُكره على الإفطار لم ينقطع التتابع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إجباراً كمن وجر الماء في حلقه، أو لم يكن كمن ضرب حتّى 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الشيخ في الخلاف، وفي المبسوط قال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بيّن اشتراط التتابع في صوم الشهرين نبّه على مواضع يمنع الصوم ولا يقطع التتابع، ومواضع مختلف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الحيض والنفاس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غير قاطعين للتتابع إجماعاً؛ لأنّهما طبيعيّان لا اختيار فيهما للمكلّف، فلو قطعا التتابع لزم عدم إمكان الصوم عن الكفّارة لذات الحيض غالباً وهو حرج، والتأخير إلى بلوغ سن اليأس تغرير بالواجب وغير موثوق بالبقاء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معناهما المرض المانع من الصوم والإغماء؛ لاشتراك الجميع في المقتضي وهو عدم اختيار المكلّف في الإفطار، خلافاً لبعض العامة، حيث حكم بقطع المرض فارقاً بينه وبين الحيض، بأنّ المرض لا ينافي الصوم بذاته، وإنما خرج عنه بفعله بخلاف الحيض</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منع عدم المنافاة، فإنّ المرض الذي يتضرّر معه بالصوم مانع منه وإن لم يفطر بنفسه، فكان كالحيض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حكم الأمرين صحيحة رفاعة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عليه صيام شهرين متتابعين فصام شهراً ومرض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يبني عليه، الله 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كان عليها صيام شهرين متتابعين فصامت وأفطرت أيام حيضها،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تقضيها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قضتها ثم يئست من الحيض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تعيدها، أجزأها ذلك</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صحيحة محمد بن مسلم عن أبي جعفر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 في الأثناء ولم يكن ضرورياً قطع التتابع اتفاقاً؛ لأن القطع جاء من قبل المكلّف، فكان كالإفطار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ضرورياً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يخاف بتركه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نفسه أو ماله وما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الإفطار ولم يقطع التتابع؛ لأنه بالاضطرار إليه كالمضطر إلى الإفطار بالمرض ونحوه، ويجب تقييده بما إذا لم يعلم قبل الشروع فيه بعروض السفر في أثنائه، وإلا كان الشروع فيه مع العلم بعروضه كالشروع فيه في زمان لا يسلم له صوم ما يحصل به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أفطرت الحامل أو المرضع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للخوف على أنفسهما لم ينقطع التتابع؛</w:t>
      </w:r>
    </w:p>
    <w:p>
      <w:pPr>
        <w:pStyle w:val="BookText"/>
        <w:rPr/>
      </w:pPr>
      <w:r>
        <w:rPr>
          <w:rFonts w:ascii="Amiri" w:hAnsi="Amiri" w:eastAsia="Amiri" w:cs="Amiri"/>
          <w:color w:val="111111"/>
          <w:sz w:val="28"/>
          <w:sz w:val="28"/>
          <w:szCs w:val="28"/>
          <w:rtl w:val="true"/>
          <w:lang w:bidi="ar-SA"/>
        </w:rPr>
        <w:t>لأنّ ذلك بمنزلة المرض ولو أفطرتا خوفاً على الولد فللشيخ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كذلك؛ لاشتراكهما في الضرورة المسوّغة للإفطار، فكان عذاراً</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الأقوى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يقطع التتابع؛ لأنهما يفطران لغيرهما، بخلاف المريض</w:t>
      </w:r>
      <w:r>
        <w:rPr>
          <w:rStyle w:val="FootnoteAnchor"/>
          <w:rtl w:val="true"/>
        </w:rPr>
        <w:footnoteReference w:id="584"/>
      </w:r>
      <w:r>
        <w:rPr>
          <w:rFonts w:ascii="Amiri" w:hAnsi="Amiri" w:eastAsia="Amiri" w:cs="Amiri"/>
          <w:color w:val="111111"/>
          <w:sz w:val="28"/>
          <w:sz w:val="28"/>
          <w:szCs w:val="28"/>
          <w:rtl w:val="true"/>
          <w:lang w:bidi="ar-SA"/>
        </w:rPr>
        <w:t>؛ ولهذا فارقتا المريض في لزوم الفدية في رمضان، وفي حكم إفطارهما لضرورة الولد إفطار منقذ الغير من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المكره على الإفطار لا ينقطع تتابعه، سواء رفع اختياره أصلاً، كما لو وجر في جوفه ما يفطر به أم لا، كما إذا توعده بالضرب حتى أفطر؛ لاشتراكهما في الإكراه المسوغ للإفطار، فكان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للشيخ، حيث فرّق بينهما، فجعل الثاني قاطعا للتتابع؛ لأنه فعل المفطر باختياره بخلاف الأول</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ممنوع؛ لاشتراك الأمرين في الإكراه عرفاً، فيدخل تحت عموم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w:t>
      </w:r>
    </w:p>
    <w:p>
      <w:pPr>
        <w:pStyle w:val="BookText"/>
        <w:rPr/>
      </w:pPr>
      <w:r>
        <w:rPr>
          <w:rFonts w:ascii="Amiri" w:hAnsi="Amiri" w:eastAsia="Amiri" w:cs="Amiri"/>
          <w:color w:val="111111"/>
          <w:sz w:val="28"/>
          <w:sz w:val="28"/>
          <w:szCs w:val="28"/>
          <w:rtl w:val="true"/>
          <w:lang w:bidi="ar-SA"/>
        </w:rPr>
        <w:t>أُمّتي الخطأ والنسيان وما استكرهوا عليه</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المواضع المختلف في قطعه بها ولم يذكره المصنّف ما لو نسي النیّة في بعض أيام </w:t>
      </w:r>
      <w:bookmarkStart w:id="167" w:name="pg10270_80201"/>
    </w:p>
    <w:p>
      <w:pPr>
        <w:pStyle w:val="Heading5"/>
        <w:numPr>
          <w:ilvl w:val="4"/>
          <w:numId w:val="1"/>
        </w:numPr>
        <w:rPr/>
      </w:pPr>
      <w:bookmarkStart w:id="168" w:name="__RefHeading___Toc3860096_1067777946"/>
      <w:bookmarkStart w:id="169" w:name="_Toc62"/>
      <w:bookmarkEnd w:id="167"/>
      <w:bookmarkEnd w:id="168"/>
      <w:r>
        <w:rPr>
          <w:rtl w:val="true"/>
        </w:rPr>
        <w:t>لو عرض في أثناء الشهر الأوّل زمان لا یصحّ صومه</w:t>
      </w:r>
      <w:bookmarkEnd w:id="1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عرض في أثناء الشهر الأوّل زمان لا یصحّ صومه عن الكفّارة كشهر</w:t>
      </w:r>
    </w:p>
    <w:p>
      <w:pPr>
        <w:pStyle w:val="BookText"/>
        <w:rPr/>
      </w:pPr>
      <w:r>
        <w:rPr>
          <w:rFonts w:ascii="IRNazanin" w:hAnsi="IRNazanin" w:eastAsia="IRNazanin"/>
          <w:color w:val="111111"/>
          <w:sz w:val="28"/>
          <w:sz w:val="28"/>
          <w:szCs w:val="28"/>
          <w:rtl w:val="true"/>
          <w:lang w:bidi="fa-IR"/>
        </w:rPr>
        <w:t xml:space="preserve">رمضان والأضحى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التتابع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الشهر الأول ولم يذكر إلا بعد الزوال، فإنّ الصوم يفسد، ولكن هل يقطع التتابع؟ وجهان، من ارتفاع حكم النسيان بالخبر، وانقطاع التتابع حكم من أحكامه فيكون مرتفعاً، ومن أنّ المعتبر وجوب شهرين متتابعين وببطلان يوم منها لا تتحقّق المتابعة، وترك النیّة بإهماله؛ إذ</w:t>
      </w:r>
    </w:p>
    <w:p>
      <w:pPr>
        <w:pStyle w:val="BookText"/>
        <w:rPr/>
      </w:pPr>
      <w:r>
        <w:rPr>
          <w:rFonts w:ascii="IRNazanin" w:hAnsi="IRNazanin" w:eastAsia="IRNazanin"/>
          <w:color w:val="111111"/>
          <w:sz w:val="28"/>
          <w:sz w:val="28"/>
          <w:szCs w:val="28"/>
          <w:rtl w:val="true"/>
          <w:lang w:bidi="fa-IR"/>
        </w:rPr>
        <w:t>هو مخاطب بإيقاعها كلّ ليلة، فالتفريط منسوب إليه ؛ إذ كان يجب عليه الاستعداد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الدليل من الجانبين نظر؛ لأنّ ظاهر الحديث ارتفاع المؤاخذة عليه لا جميع الأحكام والقدرة على دفع النسيان مطلقاً بديهي البطلان والأقوى أنه عذر حيث لا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عرض في أثناء الشهر الأوّل زمان لا یصحّ صومه عن الكفارة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التتابع واجباً وجب تحرّي زمان يسلم فيه القدر المعتبر منه من باب 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شرع فيه في زمان لا يسلم فيه شهر ويوم، كما لو شرع فيه في أوّل شعبان أو بعد العشر الأوّل من ذي القعدة ونحو ذلك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صحيحة منصور بن حازم عن أبي عبد الله أنه قال في رجل صام في ظهار شعبان، ثمّ أدركه شهر رمضان،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يصوم شهر</w:t>
      </w:r>
    </w:p>
    <w:p>
      <w:pPr>
        <w:pStyle w:val="BookText"/>
        <w:rPr/>
      </w:pPr>
      <w:r>
        <w:rPr>
          <w:rFonts w:ascii="Amiri" w:hAnsi="Amiri" w:eastAsia="Amiri" w:cs="Amiri"/>
          <w:color w:val="111111"/>
          <w:sz w:val="28"/>
          <w:sz w:val="28"/>
          <w:szCs w:val="28"/>
          <w:rtl w:val="true"/>
          <w:lang w:bidi="ar-SA"/>
        </w:rPr>
        <w:t>رمضان ويستأنف الصوم، فإن صام في الظهار فزاد في النصف يوماً قضى بقيته</w:t>
      </w:r>
      <w:r>
        <w:rPr>
          <w:rFonts w:eastAsia="Amiri" w:cs="Amiri" w:ascii="Amiri" w:hAnsi="Amiri"/>
          <w:color w:val="111111"/>
          <w:sz w:val="28"/>
          <w:szCs w:val="28"/>
          <w:rtl w:val="true"/>
          <w:lang w:bidi="ar-SA"/>
        </w:rPr>
        <w:t>»</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علم ابتداءً بعدم السلامة لم ينعقد الصوم أصلاً؛ لعدم اجتماع الشرائط المعتبرة فيه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بذلك حتى شرع، كما لو ابتدأ به تاسع ذي القعدة فاتفق نقصان الشهر انقطع التتابع حينئذ؛ لتبين عدم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جواز الشروع فيه على هذا الوجه؛ لعدم الوثوق بإكمال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الوثوق غير مشروط، والأصل عدم نقصان الشهر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على هذا أن يعذر في انقطاع التتابع؛ لأنّ النقصان وقع بغير اختياره بعد أن حكم بصحّته</w:t>
      </w:r>
      <w:r>
        <w:rPr>
          <w:rFonts w:eastAsia="Amiri" w:cs="Amiri" w:ascii="Amiri" w:hAnsi="Amiri"/>
          <w:color w:val="111111"/>
          <w:sz w:val="28"/>
          <w:szCs w:val="28"/>
          <w:rtl w:val="true"/>
          <w:lang w:bidi="ar-SA"/>
        </w:rPr>
        <w:t xml:space="preserve">. </w:t>
      </w:r>
      <w:bookmarkStart w:id="170" w:name="pg10270_80202"/>
    </w:p>
    <w:p>
      <w:pPr>
        <w:pStyle w:val="Heading4"/>
        <w:numPr>
          <w:ilvl w:val="3"/>
          <w:numId w:val="1"/>
        </w:numPr>
        <w:rPr/>
      </w:pPr>
      <w:bookmarkStart w:id="171" w:name="__RefHeading___Toc3860098_1067777946"/>
      <w:bookmarkStart w:id="172" w:name="_Toc63"/>
      <w:bookmarkEnd w:id="170"/>
      <w:bookmarkEnd w:id="171"/>
      <w:r>
        <w:rPr>
          <w:rtl w:val="true"/>
        </w:rPr>
        <w:t>القول في الإطعام</w:t>
      </w:r>
      <w:bookmarkEnd w:id="172"/>
    </w:p>
    <w:p>
      <w:pPr>
        <w:pStyle w:val="Heading5"/>
        <w:numPr>
          <w:ilvl w:val="4"/>
          <w:numId w:val="1"/>
        </w:numPr>
        <w:rPr/>
      </w:pPr>
      <w:bookmarkStart w:id="173" w:name="__RefHeading___Toc3860100_1067777946"/>
      <w:bookmarkStart w:id="174" w:name="_Toc64"/>
      <w:bookmarkEnd w:id="173"/>
      <w:r>
        <w:rPr>
          <w:rtl w:val="true"/>
        </w:rPr>
        <w:t>اشارة</w:t>
      </w:r>
      <w:bookmarkEnd w:id="1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الإطعام في المرتبة مع العجز عن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إطعام العدد لكلّ واحد مد،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مدان ومع العجز مد،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يجزئ إعطاء ما دون العدد المعتبر وإن كان بقدر إطعام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التكرار عليهم من الكفّارة الواحدة مع التمكن من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مع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عرض في أثناء الشهر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التتابع ليس بجيد؛ لأن بطلان التتابع فرع صحة الصوم، ومتى عرض ذلك في أثناء الشهر الأول كما مثل فالشرط معلوم فقده ابتداءً فلا ينعقد الصوم، ولا ينسب الحكم إلى بطلان التتابع، إلا أن يحمل على ما لو احتمل السلامة فعرض المانع كما صوّرناه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في أثناء الشهر الأول فإنّ الحكم غير مقصور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التعبير بعروض المانع من الصوم في أثناء العدد المعتبر في التتابع ليشمل ذلك اليوم الذي بعد الشهر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في حق العالم بالأهلة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المحبوس الذي يصوم بالظن لو توخى شهرين فعرض المانع من الصوم قبل أن يكمل شهراً ويوماً، فالأقوى عدم انقطاع التتابع لأن ذلك عذر في حقه كالمرض والحيض وغيرهما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ويتعين الإطعام في المرتبة مع العجز عن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وأدونه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في المرتبة عن صوم الشهرين انتقل فرضه إلى الإطعام،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يَسْتَطعْ فَإِطْعَامُ سِتِّينَ مِسْكِيناً</w:t>
      </w:r>
      <w:r>
        <w:rPr>
          <w:rFonts w:eastAsia="Amiri" w:cs="Amiri" w:ascii="Amiri" w:hAnsi="Amiri"/>
          <w:color w:val="111111"/>
          <w:sz w:val="28"/>
          <w:szCs w:val="28"/>
          <w:rtl w:val="true"/>
          <w:lang w:bidi="ar-SA"/>
        </w:rPr>
        <w:t>»</w:t>
      </w:r>
      <w:r>
        <w:rPr>
          <w:rStyle w:val="FootnoteAnchor"/>
          <w:rtl w:val="true"/>
        </w:rPr>
        <w:footnoteReference w:id="588"/>
      </w:r>
      <w:bookmarkStart w:id="175" w:name="pg10270_80203"/>
    </w:p>
    <w:p>
      <w:pPr>
        <w:pStyle w:val="Heading5"/>
        <w:numPr>
          <w:ilvl w:val="4"/>
          <w:numId w:val="1"/>
        </w:numPr>
        <w:rPr/>
      </w:pPr>
      <w:bookmarkStart w:id="176" w:name="__RefHeading___Toc3860102_1067777946"/>
      <w:bookmarkStart w:id="177" w:name="_Toc65"/>
      <w:bookmarkEnd w:id="175"/>
      <w:bookmarkEnd w:id="176"/>
      <w:r>
        <w:rPr>
          <w:rtl w:val="true"/>
        </w:rPr>
        <w:t>قدر الطعام، عدد المصروف إلیه و جنس الطعام</w:t>
      </w:r>
      <w:bookmarkEnd w:id="177"/>
    </w:p>
    <w:p>
      <w:pPr>
        <w:pStyle w:val="BookText"/>
        <w:rPr/>
      </w:pPr>
      <w:r>
        <w:rPr>
          <w:rFonts w:ascii="Amiri" w:hAnsi="Amiri" w:eastAsia="Amiri" w:cs="Amiri"/>
          <w:color w:val="111111"/>
          <w:sz w:val="28"/>
          <w:sz w:val="28"/>
          <w:szCs w:val="28"/>
          <w:rtl w:val="true"/>
          <w:lang w:bidi="ar-SA"/>
        </w:rPr>
        <w:t>ويجب أن يطعم من أوسط ما يطعم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أعطى ممّا يغلب على قوت البلد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يضم إليه إداماً أعلاه اللحم، وأوسطه الخلّ، وأدونه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العجز عنه بالمرض المانع منه، أو ما يحصل به مشقة شديدة وإن رجى برؤه أو بالخوف من زيادته أو بالهرم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به السفر وإن منع حالته؛ لأنّه مستطيع للصوم بالإقامة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تعذرت أمكن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الكلام في هذه الجملة يقع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قدر الطعام والمشهور خصوصاً بين المتأخرين أنه قدر مدّ لكلّ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حديث الأعرابي أن النبي صلى الله عليه وسلمأتي بعرق من تمر فيه خمسة عشر صاعاً،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فأطعم عنك ستين مسكيناً</w:t>
      </w:r>
      <w:r>
        <w:rPr>
          <w:rFonts w:eastAsia="Amiri" w:cs="Amiri" w:ascii="Amiri" w:hAnsi="Amiri"/>
          <w:color w:val="111111"/>
          <w:sz w:val="28"/>
          <w:szCs w:val="28"/>
          <w:rtl w:val="true"/>
          <w:lang w:bidi="ar-SA"/>
        </w:rPr>
        <w:t>»</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المبلغ إذا قسّم على ستين كان لكلّ واحدٍ منهم</w:t>
      </w:r>
    </w:p>
    <w:p>
      <w:pPr>
        <w:pStyle w:val="BookText"/>
        <w:rPr/>
      </w:pPr>
      <w:r>
        <w:rPr>
          <w:rFonts w:ascii="Amiri" w:hAnsi="Amiri" w:eastAsia="Amiri" w:cs="Amiri"/>
          <w:color w:val="111111"/>
          <w:sz w:val="28"/>
          <w:sz w:val="28"/>
          <w:szCs w:val="28"/>
          <w:rtl w:val="true"/>
          <w:lang w:bidi="ar-SA"/>
        </w:rPr>
        <w:t>مد؛ لأنّ الصاع أربعة أمداد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خطأ أدى ديته ثمّ أعتق رقبة، فإن لم يجد صام شهرين متتابعين، فإن لم يستطع أطعم ستين مسكيناً مداً مداً</w:t>
      </w:r>
      <w:r>
        <w:rPr>
          <w:rFonts w:eastAsia="Amiri" w:cs="Amiri" w:ascii="Amiri" w:hAnsi="Amiri"/>
          <w:color w:val="111111"/>
          <w:sz w:val="28"/>
          <w:szCs w:val="28"/>
          <w:rtl w:val="true"/>
          <w:lang w:bidi="ar-SA"/>
        </w:rPr>
        <w:t>»</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فَإِطْعَامُ سِتِّينَ مِسْكِينًا</w:t>
      </w:r>
      <w:r>
        <w:rPr>
          <w:rFonts w:eastAsia="Amiri" w:cs="Amiri" w:ascii="Amiri" w:hAnsi="Amiri"/>
          <w:color w:val="111111"/>
          <w:sz w:val="28"/>
          <w:szCs w:val="28"/>
          <w:rtl w:val="true"/>
          <w:lang w:bidi="ar-SA"/>
        </w:rPr>
        <w:t>)</w:t>
      </w:r>
      <w:r>
        <w:rPr>
          <w:rStyle w:val="FootnoteAnchor"/>
        </w:rPr>
        <w:footnoteReference w:id="59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للمد وما فوقه وما دونه، لكن خرج ما</w:t>
      </w:r>
    </w:p>
    <w:p>
      <w:pPr>
        <w:pStyle w:val="BookText"/>
        <w:rPr/>
      </w:pPr>
      <w:r>
        <w:rPr>
          <w:rFonts w:ascii="Amiri" w:hAnsi="Amiri" w:eastAsia="Amiri" w:cs="Amiri"/>
          <w:color w:val="111111"/>
          <w:sz w:val="28"/>
          <w:sz w:val="28"/>
          <w:szCs w:val="28"/>
          <w:rtl w:val="true"/>
          <w:lang w:bidi="ar-SA"/>
        </w:rPr>
        <w:t>دونه بالإجماع فيبقى الباقي مجزئاً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كتبه الثلاثة الفروعية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مدان</w:t>
      </w:r>
      <w:r>
        <w:rPr>
          <w:rStyle w:val="FootnoteAnchor"/>
          <w:rtl w:val="true"/>
        </w:rPr>
        <w:footnoteReference w:id="592"/>
      </w:r>
      <w:r>
        <w:rPr>
          <w:rFonts w:ascii="Amiri" w:hAnsi="Amiri" w:eastAsia="Amiri" w:cs="Amiri"/>
          <w:color w:val="111111"/>
          <w:sz w:val="28"/>
          <w:sz w:val="28"/>
          <w:szCs w:val="28"/>
          <w:rtl w:val="true"/>
          <w:lang w:bidi="ar-SA"/>
        </w:rPr>
        <w:t>؛ محتجاً بإجماع الفرقة وطريقة</w:t>
      </w:r>
    </w:p>
    <w:p>
      <w:pPr>
        <w:pStyle w:val="BookText"/>
        <w:rPr/>
      </w:pP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 منع الإجماع، والاحتياط قد يكون في الأقل كما إذا أوصى بالكفارة ولم يبين القدر وله أطفال ونحو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والمعتبر من المد الوزن لا الكيل عندنا؛ لأنّ المد الشرعي مركب من الرطل، والرطل مركب من الدرهم والدرهم مركب من وزن الحبّات، ويسمى درهم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ويتركب من المد</w:t>
      </w:r>
    </w:p>
    <w:p>
      <w:pPr>
        <w:pStyle w:val="BookText"/>
        <w:rPr/>
      </w:pPr>
      <w:r>
        <w:rPr>
          <w:rFonts w:ascii="IRNazanin" w:hAnsi="IRNazanin" w:eastAsia="IRNazanin"/>
          <w:color w:val="111111"/>
          <w:sz w:val="28"/>
          <w:sz w:val="28"/>
          <w:szCs w:val="28"/>
          <w:rtl w:val="true"/>
          <w:lang w:bidi="fa-IR"/>
        </w:rPr>
        <w:t>الصاع، ومن الصاع الوسق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فالوزن أصل الجميع، وإنّما عدل إلى الكيل في بعض المواضع تخفيفاً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w:t>
      </w:r>
    </w:p>
    <w:p>
      <w:pPr>
        <w:pStyle w:val="BookText"/>
        <w:rPr/>
      </w:pPr>
      <w:r>
        <w:rPr>
          <w:rFonts w:ascii="Amiri" w:hAnsi="Amiri" w:eastAsia="Amiri" w:cs="Amiri"/>
          <w:color w:val="111111"/>
          <w:sz w:val="28"/>
          <w:sz w:val="28"/>
          <w:szCs w:val="28"/>
          <w:rtl w:val="true"/>
          <w:lang w:bidi="ar-SA"/>
        </w:rPr>
        <w:t>اعتبار الشعير بالكيل والوزن، فإنّهما مختلفان جداً بالنسبة إلى مقدار البر بالكيل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المصروف إليه وهو ستون مسكيناً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يجزئ الصرف إلى ما دون الستين وإن راعى العدد في الدفع بأن دفع إلى مسكين واحد في ستين يوماً، خلافاً لأبي حنيفة حيث اجتزأ بالصرف إلى واحد في ستين يوماً</w:t>
      </w:r>
      <w:r>
        <w:rPr>
          <w:rStyle w:val="FootnoteAnchor"/>
          <w:rtl w:val="true"/>
        </w:rPr>
        <w:footnoteReference w:id="593"/>
      </w:r>
      <w:r>
        <w:rPr>
          <w:rFonts w:ascii="Amiri" w:hAnsi="Amiri" w:eastAsia="Amiri" w:cs="Amiri"/>
          <w:color w:val="111111"/>
          <w:sz w:val="28"/>
          <w:sz w:val="28"/>
          <w:szCs w:val="28"/>
          <w:rtl w:val="true"/>
          <w:lang w:bidi="ar-SA"/>
        </w:rPr>
        <w:t>، ولا يجزئ الصرف إليه دفعةً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إطعام الستين مسكيناً يشتمل على وصف وهو المسكنة، وعلى عدد وهو الستون، فكما لا يجوز الإخلال بالوصف لا يجوز الإخلال بالعدد، كما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فيه تعرّض لوصف وعددٍ، وكما لم يجزئ الإخلال بالوصف</w:t>
      </w:r>
    </w:p>
    <w:p>
      <w:pPr>
        <w:pStyle w:val="BookText"/>
        <w:rPr/>
      </w:pPr>
      <w:r>
        <w:rPr>
          <w:rFonts w:ascii="Amiri" w:hAnsi="Amiri" w:eastAsia="Amiri" w:cs="Amiri"/>
          <w:color w:val="111111"/>
          <w:sz w:val="28"/>
          <w:sz w:val="28"/>
          <w:szCs w:val="28"/>
          <w:rtl w:val="true"/>
          <w:lang w:bidi="ar-SA"/>
        </w:rPr>
        <w:t>لم يجزئ الإخلال بالعدد، حتى لا يكون شهادة واحد مرتين كشهادة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 العدد مجتمعين في بلدٍ واحدٍ أو بلدان كثيرة مع إمكان التوصل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السعي على إطعام العدد؛ لتوقف الواجب عليه، فإن تعذر الوصول إلى العدد جاز حينئذ الاقتصار على الممكن، وفرق العدد عليهم بحسب الأيام، حتى لو لم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واحد فرّق عليه في ستين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الأصحاب، ومستنده لا يخلو من ضعف، والآية ظاهرة في عدم</w:t>
      </w:r>
    </w:p>
    <w:p>
      <w:pPr>
        <w:pStyle w:val="BookText"/>
        <w:rPr/>
      </w:pPr>
      <w:r>
        <w:rPr>
          <w:rFonts w:ascii="Amiri" w:hAnsi="Amiri" w:eastAsia="Amiri" w:cs="Amiri"/>
          <w:color w:val="111111"/>
          <w:sz w:val="28"/>
          <w:sz w:val="28"/>
          <w:szCs w:val="28"/>
          <w:rtl w:val="true"/>
          <w:lang w:bidi="ar-SA"/>
        </w:rPr>
        <w:t>إجزاء ما دون العدد مطلقاً فيبقى في الذمة إلى أن يوجد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روى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عن إطعام عشرة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مساكين أو إطعام ستين مسكيناً، أيجمع ذلك لإنسان واحد يعطاه؟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يعطى إنساناً إنساناً كما قال الله تعالى</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والشيخ</w:t>
      </w:r>
      <w:r>
        <w:rPr>
          <w:rStyle w:val="FootnoteAnchor"/>
          <w:rtl w:val="true"/>
        </w:rPr>
        <w:footnoteReference w:id="596"/>
      </w:r>
      <w:r>
        <w:rPr>
          <w:rFonts w:ascii="Amiri" w:hAnsi="Amiri" w:eastAsia="Amiri" w:cs="Amiri"/>
          <w:color w:val="111111"/>
          <w:sz w:val="28"/>
          <w:sz w:val="28"/>
          <w:szCs w:val="28"/>
          <w:rtl w:val="true"/>
          <w:lang w:bidi="ar-SA"/>
        </w:rPr>
        <w:t>وجماعة</w:t>
      </w:r>
      <w:r>
        <w:rPr>
          <w:rStyle w:val="FootnoteAnchor"/>
          <w:rtl w:val="true"/>
        </w:rPr>
        <w:footnoteReference w:id="597"/>
      </w:r>
      <w:r>
        <w:rPr>
          <w:rFonts w:ascii="Amiri" w:hAnsi="Amiri" w:eastAsia="Amiri" w:cs="Amiri"/>
          <w:color w:val="111111"/>
          <w:sz w:val="28"/>
          <w:sz w:val="28"/>
          <w:szCs w:val="28"/>
          <w:rtl w:val="true"/>
          <w:lang w:bidi="ar-SA"/>
        </w:rPr>
        <w:t>حملوا ذلك على حالة الاختيار ووجود العدد، أما مع تعذره فيجزئ؛ الرواية السكوني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يجد في الكفّارة إلا الرجل والرجلين فليكرّر عليهم حتى يستكمل العشرة، يعطيهم اليوم ثم يعطيهم غداً</w:t>
      </w:r>
      <w:r>
        <w:rPr>
          <w:rFonts w:eastAsia="Amiri" w:cs="Amiri" w:ascii="Amiri" w:hAnsi="Amiri"/>
          <w:color w:val="111111"/>
          <w:sz w:val="28"/>
          <w:szCs w:val="28"/>
          <w:rtl w:val="true"/>
          <w:lang w:bidi="ar-SA"/>
        </w:rPr>
        <w:t>»</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ضعف سند هذه الرواية</w:t>
      </w:r>
      <w:r>
        <w:rPr>
          <w:rStyle w:val="FootnoteAnchor"/>
          <w:rtl w:val="true"/>
        </w:rPr>
        <w:footnoteReference w:id="599"/>
      </w:r>
      <w:r>
        <w:rPr>
          <w:rFonts w:ascii="Amiri" w:hAnsi="Amiri" w:eastAsia="Amiri" w:cs="Amiri"/>
          <w:color w:val="111111"/>
          <w:sz w:val="28"/>
          <w:sz w:val="28"/>
          <w:szCs w:val="28"/>
          <w:rtl w:val="true"/>
          <w:lang w:bidi="ar-SA"/>
        </w:rPr>
        <w:t>، لكن الحكم مشهور لا راد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منه القوت الغالب من الحنطة والشعير ودقيقهما وخبزهما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تعالى في كفّارة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فَإِما كناية عن الغالب أو محمول على الفضل، ويجزئ التمر والزبيب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يضم إليه الأدم، وهو ما جرت العادة بأكله مع الخبز، مائعاً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w:t>
      </w:r>
    </w:p>
    <w:p>
      <w:pPr>
        <w:pStyle w:val="BookText"/>
        <w:rPr/>
      </w:pPr>
      <w:r>
        <w:rPr>
          <w:rFonts w:ascii="Amiri" w:hAnsi="Amiri" w:eastAsia="Amiri" w:cs="Amiri"/>
          <w:color w:val="111111"/>
          <w:sz w:val="28"/>
          <w:sz w:val="28"/>
          <w:szCs w:val="28"/>
          <w:rtl w:val="true"/>
          <w:lang w:bidi="ar-SA"/>
        </w:rPr>
        <w:t>والدبس، أو جامداً كالجبن واللحم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ضمه إليه</w:t>
      </w:r>
      <w:r>
        <w:rPr>
          <w:rStyle w:val="FootnoteAnchor"/>
          <w:rtl w:val="true"/>
        </w:rPr>
        <w:footnoteReference w:id="601"/>
      </w:r>
      <w:r>
        <w:rPr>
          <w:rFonts w:ascii="Amiri" w:hAnsi="Amiri" w:eastAsia="Amiri" w:cs="Amiri"/>
          <w:color w:val="111111"/>
          <w:sz w:val="28"/>
          <w:sz w:val="28"/>
          <w:szCs w:val="28"/>
          <w:rtl w:val="true"/>
          <w:lang w:bidi="ar-SA"/>
        </w:rPr>
        <w:t>، وتبعه تلميذه سلار</w:t>
      </w:r>
      <w:r>
        <w:rPr>
          <w:rStyle w:val="FootnoteAnchor"/>
          <w:rtl w:val="true"/>
        </w:rPr>
        <w:footnoteReference w:id="602"/>
      </w:r>
      <w:r>
        <w:rPr>
          <w:rFonts w:ascii="Amiri" w:hAnsi="Amiri" w:eastAsia="Amiri" w:cs="Amiri"/>
          <w:color w:val="111111"/>
          <w:sz w:val="28"/>
          <w:sz w:val="28"/>
          <w:szCs w:val="28"/>
          <w:rtl w:val="true"/>
          <w:lang w:bidi="ar-SA"/>
        </w:rPr>
        <w:t>لرواية أبي بصير عن أبي جعفر وقد سأله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 مَا تُطْعِمُونَ أَهْلِيكُمْ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تقوتون به عيالكم من أوسط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يعطى العدد متفرّقين ومجتمعين إطعاماً وتسليماً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ويجزئ إخراج الحنطة والدقيق والخبز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يجزئ إطعام الصغار منفردين ويجوز منضمين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انفردوا احتسب</w:t>
      </w:r>
    </w:p>
    <w:p>
      <w:pPr>
        <w:pStyle w:val="BookText"/>
        <w:rPr/>
      </w:pPr>
      <w:r>
        <w:rPr>
          <w:rFonts w:ascii="IRNazanin" w:hAnsi="IRNazanin" w:eastAsia="IRNazanin"/>
          <w:color w:val="111111"/>
          <w:sz w:val="28"/>
          <w:sz w:val="28"/>
          <w:szCs w:val="28"/>
          <w:rtl w:val="true"/>
          <w:lang w:bidi="fa-IR"/>
        </w:rPr>
        <w:t>الاثنان بواحد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أوسط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 والزيت والتمر والخبز، يشبعهم به مرةً واحدةً</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أبي جميلة عن أبي عبد الله قال كفّارة اليمين عتق رقبة، وإطعام عشرة مساكين من أوسط ما تطعمون أهليكم، أو كسوتهم، والوسط الخل والزيت، وأرفعه الخبز</w:t>
      </w:r>
    </w:p>
    <w:p>
      <w:pPr>
        <w:pStyle w:val="BookText"/>
        <w:rPr/>
      </w:pPr>
      <w:r>
        <w:rPr>
          <w:rFonts w:ascii="IRNazanin" w:hAnsi="IRNazanin" w:eastAsia="IRNazanin"/>
          <w:color w:val="111111"/>
          <w:sz w:val="28"/>
          <w:sz w:val="28"/>
          <w:szCs w:val="28"/>
          <w:rtl w:val="true"/>
          <w:lang w:bidi="fa-IR"/>
        </w:rPr>
        <w:t>واللحم</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 وحملتا على الاستحباب؛ لصدق الطعام بدونه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ولحسنة الحلبي عن أبي عبد الله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جعلت لهم إداماً، والإدام أدناه ملح وأوسطه الزيت والخل، وأرفعه اللحم</w:t>
      </w:r>
      <w:r>
        <w:rPr>
          <w:rFonts w:eastAsia="Amiri" w:cs="Amiri" w:ascii="Amiri" w:hAnsi="Amiri"/>
          <w:color w:val="111111"/>
          <w:sz w:val="28"/>
          <w:szCs w:val="28"/>
          <w:rtl w:val="true"/>
          <w:lang w:bidi="ar-SA"/>
        </w:rPr>
        <w:t>»</w:t>
      </w:r>
      <w:r>
        <w:rPr>
          <w:rStyle w:val="FootnoteAnchor"/>
          <w:rtl w:val="true"/>
        </w:rPr>
        <w:footnoteReference w:id="60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يعطي العدد متفرقين ومجتمعين إطعاماً وتسليماً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تقدير الإطعام بالمد والمدين</w:t>
      </w:r>
      <w:r>
        <w:rPr>
          <w:rStyle w:val="FootnoteAnchor"/>
          <w:rtl w:val="true"/>
        </w:rPr>
        <w:footnoteReference w:id="606"/>
      </w:r>
      <w:r>
        <w:rPr>
          <w:rFonts w:ascii="Amiri" w:hAnsi="Amiri" w:eastAsia="Amiri" w:cs="Amiri"/>
          <w:color w:val="111111"/>
          <w:sz w:val="28"/>
          <w:sz w:val="28"/>
          <w:szCs w:val="28"/>
          <w:rtl w:val="true"/>
          <w:lang w:bidi="ar-SA"/>
        </w:rPr>
        <w:t>، إنّما هو مع تسليمه إلى المستحق، وذلك غير لازم بل يتخيّر بينه وبين أن يطعمه إلى أن يشبع ؛ لصدق الإطعام بذلك، بل ربما كان أدخل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يتقدر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يجوز إطعام العدد وتسليمهم مجتمعين، يجوز متفرقين؛ لصدق الإطعام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الظهار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سلم المد فلا فرق بين الكبير والصغير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اقتصر على الإطعام اشترط كونهم كباراً أو مختلطين من الصغار والكبار، فلو انفرد الصغار بالأكل احتسب الاثنان منهم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احتساب المختلطين فلصدق إطعام العدد وفي حسنة الحلبي السابقة أنه يكون في البيت من يأكل أكثر من المد، ومنهم من يأكل أقل من المد، فبين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النص والفتوى عدم الفرق بين كون الكبار بقدر الصغار وأقلّ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عدم إجزاء الصغار منفردين رواية غياث عن أبي عبد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يجزئ</w:t>
      </w:r>
    </w:p>
    <w:p>
      <w:pPr>
        <w:pStyle w:val="BookText"/>
        <w:rPr/>
      </w:pPr>
      <w:r>
        <w:rPr>
          <w:rFonts w:ascii="Amiri" w:hAnsi="Amiri" w:eastAsia="Amiri" w:cs="Amiri"/>
          <w:color w:val="111111"/>
          <w:sz w:val="28"/>
          <w:sz w:val="28"/>
          <w:szCs w:val="28"/>
          <w:rtl w:val="true"/>
          <w:lang w:bidi="ar-SA"/>
        </w:rPr>
        <w:t>إطعام الصغير في كفّارة اليمين، ولكن صغيرين بكبير</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ضعيفة السند</w:t>
      </w:r>
      <w:r>
        <w:rPr>
          <w:rStyle w:val="FootnoteAnchor"/>
          <w:rtl w:val="true"/>
        </w:rPr>
        <w:footnoteReference w:id="609"/>
      </w:r>
      <w:r>
        <w:rPr>
          <w:rFonts w:ascii="Amiri" w:hAnsi="Amiri" w:eastAsia="Amiri" w:cs="Amiri"/>
          <w:color w:val="111111"/>
          <w:sz w:val="28"/>
          <w:sz w:val="28"/>
          <w:szCs w:val="28"/>
          <w:rtl w:val="true"/>
          <w:lang w:bidi="ar-SA"/>
        </w:rPr>
        <w:t>، لكن ضعفها منجبر بالشهرة عندهم وظاهرها وإن كان يقتضي عدم إجزاء الصغير مطلقاً، إلا أنّها محمولة على حالة انفراد الصغار جمعاً بينها وبين رواية أبي بصير السابقة</w:t>
      </w:r>
      <w:r>
        <w:rPr>
          <w:rStyle w:val="FootnoteAnchor"/>
          <w:rtl w:val="true"/>
        </w:rPr>
        <w:footnoteReference w:id="610"/>
      </w:r>
      <w:r>
        <w:rPr>
          <w:rFonts w:ascii="Amiri" w:hAnsi="Amiri" w:eastAsia="Amiri" w:cs="Amiri"/>
          <w:color w:val="111111"/>
          <w:sz w:val="28"/>
          <w:sz w:val="28"/>
          <w:szCs w:val="28"/>
          <w:rtl w:val="true"/>
          <w:lang w:bidi="ar-SA"/>
        </w:rPr>
        <w:t>، ورواية يونس بن عبد الرحمن عن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عليه كفّارة إطعام مساكين، أيعطي الصغار والكبار سواء والرجال والنساء، أو يفضّل الكبار على الصغار والرجال على 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سواء</w:t>
      </w:r>
      <w:r>
        <w:rPr>
          <w:rFonts w:eastAsia="Amiri" w:cs="Amiri" w:ascii="Amiri" w:hAnsi="Amiri"/>
          <w:color w:val="111111"/>
          <w:sz w:val="28"/>
          <w:szCs w:val="28"/>
          <w:rtl w:val="true"/>
          <w:lang w:bidi="ar-SA"/>
        </w:rPr>
        <w:t>»</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حكم التسليم، ولا نزاع في استواء الصغير والكبير فيه، إنّما الكلام في الإطعام وهي لا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أبي بصير المتضمنة لاختلاف الأكلين في البيت لا تدلّ على التسوية أيضاً بين الصغير والكبير؛ لأن الاختلاف في الأكل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يتحقّق في الكبار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وتبقى رواية غياث لا معارض لها إن اعتبرت لكن عموم الآية</w:t>
      </w:r>
      <w:r>
        <w:rPr>
          <w:rStyle w:val="FootnoteAnchor"/>
          <w:rtl w:val="true"/>
        </w:rPr>
        <w:footnoteReference w:id="612"/>
      </w:r>
      <w:r>
        <w:rPr>
          <w:rFonts w:ascii="Amiri" w:hAnsi="Amiri" w:eastAsia="Amiri" w:cs="Amiri"/>
          <w:color w:val="111111"/>
          <w:sz w:val="28"/>
          <w:sz w:val="28"/>
          <w:szCs w:val="28"/>
          <w:rtl w:val="true"/>
          <w:lang w:bidi="ar-SA"/>
        </w:rPr>
        <w:t>يقتضي الاكتفاء بالصغير في الإطعام كالكبير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ما إذا انفرد الصغار بالاتفاق عليه فيبقى الباقي، ولا التفات حينئذ إلى دلالة الروايات وإن كانت هي أصل</w:t>
      </w:r>
    </w:p>
    <w:p>
      <w:pPr>
        <w:pStyle w:val="BookText"/>
        <w:rPr/>
      </w:pPr>
      <w:r>
        <w:rPr>
          <w:rFonts w:ascii="Amiri" w:hAnsi="Amiri" w:eastAsia="Amiri" w:cs="Amiri"/>
          <w:color w:val="111111"/>
          <w:sz w:val="28"/>
          <w:sz w:val="28"/>
          <w:szCs w:val="28"/>
          <w:rtl w:val="true"/>
          <w:lang w:bidi="ar-SA"/>
        </w:rPr>
        <w:t>الوفاق على حكم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فتمام البحث يتوقف على أمور</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على تقدير الإطعام إشباعه مرّةً واحدةً على المشهور؛ لصدق الإطعام</w:t>
      </w:r>
    </w:p>
    <w:p>
      <w:pPr>
        <w:pStyle w:val="BookText"/>
        <w:rPr/>
      </w:pPr>
      <w:r>
        <w:rPr>
          <w:rFonts w:ascii="Amiri" w:hAnsi="Amiri" w:eastAsia="Amiri" w:cs="Amiri"/>
          <w:color w:val="111111"/>
          <w:sz w:val="28"/>
          <w:sz w:val="28"/>
          <w:szCs w:val="28"/>
          <w:rtl w:val="true"/>
          <w:lang w:bidi="ar-SA"/>
        </w:rPr>
        <w:t>المأمور به في الآية بها، ولرواية أبي بصير السابقة وقال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يشبعهم به مرّةً واحدةً</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المفيد</w:t>
      </w:r>
      <w:r>
        <w:rPr>
          <w:rStyle w:val="FootnoteAnchor"/>
          <w:rtl w:val="true"/>
        </w:rPr>
        <w:footnoteReference w:id="614"/>
      </w:r>
      <w:r>
        <w:rPr>
          <w:rFonts w:ascii="Amiri" w:hAnsi="Amiri" w:eastAsia="Amiri" w:cs="Amiri"/>
          <w:color w:val="111111"/>
          <w:sz w:val="28"/>
          <w:sz w:val="28"/>
          <w:szCs w:val="28"/>
          <w:rtl w:val="true"/>
          <w:lang w:bidi="ar-SA"/>
        </w:rPr>
        <w:t>، وجماعة</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يشبعه في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يشبعه في الغداء والعشاء</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يتقدر الإشباع بقدر بل ما يحصل به عادةً، سواء زاد عن المد أم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يكفه المد زاده حتى يشبع، كما أنه لو شبع بدونه كفى</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إخراج المدّ من الحنطة والدقيق والخبز، وإن توقف الأوّلان على عمل زائد إلى أن يصير مأكولاً بالفعل؛ للعموم</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مؤونة طحنه وخبزه وأدمه</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حسنة هشام بن الحكم عن </w:t>
      </w:r>
      <w:bookmarkStart w:id="178" w:name="pg10270_80209"/>
    </w:p>
    <w:p>
      <w:pPr>
        <w:pStyle w:val="Heading5"/>
        <w:numPr>
          <w:ilvl w:val="4"/>
          <w:numId w:val="1"/>
        </w:numPr>
        <w:rPr/>
      </w:pPr>
      <w:bookmarkStart w:id="179" w:name="__RefHeading___Toc3860104_1067777946"/>
      <w:bookmarkStart w:id="180" w:name="_Toc66"/>
      <w:bookmarkEnd w:id="178"/>
      <w:bookmarkEnd w:id="179"/>
      <w:r>
        <w:rPr>
          <w:rtl w:val="true"/>
        </w:rPr>
        <w:t>هل يشترط الإیمان في مستحقّ للکفّارة؟</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الاقتصار على إطعام المؤمنين ومن هو بحكمهم كالأطفال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المبسوط يصرف إلى من تصرف إليه زكاة الفطرة، ومن لا يجوز هناك لا يجوز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جواز إطعام المسلم الفاسق ولا يجوز إطعام الكافر وكذا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كفّارة اليمين مدّ من حنطة وحفنة، لتكون الحفنة في طحنه وحطبه</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محمول على الأفضلية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إخراج عين الطعام، فلا تجزئ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أراد الاقتصار على بعض الواجب جاز شراؤه من المستحق بعد احتسابه عليه ثمّ احتسابه على غيره على كراهة فيتأدى الواجب بمد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نقصان المستحق عن المد، على تقدير التسليم وإن كثر المستحقون وضاق العدد، بل يتخيّر منهم بعدد الواجب، فلو دفع الستين إلى مائة وعشرين أجزأ عنه نصف المخرج، ووجب أن يكمل لستين منهم ثلاثين مداً كلّ واحدٍ نصف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علم الباقون بالحال جاز الرجوع عليهم بما زاد وإلا فمع بقاء العين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دفع إلى الواحد أزيد من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تقدير في الكبر والصغر شرعاً فيرجع فيهما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الكبير بالبالغ، بل العبرة بكثرة الأكل وقلته بحيث يقارب الأكل المتوسط من</w:t>
      </w:r>
    </w:p>
    <w:p>
      <w:pPr>
        <w:pStyle w:val="BookText"/>
        <w:rPr/>
      </w:pPr>
      <w:r>
        <w:rPr>
          <w:rFonts w:ascii="Amiri" w:hAnsi="Amiri" w:eastAsia="Amiri" w:cs="Amiri"/>
          <w:color w:val="111111"/>
          <w:sz w:val="28"/>
          <w:sz w:val="28"/>
          <w:szCs w:val="28"/>
          <w:rtl w:val="true"/>
          <w:lang w:bidi="ar-SA"/>
        </w:rPr>
        <w:t>الكبار، ولعلّ بلوغ عشر سنين يقارب ذلك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الحنطة أو الزبيب ونحوهما اشترط كونه سليماً من العيب وممازج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 كالزؤان والتراب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ويعفى عن المعتاد منهما ومن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الاقتصار على إطعام المؤمنين ومن هو بحكمهم كالأطفال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للأصحاب في اشتراط الإيمان في المستحق للكفّارة أقوال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بشرط بل يكفي الإسلام حيث لا يكون محكوماً بكفره من فرقهم كالناصب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المصنّف؛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فَإِطْعَامُ سِيِّينَ مِسْكِينًا</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وَإِطْعَامُ عَشَرَةِ مَسَكِينَ</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وخصوص صحيحة يونس بن عبد الرحمن عن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عليه كفّارة إطعام مساكين، أيعطي الصغار والكبار سواء، والرجال والنساء، أو يفضّل الكبار على الصغار والرجال على 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سواء، ويتمّم إذا لم يقدر من المسلمين وعيالاتهم تمام العدّة التي تلزمه أهل الضعف ممن لا ينصب</w:t>
      </w:r>
      <w:r>
        <w:rPr>
          <w:rFonts w:eastAsia="Amiri" w:cs="Amiri" w:ascii="Amiri" w:hAnsi="Amiri"/>
          <w:color w:val="111111"/>
          <w:sz w:val="28"/>
          <w:szCs w:val="28"/>
          <w:rtl w:val="true"/>
          <w:lang w:bidi="ar-SA"/>
        </w:rPr>
        <w:t>»</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وموثقة إسحاق بن عمّار عن أبي الحسن الكاظم وقد سأله عن الكفارة وقال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فيعطيه ضعفاء من غير أهل الولاية؟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وأهل الولاية أحبّ إلي</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اشتراطه مع الإمكان، فإن لم يجد تمام العدة كذلك جاز إعطاء المستضعف من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الشيخ في النهاية ، وقواه في المختلف</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عليه نص بخصوصه لكنّه حمله على الزكاة، فقد اختلفت الأخبار في اعتبار الإيمان فيها، فجمع الشيخ بينها بحمل أخبار الجواز على المستضعف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كونه مؤمناً أو مستضعفاً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الشيخ في المبسوط، والعلّامة في</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المبسوط، فإنه جعل مصرفها مصرف زكاة الفطرة</w:t>
      </w:r>
      <w:r>
        <w:rPr>
          <w:rStyle w:val="FootnoteAnchor"/>
          <w:rtl w:val="true"/>
        </w:rPr>
        <w:footnoteReference w:id="626"/>
      </w:r>
      <w:r>
        <w:rPr>
          <w:rFonts w:ascii="Amiri" w:hAnsi="Amiri" w:eastAsia="Amiri" w:cs="Amiri"/>
          <w:color w:val="111111"/>
          <w:sz w:val="28"/>
          <w:sz w:val="28"/>
          <w:szCs w:val="28"/>
          <w:rtl w:val="true"/>
          <w:lang w:bidi="ar-SA"/>
        </w:rPr>
        <w:t xml:space="preserve">، وقد جوّز صرف زكاة الفطرة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المستضعف</w:t>
      </w:r>
      <w:r>
        <w:rPr>
          <w:rStyle w:val="FootnoteAnchor"/>
          <w:rtl w:val="true"/>
        </w:rPr>
        <w:footnoteReference w:id="627"/>
      </w:r>
      <w:r>
        <w:rPr>
          <w:rFonts w:ascii="Amiri" w:hAnsi="Amiri" w:eastAsia="Amiri" w:cs="Amiri"/>
          <w:color w:val="111111"/>
          <w:sz w:val="28"/>
          <w:sz w:val="28"/>
          <w:szCs w:val="28"/>
          <w:rtl w:val="true"/>
          <w:lang w:bidi="ar-SA"/>
        </w:rPr>
        <w:t>، وحمل الروايات الدالة على جواز صرفها إلى غير أهل الولاية على المستضعف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الإرشاد، فإنه منع من إعطائها المخالف، واستحب فيه أن يكون من المؤمنين وأولادهم</w:t>
      </w:r>
      <w:r>
        <w:rPr>
          <w:rStyle w:val="FootnoteAnchor"/>
          <w:rtl w:val="true"/>
        </w:rPr>
        <w:footnoteReference w:id="628"/>
      </w:r>
      <w:r>
        <w:rPr>
          <w:rFonts w:ascii="Amiri" w:hAnsi="Amiri" w:eastAsia="Amiri" w:cs="Amiri"/>
          <w:color w:val="111111"/>
          <w:sz w:val="28"/>
          <w:sz w:val="28"/>
          <w:szCs w:val="28"/>
          <w:rtl w:val="true"/>
          <w:lang w:bidi="ar-SA"/>
        </w:rPr>
        <w:t>، فبقي المستضعف خارجاً عن القسمين، ويقتضي جواز إطعامه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ورابعها اشتراط الإيمان حتى لو لم يجد أخرها إلى أن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ابن الجنيد</w:t>
      </w:r>
      <w:r>
        <w:rPr>
          <w:rStyle w:val="FootnoteAnchor"/>
          <w:rtl w:val="true"/>
        </w:rPr>
        <w:footnoteReference w:id="629"/>
      </w:r>
      <w:r>
        <w:rPr>
          <w:rFonts w:ascii="IRNazanin" w:hAnsi="IRNazanin" w:eastAsia="IRNazanin"/>
          <w:color w:val="111111"/>
          <w:sz w:val="28"/>
          <w:sz w:val="28"/>
          <w:szCs w:val="28"/>
          <w:rtl w:val="true"/>
          <w:lang w:bidi="fa-IR"/>
        </w:rPr>
        <w:t>وابن البراج</w:t>
      </w:r>
      <w:r>
        <w:rPr>
          <w:rStyle w:val="FootnoteAnchor"/>
          <w:rtl w:val="true"/>
        </w:rPr>
        <w:footnoteReference w:id="630"/>
      </w:r>
      <w:r>
        <w:rPr>
          <w:rFonts w:ascii="Amiri" w:hAnsi="Amiri" w:eastAsia="Amiri" w:cs="Amiri"/>
          <w:color w:val="111111"/>
          <w:sz w:val="28"/>
          <w:sz w:val="28"/>
          <w:szCs w:val="28"/>
          <w:rtl w:val="true"/>
          <w:lang w:bidi="ar-SA"/>
        </w:rPr>
        <w:t>، وابن إدريس</w:t>
      </w:r>
      <w:r>
        <w:rPr>
          <w:rStyle w:val="FootnoteAnchor"/>
          <w:rtl w:val="true"/>
        </w:rPr>
        <w:footnoteReference w:id="631"/>
      </w:r>
      <w:r>
        <w:rPr>
          <w:rFonts w:ascii="Amiri" w:hAnsi="Amiri" w:eastAsia="Amiri" w:cs="Amiri"/>
          <w:color w:val="111111"/>
          <w:sz w:val="28"/>
          <w:sz w:val="28"/>
          <w:szCs w:val="28"/>
          <w:rtl w:val="true"/>
          <w:lang w:bidi="ar-SA"/>
        </w:rPr>
        <w:t>والعلّامة في القواعد والتحرير</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وخامسها اشتراط الإيمان كذلك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ابن إدريس؛ لأنه جعل مصرفها مصرف الزكاة، واشترط في مستحق الزكاة العدالة</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ودليل هذه الأقوال كلّها راجع إلى دليلهم في الزكاة، والملازمة ممنوعة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المصنّف هنا هو الأقوى</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المصنّف لم يبيّن في الكتاب ما يعتبر في المستحق زيادة على الإسلام ولا ريب في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منصوص الآية</w:t>
      </w:r>
      <w:r>
        <w:rPr>
          <w:rStyle w:val="FootnoteAnchor"/>
          <w:rtl w:val="true"/>
        </w:rPr>
        <w:footnoteReference w:id="634"/>
      </w:r>
      <w:r>
        <w:rPr>
          <w:rFonts w:ascii="Amiri" w:hAnsi="Amiri" w:eastAsia="Amiri" w:cs="Amiri"/>
          <w:color w:val="111111"/>
          <w:sz w:val="28"/>
          <w:sz w:val="28"/>
          <w:szCs w:val="28"/>
          <w:rtl w:val="true"/>
          <w:lang w:bidi="ar-SA"/>
        </w:rPr>
        <w:t>، ولا يتعدى إلى غيره من أصناف مستحقي الزكاة غير الفقير حتى الغارم، وإن استغرق دينه ماله إذا ملك مؤونة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ابن السبيل إن أمكنه أخذ الزكاة أو الاستدانة، وإلا ففى جواز أخذه نظر من حيث إنه حينئذ في معنى المسكين، ومن أنّه قسيم 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الدروس</w:t>
      </w:r>
      <w:r>
        <w:rPr>
          <w:rStyle w:val="FootnoteAnchor"/>
          <w:rtl w:val="true"/>
        </w:rPr>
        <w:footnoteReference w:id="635"/>
      </w:r>
      <w:r>
        <w:rPr>
          <w:rFonts w:ascii="Amiri" w:hAnsi="Amiri" w:eastAsia="Amiri" w:cs="Amiri"/>
          <w:color w:val="111111"/>
          <w:sz w:val="28"/>
          <w:sz w:val="28"/>
          <w:szCs w:val="28"/>
          <w:rtl w:val="true"/>
          <w:lang w:bidi="ar-SA"/>
        </w:rPr>
        <w:t>جواز أخذه لها حينئذ</w:t>
      </w:r>
      <w:r>
        <w:rPr>
          <w:rFonts w:eastAsia="Amiri" w:cs="Amiri" w:ascii="Amiri" w:hAnsi="Amiri"/>
          <w:color w:val="111111"/>
          <w:sz w:val="28"/>
          <w:szCs w:val="28"/>
          <w:rtl w:val="true"/>
          <w:lang w:bidi="ar-SA"/>
        </w:rPr>
        <w:t xml:space="preserve">. </w:t>
      </w:r>
      <w:bookmarkStart w:id="181" w:name="pg10270_80212"/>
    </w:p>
    <w:p>
      <w:pPr>
        <w:pStyle w:val="BookText"/>
        <w:rPr/>
      </w:pPr>
      <w:bookmarkEnd w:id="181"/>
      <w:r>
        <w:rPr>
          <w:rFonts w:ascii="IRNazanin" w:hAnsi="IRNazanin" w:eastAsia="IRNazanin"/>
          <w:color w:val="111111"/>
          <w:sz w:val="28"/>
          <w:sz w:val="28"/>
          <w:szCs w:val="28"/>
          <w:rtl w:val="true"/>
          <w:lang w:bidi="fa-IR"/>
        </w:rPr>
        <w:t>مسائل أربع</w:t>
      </w:r>
      <w:r>
        <w:rPr>
          <w:rFonts w:eastAsia="IRNazanin" w:cs="IRNazanin"/>
          <w:color w:val="111111"/>
          <w:sz w:val="28"/>
          <w:szCs w:val="28"/>
          <w:rtl w:val="true"/>
          <w:lang w:bidi="fa-IR"/>
        </w:rPr>
        <w:t>:</w:t>
      </w:r>
    </w:p>
    <w:p>
      <w:pPr>
        <w:pStyle w:val="Heading5"/>
        <w:numPr>
          <w:ilvl w:val="4"/>
          <w:numId w:val="1"/>
        </w:numPr>
        <w:rPr/>
      </w:pPr>
      <w:bookmarkStart w:id="182" w:name="__RefHeading___Toc3860106_1067777946"/>
      <w:bookmarkStart w:id="183" w:name="_Toc67"/>
      <w:bookmarkEnd w:id="182"/>
      <w:r>
        <w:rPr>
          <w:rtl w:val="true"/>
        </w:rPr>
        <w:t>كفّارة اليمين  و تقدیر الكسوة و الإطعام</w:t>
      </w:r>
      <w:bookmarkEnd w:id="183"/>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اليمين مخيّرة بين العتق والإطعام والكسوة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كسا الفقير وجب أن يعطيه ثوبين مع القدرة، ومع العجز ثوباً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الثوب الواحد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الفقير، والأقوى جواز دفعها إليه، إما لكونه أسوأ حالاً كما ذهب إليه بعضهم</w:t>
      </w:r>
      <w:r>
        <w:rPr>
          <w:rStyle w:val="FootnoteAnchor"/>
          <w:rtl w:val="true"/>
        </w:rPr>
        <w:footnoteReference w:id="636"/>
      </w:r>
      <w:r>
        <w:rPr>
          <w:rFonts w:ascii="Amiri" w:hAnsi="Amiri" w:eastAsia="Amiri" w:cs="Amiri"/>
          <w:color w:val="111111"/>
          <w:sz w:val="28"/>
          <w:sz w:val="28"/>
          <w:szCs w:val="28"/>
          <w:rtl w:val="true"/>
          <w:lang w:bidi="ar-SA"/>
        </w:rPr>
        <w:t>، أو لأنّ كلّ واحدٍ من المسكين والفقير يدخل في الآخر حيث ينفرد بالذكر، وإنما يبحث عن الأسوأ حالاً منهما على تقدير الاجتماع كآية الزكاة</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اليمين مخيّرة بين العتق والإطعام والكسوة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الكسوة ورد الأمر بها مطلقاً في كفّارة اليمين، فيجب لمن أرادها ما يحصل بها مسماها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الأصحاب في تقديرها لذلك، فمنهم من حملها على عرف الشرع في الصلاة، ففرّق بين الرجل والمرأة، وهو ابن الجنيد، فاعتبر للمرأة درعاً وخماراً، واكتفى للرجل بثوب يجزئه في مثله الصلاة</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أطلق الثوبين، كالمفيد</w:t>
      </w:r>
      <w:r>
        <w:rPr>
          <w:rStyle w:val="FootnoteAnchor"/>
          <w:rtl w:val="true"/>
        </w:rPr>
        <w:footnoteReference w:id="639"/>
      </w:r>
      <w:r>
        <w:rPr>
          <w:rFonts w:ascii="Amiri" w:hAnsi="Amiri" w:eastAsia="Amiri" w:cs="Amiri"/>
          <w:color w:val="111111"/>
          <w:sz w:val="28"/>
          <w:sz w:val="28"/>
          <w:szCs w:val="28"/>
          <w:rtl w:val="true"/>
          <w:lang w:bidi="ar-SA"/>
        </w:rPr>
        <w:t>، وسلّار</w:t>
      </w:r>
      <w:r>
        <w:rPr>
          <w:rStyle w:val="FootnoteAnchor"/>
          <w:rtl w:val="true"/>
        </w:rPr>
        <w:footnoteReference w:id="64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أطلق الثوب، كالشيخ في المبسوط</w:t>
      </w:r>
      <w:r>
        <w:rPr>
          <w:rStyle w:val="FootnoteAnchor"/>
          <w:rtl w:val="true"/>
        </w:rPr>
        <w:footnoteReference w:id="641"/>
      </w:r>
      <w:r>
        <w:rPr>
          <w:rFonts w:ascii="Amiri" w:hAnsi="Amiri" w:eastAsia="Amiri" w:cs="Amiri"/>
          <w:color w:val="111111"/>
          <w:sz w:val="28"/>
          <w:sz w:val="28"/>
          <w:szCs w:val="28"/>
          <w:rtl w:val="true"/>
          <w:lang w:bidi="ar-SA"/>
        </w:rPr>
        <w:t>، وابن إدريس</w:t>
      </w:r>
      <w:r>
        <w:rPr>
          <w:rStyle w:val="FootnoteAnchor"/>
          <w:rtl w:val="true"/>
        </w:rPr>
        <w:footnoteReference w:id="642"/>
      </w:r>
      <w:r>
        <w:rPr>
          <w:rFonts w:ascii="Amiri" w:hAnsi="Amiri" w:eastAsia="Amiri" w:cs="Amiri"/>
          <w:color w:val="111111"/>
          <w:sz w:val="28"/>
          <w:sz w:val="28"/>
          <w:szCs w:val="28"/>
          <w:rtl w:val="true"/>
          <w:lang w:bidi="ar-SA"/>
        </w:rPr>
        <w:t>، والمصنّف، والعلّامة في المختلف والتحرير والإرشاد</w:t>
      </w:r>
      <w:r>
        <w:rPr>
          <w:rStyle w:val="FootnoteAnchor"/>
          <w:rtl w:val="true"/>
        </w:rPr>
        <w:footnoteReference w:id="6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فصل فاعتبر الثوبين مع القدرة، واكتفى بالثوب مع العجز كالشيخ في النهاية</w:t>
      </w:r>
      <w:r>
        <w:rPr>
          <w:rStyle w:val="FootnoteAnchor"/>
          <w:rtl w:val="true"/>
        </w:rPr>
        <w:footnoteReference w:id="644"/>
      </w:r>
      <w:r>
        <w:rPr>
          <w:rFonts w:ascii="IRNazanin" w:hAnsi="IRNazanin" w:eastAsia="IRNazanin"/>
          <w:color w:val="111111"/>
          <w:sz w:val="28"/>
          <w:sz w:val="28"/>
          <w:szCs w:val="28"/>
          <w:rtl w:val="true"/>
          <w:lang w:bidi="fa-IR"/>
        </w:rPr>
        <w:t>، وابن البراج</w:t>
      </w:r>
      <w:r>
        <w:rPr>
          <w:rStyle w:val="FootnoteAnchor"/>
          <w:rtl w:val="true"/>
        </w:rPr>
        <w:footnoteReference w:id="645"/>
      </w:r>
      <w:r>
        <w:rPr>
          <w:rFonts w:ascii="Amiri" w:hAnsi="Amiri" w:eastAsia="Amiri" w:cs="Amiri"/>
          <w:color w:val="111111"/>
          <w:sz w:val="28"/>
          <w:sz w:val="28"/>
          <w:szCs w:val="28"/>
          <w:rtl w:val="true"/>
          <w:lang w:bidi="ar-SA"/>
        </w:rPr>
        <w:t>، وأبي الصلاح</w:t>
      </w:r>
      <w:r>
        <w:rPr>
          <w:rStyle w:val="FootnoteAnchor"/>
          <w:rtl w:val="true"/>
        </w:rPr>
        <w:footnoteReference w:id="646"/>
      </w:r>
      <w:r>
        <w:rPr>
          <w:rFonts w:ascii="Amiri" w:hAnsi="Amiri" w:eastAsia="Amiri" w:cs="Amiri"/>
          <w:color w:val="111111"/>
          <w:sz w:val="28"/>
          <w:sz w:val="28"/>
          <w:szCs w:val="28"/>
          <w:rtl w:val="true"/>
          <w:lang w:bidi="ar-SA"/>
        </w:rPr>
        <w:t>، والعلّامة في القواعد</w:t>
      </w:r>
      <w:r>
        <w:rPr>
          <w:rStyle w:val="FootnoteAnchor"/>
          <w:rtl w:val="true"/>
        </w:rPr>
        <w:footnoteReference w:id="647"/>
      </w:r>
      <w:r>
        <w:rPr>
          <w:rFonts w:ascii="IRNazanin" w:hAnsi="IRNazanin" w:eastAsia="IRNazanin"/>
          <w:color w:val="111111"/>
          <w:sz w:val="28"/>
          <w:sz w:val="28"/>
          <w:szCs w:val="28"/>
          <w:rtl w:val="true"/>
          <w:lang w:bidi="fa-IR"/>
        </w:rPr>
        <w:t>، وولده</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الاختلاف اختلاف الأخبار، فروى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كفّارة اليمين يطعم عشرة مساكين لكلّ مسكين مدّ من حنطة أو من دقيق وحفنة، أو كسوتهم، لكلّ إنسان ثوبان</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الحديث ومثله روى عليّ بن أبي حمزة عنه</w:t>
      </w:r>
      <w:r>
        <w:rPr>
          <w:rStyle w:val="FootnoteAnchor"/>
          <w:rtl w:val="true"/>
        </w:rPr>
        <w:footnoteReference w:id="6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واحد</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الحسين بن سعيد عن رجاله، عن الصادق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كفّارة اليمين ثوب يواري ،عورته،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محمد بن قيس عن أبي جعفر إلى قوله،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وجد الكسوة؟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ثوب يواري عورته</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معمر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عمّن وجبت عليه الكسوة في كفّارة اليمين؟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يواري عورته</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جمع بين هذه الأخبار بحمل وجوب الثوبين على من يقدر عليهما، ووجوب الواحد على من لا يقدر إلا عليه</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حمل بعيد ليس في الأخبار إشعار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جمع بينها بحمل الثوبين على الأفضلية والثوب على الإجزاء كان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ترجيح الثوبين مطلقاً، بأن خبرهما الصحيح أصح من خبر أبي بصير الصحيح؛ لاشتراك أبي بصير</w:t>
      </w:r>
      <w:r>
        <w:rPr>
          <w:rStyle w:val="FootnoteAnchor"/>
          <w:rtl w:val="true"/>
        </w:rPr>
        <w:footnoteReference w:id="656"/>
      </w:r>
      <w:r>
        <w:rPr>
          <w:rFonts w:ascii="Amiri" w:hAnsi="Amiri" w:eastAsia="Amiri" w:cs="Amiri"/>
          <w:color w:val="111111"/>
          <w:sz w:val="28"/>
          <w:sz w:val="28"/>
          <w:szCs w:val="28"/>
          <w:rtl w:val="true"/>
          <w:lang w:bidi="ar-SA"/>
        </w:rPr>
        <w:t>، وصحّته إضافية كما بيّناه مراراً، بخلاف صحيح الحلبي، وباقي الأخبار شواهد؛ لأنها ضعيفة الإسناد أو مرسلة؛ فإنّ محمّد بن قيس الذي يروي عن الباقر لا مشترك بين الثقة وغيره</w:t>
      </w:r>
      <w:r>
        <w:rPr>
          <w:rStyle w:val="FootnoteAnchor"/>
          <w:rtl w:val="true"/>
        </w:rPr>
        <w:footnoteReference w:id="657"/>
      </w:r>
      <w:r>
        <w:rPr>
          <w:rFonts w:ascii="Amiri" w:hAnsi="Amiri" w:eastAsia="Amiri" w:cs="Amiri"/>
          <w:color w:val="111111"/>
          <w:sz w:val="28"/>
          <w:sz w:val="28"/>
          <w:szCs w:val="28"/>
          <w:rtl w:val="true"/>
          <w:lang w:bidi="ar-SA"/>
        </w:rPr>
        <w:t>، وخبر حسين بن سعيد مرسل ومعمر بن عثمان مجهول</w:t>
      </w:r>
      <w:r>
        <w:rPr>
          <w:rStyle w:val="FootnoteAnchor"/>
          <w:rtl w:val="true"/>
        </w:rPr>
        <w:footnoteReference w:id="658"/>
      </w:r>
      <w:r>
        <w:rPr>
          <w:rFonts w:ascii="Amiri" w:hAnsi="Amiri" w:eastAsia="Amiri" w:cs="Amiri"/>
          <w:color w:val="111111"/>
          <w:sz w:val="28"/>
          <w:sz w:val="28"/>
          <w:szCs w:val="28"/>
          <w:rtl w:val="true"/>
          <w:lang w:bidi="ar-SA"/>
        </w:rPr>
        <w:t>، لكن يعضده إطلاق الكسوة في الآية</w:t>
      </w:r>
      <w:r>
        <w:rPr>
          <w:rStyle w:val="FootnoteAnchor"/>
          <w:rtl w:val="true"/>
        </w:rPr>
        <w:footnoteReference w:id="659"/>
      </w:r>
      <w:r>
        <w:rPr>
          <w:rFonts w:ascii="Amiri" w:hAnsi="Amiri" w:eastAsia="Amiri" w:cs="Amiri"/>
          <w:color w:val="111111"/>
          <w:sz w:val="28"/>
          <w:sz w:val="28"/>
          <w:szCs w:val="28"/>
          <w:rtl w:val="true"/>
          <w:lang w:bidi="ar-SA"/>
        </w:rPr>
        <w:t>فإنّها صادقة بالثوب الواحد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المعتبر في الثوب أو الثوبين ما يتحقّق به الكسوة عرفاً، كالجبة والقميص والإزار والسراويل والمقنعة للأنثى، دون المنطقة والخفّ والقلنسوة وأقلّه ما يستر العورتين، كالمئزران اعتيد لبسه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صلح كسوة للصغير دون الكبير كفى إن دفعه بنیّة الصغير دون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والمعتبر في جنسه ما يعد معه كسوة عرفاً، كالقطن والكتان والصوف، والحرير للنساء، والفرو والجلد المعتادين وكذا القنّب والشعر إن اعتيدا، وإلا فلا </w:t>
      </w:r>
    </w:p>
    <w:p>
      <w:pPr>
        <w:pStyle w:val="BookText"/>
        <w:rPr/>
      </w:pPr>
      <w:r>
        <w:rPr>
          <w:rFonts w:ascii="IRNazanin" w:hAnsi="IRNazanin" w:eastAsia="IRNazanin"/>
          <w:color w:val="111111"/>
          <w:sz w:val="28"/>
          <w:sz w:val="28"/>
          <w:szCs w:val="28"/>
          <w:rtl w:val="true"/>
          <w:lang w:bidi="fa-IR"/>
        </w:rPr>
        <w:t>الثانیّة • الإطعام في كفّارة اليمين مدّ لكلّ مسكين، ولو كان قادراً على المدين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فقهائنا من خصّ المدّ بحال الضرورة والأوّل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 كفّارة الإيلاء مثل كفّارة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مملوكه فوق الحدّ استحب له التكفير بعتقه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تجزئ كسوة الصغار وإن انفردوا؛ للعموم</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الجديد، ويجزئ غيره، إلا أن ينسحق أو يتخرّق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الإطعام في كفّارة اليمين مد لکلّ مسكين، ولو كان قادراً على المدين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في صحيحة الحلبي ما يدل على إجزاء المد مطلقاً</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بالتفصيل للشيخ</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الخلاف في الكفّارة المرتبة</w:t>
      </w:r>
      <w:r>
        <w:rPr>
          <w:rStyle w:val="FootnoteAnchor"/>
          <w:rtl w:val="true"/>
        </w:rPr>
        <w:footnoteReference w:id="663"/>
      </w:r>
      <w:r>
        <w:rPr>
          <w:rFonts w:ascii="Amiri" w:hAnsi="Amiri" w:eastAsia="Amiri" w:cs="Amiri"/>
          <w:color w:val="111111"/>
          <w:sz w:val="28"/>
          <w:sz w:val="28"/>
          <w:szCs w:val="28"/>
          <w:rtl w:val="true"/>
          <w:lang w:bidi="ar-SA"/>
        </w:rPr>
        <w:t>، والمختار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الإيلاء مثل كفّارة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الإيلاء يمين خاصة، وهو الحلف على ترك وطء الزوجة على ما سيأتي تفصيله</w:t>
      </w:r>
      <w:r>
        <w:rPr>
          <w:rStyle w:val="FootnoteAnchor"/>
          <w:rtl w:val="true"/>
        </w:rPr>
        <w:footnoteReference w:id="664"/>
      </w:r>
      <w:r>
        <w:rPr>
          <w:rFonts w:ascii="Amiri" w:hAnsi="Amiri" w:eastAsia="Amiri" w:cs="Amiri"/>
          <w:color w:val="111111"/>
          <w:sz w:val="28"/>
          <w:sz w:val="28"/>
          <w:szCs w:val="28"/>
          <w:rtl w:val="true"/>
          <w:lang w:bidi="ar-SA"/>
        </w:rPr>
        <w:t>، وإنّما يتميز عن مطلق اليمين بأحكام مخصوصة، أما الكفارة فواحدة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من ضرب مملوكه فوق الحدّ استحب له التكفير بعتقه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الحكم ذكره الشيخ</w:t>
      </w:r>
      <w:r>
        <w:rPr>
          <w:rStyle w:val="FootnoteAnchor"/>
          <w:rtl w:val="true"/>
        </w:rPr>
        <w:footnoteReference w:id="665"/>
      </w:r>
      <w:r>
        <w:rPr>
          <w:rFonts w:ascii="IRNazanin" w:hAnsi="IRNazanin" w:eastAsia="IRNazanin"/>
          <w:color w:val="111111"/>
          <w:sz w:val="28"/>
          <w:sz w:val="28"/>
          <w:szCs w:val="28"/>
          <w:rtl w:val="true"/>
          <w:lang w:bidi="fa-IR"/>
        </w:rPr>
        <w:t>وأتباعه</w:t>
      </w:r>
      <w:r>
        <w:rPr>
          <w:rStyle w:val="FootnoteAnchor"/>
          <w:rtl w:val="true"/>
        </w:rPr>
        <w:footnoteReference w:id="666"/>
      </w:r>
      <w:r>
        <w:rPr>
          <w:rFonts w:ascii="Amiri" w:hAnsi="Amiri" w:eastAsia="Amiri" w:cs="Amiri"/>
          <w:color w:val="111111"/>
          <w:sz w:val="28"/>
          <w:sz w:val="28"/>
          <w:szCs w:val="28"/>
          <w:rtl w:val="true"/>
          <w:lang w:bidi="ar-SA"/>
        </w:rPr>
        <w:t>، والمستند صحيحة أبي بصير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مملوكاً حداً من الحدود، من غير حد أوجبه المملوك على نفسه لم يكن لضاربه كفّارة إلا عتقه</w:t>
      </w:r>
      <w:r>
        <w:rPr>
          <w:rFonts w:eastAsia="Amiri" w:cs="Amiri" w:ascii="Amiri" w:hAnsi="Amiri"/>
          <w:color w:val="111111"/>
          <w:sz w:val="28"/>
          <w:szCs w:val="28"/>
          <w:rtl w:val="true"/>
          <w:lang w:bidi="ar-SA"/>
        </w:rPr>
        <w:t>»</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أنّه على سبيل الوجوب</w:t>
      </w:r>
      <w:r>
        <w:rPr>
          <w:rFonts w:eastAsia="Amiri" w:cs="Amiri" w:ascii="Amiri" w:hAnsi="Amiri"/>
          <w:color w:val="111111"/>
          <w:sz w:val="28"/>
          <w:szCs w:val="28"/>
          <w:rtl w:val="true"/>
          <w:lang w:bidi="ar-SA"/>
        </w:rPr>
        <w:t xml:space="preserve">. </w:t>
      </w:r>
      <w:bookmarkStart w:id="184" w:name="pg10270_80216"/>
    </w:p>
    <w:p>
      <w:pPr>
        <w:pStyle w:val="Heading3"/>
        <w:numPr>
          <w:ilvl w:val="2"/>
          <w:numId w:val="1"/>
        </w:numPr>
        <w:rPr/>
      </w:pPr>
      <w:bookmarkStart w:id="185" w:name="__RefHeading___Toc3860108_1067777946"/>
      <w:bookmarkStart w:id="186" w:name="_Toc68"/>
      <w:bookmarkEnd w:id="184"/>
      <w:bookmarkEnd w:id="185"/>
      <w:r>
        <w:rPr>
          <w:rtl w:val="true"/>
        </w:rPr>
        <w:t>المقصد الرابع في أحكام الکفّارات</w:t>
      </w:r>
      <w:bookmarkEnd w:id="186"/>
    </w:p>
    <w:p>
      <w:pPr>
        <w:pStyle w:val="Heading4"/>
        <w:numPr>
          <w:ilvl w:val="3"/>
          <w:numId w:val="1"/>
        </w:numPr>
        <w:rPr/>
      </w:pPr>
      <w:bookmarkStart w:id="187" w:name="__RefHeading___Toc3860110_1067777946"/>
      <w:bookmarkStart w:id="188" w:name="_Toc69"/>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المقصد الرابع في الأحكام المتعلقة بهذا الباب</w:t>
      </w:r>
    </w:p>
    <w:p>
      <w:pPr>
        <w:pStyle w:val="BookText"/>
        <w:rPr/>
      </w:pPr>
      <w:r>
        <w:rPr>
          <w:rFonts w:ascii="Amiri" w:hAnsi="Amiri" w:eastAsia="Amiri" w:cs="Amiri"/>
          <w:color w:val="111111"/>
          <w:sz w:val="28"/>
          <w:sz w:val="28"/>
          <w:szCs w:val="28"/>
          <w:rtl w:val="true"/>
          <w:lang w:bidi="ar-SA"/>
        </w:rPr>
        <w:t>وهي مسائل</w:t>
      </w:r>
    </w:p>
    <w:p>
      <w:pPr>
        <w:pStyle w:val="Heading4"/>
        <w:numPr>
          <w:ilvl w:val="3"/>
          <w:numId w:val="1"/>
        </w:numPr>
        <w:rPr/>
      </w:pPr>
      <w:bookmarkStart w:id="189" w:name="__RefHeading___Toc3860112_1067777946"/>
      <w:bookmarkStart w:id="190" w:name="_Toc70"/>
      <w:bookmarkEnd w:id="189"/>
      <w:r>
        <w:rPr>
          <w:rtl w:val="true"/>
        </w:rPr>
        <w:t>کیفيّة صيام شهرین متتابعین</w:t>
      </w:r>
      <w:bookmarkEnd w:id="190"/>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وجب عليه شهران فإن صام هلالين فقد أجزأه ولو كانا ناقصين، وإن صام بعض الشهر وأكمل الثاني اجتزاً به وإن كان ناقصاً، ويكمل الأوّل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ما فات من الأوّل والأوّل أشبه</w:t>
      </w:r>
    </w:p>
    <w:p>
      <w:pPr>
        <w:pStyle w:val="BookText"/>
        <w:rPr/>
      </w:pPr>
      <w:r>
        <w:rPr>
          <w:rFonts w:ascii="Amiri" w:hAnsi="Amiri" w:eastAsia="Amiri" w:cs="Amiri"/>
          <w:color w:val="111111"/>
          <w:sz w:val="28"/>
          <w:sz w:val="28"/>
          <w:szCs w:val="28"/>
          <w:rtl w:val="true"/>
          <w:lang w:bidi="ar-SA"/>
        </w:rPr>
        <w:t>وأنكره ابن إدريس؛ لعدم دليل يدلّ عليه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المصنّف والعلّامة</w:t>
      </w:r>
      <w:r>
        <w:rPr>
          <w:rStyle w:val="FootnoteAnchor"/>
          <w:rtl w:val="true"/>
        </w:rPr>
        <w:footnoteReference w:id="669"/>
      </w:r>
      <w:r>
        <w:rPr>
          <w:rFonts w:ascii="Amiri" w:hAnsi="Amiri" w:eastAsia="Amiri" w:cs="Amiri"/>
          <w:color w:val="111111"/>
          <w:sz w:val="28"/>
          <w:sz w:val="28"/>
          <w:szCs w:val="28"/>
          <w:rtl w:val="true"/>
          <w:lang w:bidi="ar-SA"/>
        </w:rPr>
        <w:t>وأكثر المتأخرين الاستحباب واحتج له في المختلف بأنه فعل محرّم، والعتق مسقط لذنب القتل وهو أعظم من الضرب فاستحب العتق</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استند إلى الرواية كان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والمتبادر من الحد المتجاوز هو المقدار من العقوبة المستحقة على ذلك الفاعل مع إطلاق الحدّ عليه شرعاً، فلا يدخل التعزير ويعتبر فيه حد العبيد لا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حدّ الأحرار</w:t>
      </w:r>
      <w:r>
        <w:rPr>
          <w:rStyle w:val="FootnoteAnchor"/>
          <w:rtl w:val="true"/>
        </w:rPr>
        <w:footnoteReference w:id="671"/>
      </w:r>
      <w:r>
        <w:rPr>
          <w:rFonts w:ascii="Amiri" w:hAnsi="Amiri" w:eastAsia="Amiri" w:cs="Amiri"/>
          <w:color w:val="111111"/>
          <w:sz w:val="28"/>
          <w:sz w:val="28"/>
          <w:szCs w:val="28"/>
          <w:rtl w:val="true"/>
          <w:lang w:bidi="ar-SA"/>
        </w:rPr>
        <w:t>لأنّه المتيقن والملك سليماً عن تعلّق حق العتق على مالكه وهذا يتأتى على القول بالوجوب، أما على الاستحباب فلا؛ لأنّ المعلق على مفهوم كلّي يتحقّق بوجوده في ضمن أي فرد فرض من أفراده، وحمله على حد لا يتعلّق بالمحدود بعيد جداً</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المملوك بين الذكر والأنثى؛ لتناوله لهما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وجب عليه شهران فإن صام هلالين فقد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صوم الشهرين، فإن ابتدأ من أوّل الهلال اعتبر الشهر الهلالي؛ لأنه المراد عند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الإطلاق شرعاً، إلا أن يمنع من حمله عليه مانع وهو منتف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ناقصاً كفى، وإن أكمل الشهرين كذلك اقتصر على الهلالين وإن كانا ناقصين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شرع فيه في أثناء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ذلك بمضي يوم منه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ذلك الشهر الذي ابتدأ فيه بالعدد وهو ثلاثون يوماً؛ لعدم إمكان حمله على الهلالي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استمر بعد دخول الشهر الثاني إلى آخره فالأقوى احتساب الثاني بالهلال، وإكمال الأول ثلاثين من الثالث</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فلصدق اسم الشهر عليه فلا مانع من حمله على الهلالي وأما الثاني فلبنائه من حين الشروع فيه على أنه عددي فيلزم إكماله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يتعين إكماله من الشهر الذي يليه؛ لأن الغرض من الإكمال يحصل سواء أكمل من الذي يليه أم من غيره، لكن إكماله منه يلزم منه اختلال الشهر الثاني وجعله عددياً مع إمكان جعله هلالياً على أصل وضعه بخلاف إكماله من الثالث، فكان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إكمال الأوّل من الثالث بقدر ما فات من الشهر الأوّل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كونه ناقصاً وقد مضى منه عشرة أيام مثلاً فصام الباقي وهو تسعة عشر، كفى إكماله من الشهر الثالث عشرة أيام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هذا القول ما أشرنا إليه من أن المعتبر شرعاً هو الهلالي، فإذا فات منه شيء اعتبر منه استدراكه فيتحقّق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يصوم من الثالث 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انكسار الأوّل ينكسر الجميع ويبطل اعتبار الأهلة؛ لأنّ الشهر الثاني لا يدخل حتى يكمل الأول، وتمامه بعدد من الثاني فينكسر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هذه المسألة مراراً</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الثانیّة • المعتبر في المرتبة حال الأداء لا حال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قادراً على العتق فعجز صام، ولا يستقر العتق في ذمته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المعتبر في المرتبة حال الأداء لا حال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مذهب الأصحاب أن الاعتبار في مراتب الكفارة بحال أدائها، 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وجوبها؛ لأنّ خصال الكفّارة عبادات فيراعى فيها حالة الأداء كنظائرها من العبادات، فإنّ النظر في القدرة على استعمال الماء مثلاً والعجز عنه إلى حالة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الصلاة النظر في القدرة على القيام و العجز عنه إلى حالة الأداء، حتى لو عجز عن القيام عند الوجوب وقدر عند الأداء يصلّي صلاة القادر، ولو انعكس الحال انعكس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بعض العامة هنا، فجعلوا الاعتبار بحالة الوجوب</w:t>
      </w:r>
      <w:r>
        <w:rPr>
          <w:rStyle w:val="FootnoteAnchor"/>
          <w:rtl w:val="true"/>
        </w:rPr>
        <w:footnoteReference w:id="674"/>
      </w:r>
      <w:r>
        <w:rPr>
          <w:rFonts w:ascii="Amiri" w:hAnsi="Amiri" w:eastAsia="Amiri" w:cs="Amiri"/>
          <w:color w:val="111111"/>
          <w:sz w:val="28"/>
          <w:sz w:val="28"/>
          <w:szCs w:val="28"/>
          <w:rtl w:val="true"/>
          <w:lang w:bidi="ar-SA"/>
        </w:rPr>
        <w:t>نظراً إلى أنّ الكفّارة نوع تطهير يختلف حاله باختلاف الوقت، كما في الحد مثلاً، فإنّه لو زنى وهو رقيق ثم أعتق، أو بكر ثم صار محصناً ، يقام عليه حدّ الأرقاء والأبكار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ويتفرع على ذلك ما لو كان قادراً على العتق وقت الوجوب فلم يعتق ثمّ أعسر، فينتقل إلى الصيام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عاجزاً عن العتق قادراً على الصوم ثم تجدد عجزه عنه وجب عليه الإطعام مع تمكنه منه، وعلى الثاني يبقى الواجب وقت الوجوب في ذمته، ولا ينتقل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فكان معسراً وقت الوجوب ثمّ أيسر وجب العتق أو كان عاجزاً عنه وعن الصوم ثم قدر على الصوم وجب على الأوّل دون الثاني، لكن لو تبرع به أجزاً، كما لو تكلّف الفقير العتق ولو بالاقتراض مع احتمال العدم؛ لأنه ليس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يتفرع عليه ما لو كان المكفّر عبداً حالة الوجوب فأعتق قبل أن يشرع في الصوم وأيسر، فإنّه يجب عليه العتق؛ لقدرته عليه بناءً على اعتبار حالة الأداء، ولو اعتبرنا حالة الوجوب لم يجب العتق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 • إذا كان له مال يصل إليه بعد مدة غالباً لم ينتقل فرضه، بل يجب الصبر، ولو كان مما يتضمن المشقة بالتأخير كالظهار، وفي الظهار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بعدم وجوبه عليه على القولين؛ لأنّ كفّارة العبد لا تكون بالعتق، ويفرّق بينه وبين العاجز الحرّ إذا تجدّدت قدرته بأن الرقية مانع السبب، والعجز مانع الحكم، فإذا قدر عمل السبب عمله بخلاف ما إذا أعتق؛ لفقد سبب الحكم بالعتق حين وجوب الكفّارة، وعدم كونه من أهل الإعتاق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على تقدير اعتبار حالة الأداء لا يخلو تعيين الواجب قبله من غموض؛ لأنّ المحكوم بوجوبه حال المخاطبة بها من الخصال ليس هو المراد عند الأداء؛ لعدم اجتماع شرائطه حينئذ، بل 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أصل الكفّارة ولا يوصف خصلة على التعيين بالوجوب،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ما يقتضيه حال الوجوب ثمّ إذا تبدل الحال تبدل الواجب، كما أنه يجب على القادر صلاة القادرين ثمّ إذا عجز تبدلت صفة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له مال يصل إليه بعد مدة غالباً لم ينتقل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ماله غائباً أو حاضراً ولا يجد الرقبة في الحال وهي مما يتوقع وجودها غالباً لم ينتقل فرضه في المرتبة إلى الصيام، بل يجب الصبر إلى أن يتمكن؛ لأن الكفارة على التراخي والوجدان متحقّق في الجملة، وبتقدير أن يموت لا يفوت بل تؤدى من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فيه فإن لم يتضرّر بترك الجماع فكذلك، وإلا ،فوجهان، مما ذكر ومن لزوم الضرر أو المشقة المنفيين شرعاً</w:t>
      </w:r>
      <w:r>
        <w:rPr>
          <w:rStyle w:val="FootnoteAnchor"/>
          <w:rtl w:val="true"/>
        </w:rPr>
        <w:footnoteReference w:id="675"/>
      </w:r>
      <w:r>
        <w:rPr>
          <w:rFonts w:ascii="Amiri" w:hAnsi="Amiri" w:eastAsia="Amiri" w:cs="Amiri"/>
          <w:color w:val="111111"/>
          <w:sz w:val="28"/>
          <w:sz w:val="28"/>
          <w:szCs w:val="28"/>
          <w:rtl w:val="true"/>
          <w:lang w:bidi="ar-SA"/>
        </w:rPr>
        <w:t>، فكان بسبب ذلك بمنزلة الفاقد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الانتقال إلى الصوم قوّة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بينه وبين المريض المتضرّر بالصوم حيث جاز له الانتقال إلى الإطعام وإن رجا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شَهْرَيْنِ مُتَتَابِعَيْن</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 ولا يقال لمن يملك مالاً </w:t>
      </w:r>
      <w:bookmarkStart w:id="191" w:name="pg10270_80220"/>
    </w:p>
    <w:p>
      <w:pPr>
        <w:pStyle w:val="Heading4"/>
        <w:numPr>
          <w:ilvl w:val="3"/>
          <w:numId w:val="1"/>
        </w:numPr>
        <w:rPr/>
      </w:pPr>
      <w:bookmarkStart w:id="192" w:name="__RefHeading___Toc3860114_1067777946"/>
      <w:bookmarkStart w:id="193" w:name="_Toc71"/>
      <w:bookmarkEnd w:id="191"/>
      <w:bookmarkEnd w:id="192"/>
      <w:r>
        <w:rPr>
          <w:rtl w:val="true"/>
        </w:rPr>
        <w:t>إذا عجز عن العتق فدخل في الصوم ثم وجد ما يعتق</w:t>
      </w:r>
      <w:bookmarkEnd w:id="193"/>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عجز عن العتق فدخل في الصوم ثم وجد ما يعتق لم يلزمه العود</w:t>
      </w:r>
    </w:p>
    <w:p>
      <w:pPr>
        <w:pStyle w:val="BookText"/>
        <w:rPr/>
      </w:pPr>
      <w:r>
        <w:rPr>
          <w:rFonts w:ascii="Amiri" w:hAnsi="Amiri" w:eastAsia="Amiri" w:cs="Amiri"/>
          <w:color w:val="111111"/>
          <w:sz w:val="28"/>
          <w:sz w:val="28"/>
          <w:szCs w:val="28"/>
          <w:rtl w:val="true"/>
          <w:lang w:bidi="ar-SA"/>
        </w:rPr>
        <w:t>وإن كان أفضل، وكذا لو عجز عن الصيام فدخل في الإطعام ثم زال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 غائباً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واجد للرقبة، وقال في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يَسْتَطِعْ فَإِطْعَامُ سِتِّينَ مِسْكِينًا</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ويقال للعاجز بالمرض الناجز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مستطيع للصوم، وأيضاً فوصول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يتعلق باختياره غالباً، والاختيار في مقدّمات الشيء، والتسبيب إليه كالاختيار في نفسه، وزوال المرض لا يتعلّق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من يبيعه نسيئة إلى أن يحضر ماله الغائب ففي وجوب الشراء وجهان،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تحقّق الوجدان حينئذ، والعوض موجود في نفسه، ومن احتمال تلف المال قبل وصوله</w:t>
      </w:r>
    </w:p>
    <w:p>
      <w:pPr>
        <w:pStyle w:val="BookText"/>
        <w:rPr/>
      </w:pPr>
      <w:r>
        <w:rPr>
          <w:rFonts w:ascii="Amiri" w:hAnsi="Amiri" w:eastAsia="Amiri" w:cs="Amiri"/>
          <w:color w:val="111111"/>
          <w:sz w:val="28"/>
          <w:sz w:val="28"/>
          <w:szCs w:val="28"/>
          <w:rtl w:val="true"/>
          <w:lang w:bidi="ar-SA"/>
        </w:rPr>
        <w:t>فيتضرر بالدين</w:t>
      </w:r>
    </w:p>
    <w:p>
      <w:pPr>
        <w:pStyle w:val="BookText"/>
        <w:rPr/>
      </w:pPr>
      <w:r>
        <w:rPr>
          <w:rFonts w:ascii="Amiri" w:hAnsi="Amiri" w:eastAsia="Amiri" w:cs="Amiri"/>
          <w:color w:val="111111"/>
          <w:sz w:val="28"/>
          <w:sz w:val="28"/>
          <w:szCs w:val="28"/>
          <w:rtl w:val="true"/>
          <w:lang w:bidi="ar-SA"/>
        </w:rPr>
        <w:t>وأطلق كثير من وجوب الاستدانة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تقييده بالوثوق بسلامته غالباً، وإلا</w:t>
      </w:r>
    </w:p>
    <w:p>
      <w:pPr>
        <w:pStyle w:val="BookText"/>
        <w:rPr/>
      </w:pPr>
      <w:r>
        <w:rPr>
          <w:rFonts w:ascii="IRNazanin" w:hAnsi="IRNazanin" w:eastAsia="IRNazanin"/>
          <w:color w:val="111111"/>
          <w:sz w:val="28"/>
          <w:sz w:val="28"/>
          <w:szCs w:val="28"/>
          <w:rtl w:val="true"/>
          <w:lang w:bidi="fa-IR"/>
        </w:rPr>
        <w:t>فعدمه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عجز عن العتق فدخل في الصوم ثم وجد ما 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لزوم العتق حينئذ مع صدق الوجدان الموجب لعدم إجزاء الصوم أنّه عند الشروع كان فاقداً، ومن ثَمّ شرع البدل، فلو لم يسقط التعبد بالعتق لم يكن الصوم بدلاً، ومتى ثبت السقوط استصحب والخطاب تعلّق بالعتق قبل الشروع في الصوم لا بعده، ولصحيحة محمد بن مسلم عن أحدهما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عمن ظاهر في شعبان ولم يجد ما يعتق،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حتى يصوم شهرين متتابعين، فإن ظاهر وهو مسافر انتظر حتى يقدم، وإن صام</w:t>
      </w:r>
    </w:p>
    <w:p>
      <w:pPr>
        <w:pStyle w:val="BookText"/>
        <w:rPr/>
      </w:pPr>
      <w:r>
        <w:rPr>
          <w:rFonts w:ascii="Amiri" w:hAnsi="Amiri" w:eastAsia="Amiri" w:cs="Amiri"/>
          <w:color w:val="111111"/>
          <w:sz w:val="28"/>
          <w:sz w:val="28"/>
          <w:szCs w:val="28"/>
          <w:rtl w:val="true"/>
          <w:lang w:bidi="ar-SA"/>
        </w:rPr>
        <w:t>وأصاب مالاً فليمض الذي ابتدأ فيه</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أيسر قبل صوم أكثر من شهر وجب العتق</w:t>
      </w:r>
      <w:r>
        <w:rPr>
          <w:rStyle w:val="FootnoteAnchor"/>
          <w:rtl w:val="true"/>
        </w:rPr>
        <w:footnoteReference w:id="679"/>
      </w:r>
      <w:r>
        <w:rPr>
          <w:rFonts w:ascii="Amiri" w:hAnsi="Amiri" w:eastAsia="Amiri" w:cs="Amiri"/>
          <w:color w:val="111111"/>
          <w:sz w:val="28"/>
          <w:sz w:val="28"/>
          <w:szCs w:val="28"/>
          <w:rtl w:val="true"/>
          <w:lang w:bidi="ar-SA"/>
        </w:rPr>
        <w:t xml:space="preserve">لصحيحة محمد بن مسلم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ظاهر ولم ينو العود فأعتق عن الظهار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يجزئه؛</w:t>
      </w:r>
    </w:p>
    <w:p>
      <w:pPr>
        <w:pStyle w:val="BookText"/>
        <w:rPr/>
      </w:pPr>
      <w:r>
        <w:rPr>
          <w:rFonts w:ascii="Amiri" w:hAnsi="Amiri" w:eastAsia="Amiri" w:cs="Amiri"/>
          <w:color w:val="111111"/>
          <w:sz w:val="28"/>
          <w:sz w:val="28"/>
          <w:szCs w:val="28"/>
          <w:rtl w:val="true"/>
          <w:lang w:bidi="ar-SA"/>
        </w:rPr>
        <w:t>لأنّه كفّر قبل الوجوب،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عن أحدهما في رجل صام شهراً من كفّارة الظهار ثمّ وجد نسمة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يعتقها ولا يعتد بالصوم</w:t>
      </w:r>
      <w:r>
        <w:rPr>
          <w:rFonts w:eastAsia="Amiri" w:cs="Amiri" w:ascii="Amiri" w:hAnsi="Amiri"/>
          <w:color w:val="111111"/>
          <w:sz w:val="28"/>
          <w:szCs w:val="28"/>
          <w:rtl w:val="true"/>
          <w:lang w:bidi="ar-SA"/>
        </w:rPr>
        <w:t>»</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محمولة على الأفضل ؛ جمعاً بينها وبين صحيحته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البحث فيما لو عجز عن الصيام فدخل في الإطعام ثُمّ قدر على الصوم، فإنّه</w:t>
      </w:r>
    </w:p>
    <w:p>
      <w:pPr>
        <w:pStyle w:val="BookText"/>
        <w:rPr/>
      </w:pPr>
      <w:r>
        <w:rPr>
          <w:rFonts w:ascii="Amiri" w:hAnsi="Amiri" w:eastAsia="Amiri" w:cs="Amiri"/>
          <w:color w:val="111111"/>
          <w:sz w:val="28"/>
          <w:sz w:val="28"/>
          <w:szCs w:val="28"/>
          <w:rtl w:val="true"/>
          <w:lang w:bidi="ar-SA"/>
        </w:rPr>
        <w:t>لا يجب العود إليه؛ لما ذكر من التعليل، ويزيد هنا أنّه لا معارض من جهة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الشروع في الصوم بدخول جزء من اليوم ولو لحظة، وفي الإطعام بشروع</w:t>
      </w:r>
    </w:p>
    <w:p>
      <w:pPr>
        <w:pStyle w:val="BookText"/>
        <w:rPr/>
      </w:pPr>
      <w:r>
        <w:rPr>
          <w:rFonts w:ascii="Amiri" w:hAnsi="Amiri" w:eastAsia="Amiri" w:cs="Amiri"/>
          <w:color w:val="111111"/>
          <w:sz w:val="28"/>
          <w:sz w:val="28"/>
          <w:szCs w:val="28"/>
          <w:rtl w:val="true"/>
          <w:lang w:bidi="ar-SA"/>
        </w:rPr>
        <w:t>المسكين في الأكل إن كفّر به، وتسليم مد إليه إن كفّر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سقوط الحكم بالعتق على تقدير الشروع في الصوم يصير مراعي بإكمال الصوم على الوجه المأمور به، فلو عرض في أثنائه ما يقطع التتابع ووجدت القدرة على</w:t>
      </w:r>
    </w:p>
    <w:p>
      <w:pPr>
        <w:pStyle w:val="BookText"/>
        <w:rPr/>
      </w:pPr>
      <w:r>
        <w:rPr>
          <w:rFonts w:ascii="IRNazanin" w:hAnsi="IRNazanin" w:eastAsia="IRNazanin"/>
          <w:color w:val="111111"/>
          <w:sz w:val="28"/>
          <w:sz w:val="28"/>
          <w:szCs w:val="28"/>
          <w:rtl w:val="true"/>
          <w:lang w:bidi="fa-IR"/>
        </w:rPr>
        <w:t>له</w:t>
      </w:r>
    </w:p>
    <w:p>
      <w:pPr>
        <w:pStyle w:val="BookText"/>
        <w:rPr/>
      </w:pPr>
      <w:r>
        <w:rPr>
          <w:rFonts w:ascii="Amiri" w:hAnsi="Amiri" w:eastAsia="Amiri" w:cs="Amiri"/>
          <w:color w:val="111111"/>
          <w:sz w:val="28"/>
          <w:sz w:val="28"/>
          <w:szCs w:val="28"/>
          <w:rtl w:val="true"/>
          <w:lang w:bidi="ar-SA"/>
        </w:rPr>
        <w:t xml:space="preserve">العتق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باستمرار السابق أو بأمر متجدد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العتق لوجود المقتضي وهو القدرة عليه قبل أن يشرع في الصوم؛ لأنه ببطلان السابق ينزل منزلة من لم يصم أصلاً بالنسبة إلى الكفّارة، وإن لم يحكم ببطلان صوم الأيام السابقة في نفسها بالنسبة إلى</w:t>
      </w:r>
    </w:p>
    <w:p>
      <w:pPr>
        <w:pStyle w:val="BookText"/>
        <w:rPr/>
      </w:pPr>
      <w:r>
        <w:rPr>
          <w:rFonts w:ascii="Amiri" w:hAnsi="Amiri" w:eastAsia="Amiri" w:cs="Amiri"/>
          <w:color w:val="111111"/>
          <w:sz w:val="28"/>
          <w:sz w:val="28"/>
          <w:szCs w:val="28"/>
          <w:rtl w:val="true"/>
          <w:lang w:bidi="ar-SA"/>
        </w:rPr>
        <w:t>الثواب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فقدت القدرة على الإعتاق قبل أن يجب استئناف الصوم بقي حكم الصوم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ما لو وجد المتيمم الماء بعد الشروع في الصلاة إذا لم نقل بالقطع، فإنّه لا يفسد التيمم، إلّا أن يستمر وجدان الماء إلى أن فرغ من الصلاة وتمكن من استعماله، فإن فقد قبل ذلك بقي التيمم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قطعه الصلاة ولو بسبب محرّم قبل فقدان الماء بطل التيمم حينئذ وکلّف بالطهارة المائية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ظاهر ولم ينو العود فأعتق عن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خلاف في أنّ كفّارة الظهار لا تجب إلا إذا ظاهر وعاد، لكن سببها هل هو الظهار </w:t>
      </w:r>
    </w:p>
    <w:p>
      <w:pPr>
        <w:pStyle w:val="BookText"/>
        <w:rPr/>
      </w:pPr>
      <w:r>
        <w:rPr>
          <w:rFonts w:ascii="Amiri" w:hAnsi="Amiri" w:eastAsia="Amiri" w:cs="Amiri"/>
          <w:color w:val="111111"/>
          <w:sz w:val="28"/>
          <w:sz w:val="28"/>
          <w:szCs w:val="28"/>
          <w:rtl w:val="true"/>
          <w:lang w:bidi="ar-SA"/>
        </w:rPr>
        <w:t>السادسة و لا تدفع الكفّارة إلى الطفل؛ لأنّه لا أهلية له، وتدفع إلى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والعود شرط، أو العود خاصةً، أو السبب مركب منهما ؟ أوجه أظهرها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ذلك ما لو كفّر قبل العود وبعد الظهار، فإن جعلنا السبب هو العود لم تجزئ؛ لأنّ الأصل في الواجب أن لا يقدم على وقته، ولأنّها قبل العود لم تكن واجبةً فلا تقع مجزئة عن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نقله المصنّف عن الشيخ</w:t>
      </w:r>
      <w:r>
        <w:rPr>
          <w:rStyle w:val="FootnoteAnchor"/>
          <w:rtl w:val="true"/>
        </w:rPr>
        <w:footnoteReference w:id="681"/>
      </w:r>
      <w:r>
        <w:rPr>
          <w:rFonts w:ascii="Amiri" w:hAnsi="Amiri" w:eastAsia="Amiri" w:cs="Amiri"/>
          <w:color w:val="111111"/>
          <w:sz w:val="28"/>
          <w:sz w:val="28"/>
          <w:szCs w:val="28"/>
          <w:rtl w:val="true"/>
          <w:lang w:bidi="ar-SA"/>
        </w:rPr>
        <w:t>واستحسنه، ولا نعلم للأصحاب قولاً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جعلنا السبب هو الظهار والعود شرطاً أو جعلنا العود جزء السبب احتمل جواز تقديمها، كما يجوز تقديم الزكاة على الحول مع وجود بعض 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ملك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تمامه بالحول وهو قول لبعض الشافعية</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وافقهم على تعجيل الزكاة على</w:t>
      </w:r>
    </w:p>
    <w:p>
      <w:pPr>
        <w:pStyle w:val="BookText"/>
        <w:rPr/>
      </w:pPr>
      <w:r>
        <w:rPr>
          <w:rFonts w:ascii="IRNazanin" w:hAnsi="IRNazanin" w:eastAsia="IRNazanin"/>
          <w:color w:val="111111"/>
          <w:sz w:val="28"/>
          <w:sz w:val="28"/>
          <w:szCs w:val="28"/>
          <w:rtl w:val="true"/>
          <w:lang w:bidi="fa-IR"/>
        </w:rPr>
        <w:t>الحول</w:t>
      </w:r>
      <w:r>
        <w:rPr>
          <w:rStyle w:val="FootnoteAnchor"/>
          <w:rtl w:val="true"/>
        </w:rPr>
        <w:footnoteReference w:id="683"/>
      </w:r>
      <w:r>
        <w:rPr>
          <w:rFonts w:ascii="Amiri" w:hAnsi="Amiri" w:eastAsia="Amiri" w:cs="Amiri"/>
          <w:color w:val="111111"/>
          <w:sz w:val="28"/>
          <w:sz w:val="28"/>
          <w:szCs w:val="28"/>
          <w:rtl w:val="true"/>
          <w:lang w:bidi="ar-SA"/>
        </w:rPr>
        <w:t>، ووافق هنا على عدم إجزاء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عندنا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تدفع الكفّارة إلى الطفل؛ لأنه لاأهلية له، وتدفع إلى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 الطفل من الكفّارة، فإن كانت العطية بتسليم المد اعتبر تسليمه لوليه؛ لأنّ الطفل محجور عليه في أمواله وقبضها إلا بإذن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دفعه إلى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محتجاً</w:t>
      </w:r>
      <w:r>
        <w:rPr>
          <w:rStyle w:val="FootnoteAnchor"/>
          <w:rtl w:val="true"/>
        </w:rPr>
        <w:footnoteReference w:id="684"/>
      </w:r>
      <w:r>
        <w:rPr>
          <w:rFonts w:ascii="Amiri" w:hAnsi="Amiri" w:eastAsia="Amiri" w:cs="Amiri"/>
          <w:color w:val="111111"/>
          <w:sz w:val="28"/>
          <w:sz w:val="28"/>
          <w:szCs w:val="28"/>
          <w:rtl w:val="true"/>
          <w:lang w:bidi="ar-SA"/>
        </w:rPr>
        <w:t>بالإجماع وعموم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فَإِطْعَامُ سِيِّينَ مِسْكِينًا</w:t>
      </w:r>
      <w:r>
        <w:rPr>
          <w:rFonts w:eastAsia="Amiri" w:cs="Amiri" w:ascii="Amiri" w:hAnsi="Amiri"/>
          <w:color w:val="111111"/>
          <w:sz w:val="28"/>
          <w:szCs w:val="28"/>
          <w:rtl w:val="true"/>
          <w:lang w:bidi="ar-SA"/>
        </w:rPr>
        <w:t>»</w:t>
      </w:r>
      <w:r>
        <w:rPr>
          <w:rStyle w:val="FootnoteAnchor"/>
          <w:rtl w:val="true"/>
        </w:rPr>
        <w:footnoteReference w:id="68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في المبسوط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تدفع الكفّارة إلى الصغير؛ لأنه لا یصحّ منه القبض، لكن تدفع إلى وليه ليصرفها في مصالحه، مثل ما لو كان له دين لم یصحّ قبضه</w:t>
      </w:r>
      <w:r>
        <w:rPr>
          <w:rStyle w:val="FootnoteAnchor"/>
          <w:rtl w:val="true"/>
        </w:rPr>
        <w:footnoteReference w:id="686"/>
      </w:r>
      <w:bookmarkStart w:id="194" w:name="pg10270_80223"/>
    </w:p>
    <w:p>
      <w:pPr>
        <w:pStyle w:val="Heading4"/>
        <w:numPr>
          <w:ilvl w:val="3"/>
          <w:numId w:val="1"/>
        </w:numPr>
        <w:rPr/>
      </w:pPr>
      <w:bookmarkStart w:id="195" w:name="__RefHeading___Toc3860116_1067777946"/>
      <w:bookmarkStart w:id="196" w:name="_Toc72"/>
      <w:bookmarkEnd w:id="194"/>
      <w:bookmarkEnd w:id="195"/>
      <w:r>
        <w:rPr>
          <w:rtl w:val="true"/>
        </w:rPr>
        <w:t>لا تُصرف الكفّارة إلى من تجب نفقته على الدافع</w:t>
      </w:r>
      <w:bookmarkEnd w:id="196"/>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تُصرف الكفّارة إلى من تجب نفقته على الدافع، كالأب والأُمّ والأولاد والزوجة والمملوك، لأنّهم أغنياء بالدافع، وتدفع إلى من سواهم وإن كانوا 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بالإطعام فالأقوى جوازه بدون إذن الولي؛ إذ ليس فيه تسليط للطفل على ماله؛ لأنّ الطعام ملك للدافع لا ينتقل إلى ملك الأكل إلا بالازدراد، فلا يصادف ذلك تصرفه</w:t>
      </w:r>
    </w:p>
    <w:p>
      <w:pPr>
        <w:pStyle w:val="BookText"/>
        <w:rPr/>
      </w:pPr>
      <w:r>
        <w:rPr>
          <w:rFonts w:ascii="Amiri" w:hAnsi="Amiri" w:eastAsia="Amiri" w:cs="Amiri"/>
          <w:color w:val="111111"/>
          <w:sz w:val="28"/>
          <w:sz w:val="28"/>
          <w:szCs w:val="28"/>
          <w:rtl w:val="true"/>
          <w:lang w:bidi="ar-SA"/>
        </w:rPr>
        <w:t>في ماله فكان سائغاً، ولأنّ الغرض من فعل الوليّ إطعامه وهو حاصل، والداف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rPr/>
      </w:pPr>
      <w:r>
        <w:rPr>
          <w:rFonts w:ascii="Amiri" w:hAnsi="Amiri" w:eastAsia="Amiri" w:cs="Amiri"/>
          <w:color w:val="111111"/>
          <w:sz w:val="28"/>
          <w:sz w:val="28"/>
          <w:szCs w:val="28"/>
          <w:rtl w:val="true"/>
          <w:lang w:bidi="ar-SA"/>
        </w:rPr>
        <w:t>محض فينتفي عنه السبيل</w:t>
      </w:r>
      <w:r>
        <w:rPr>
          <w:rStyle w:val="FootnoteAnchor"/>
          <w:rtl w:val="true"/>
        </w:rPr>
        <w:footnoteReference w:id="687"/>
      </w:r>
      <w:r>
        <w:rPr>
          <w:rFonts w:ascii="Amiri" w:hAnsi="Amiri" w:eastAsia="Amiri" w:cs="Amiri"/>
          <w:color w:val="111111"/>
          <w:sz w:val="28"/>
          <w:sz w:val="28"/>
          <w:szCs w:val="28"/>
          <w:rtl w:val="true"/>
          <w:lang w:bidi="ar-SA"/>
        </w:rPr>
        <w:t>، ولعموم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فَإِطْعَامُ سِتِّينَ مِسْكِينًا</w:t>
      </w:r>
      <w:r>
        <w:rPr>
          <w:rFonts w:eastAsia="Amiri" w:cs="Amiri" w:ascii="Amiri" w:hAnsi="Amiri"/>
          <w:color w:val="111111"/>
          <w:sz w:val="28"/>
          <w:szCs w:val="28"/>
          <w:rtl w:val="true"/>
          <w:lang w:bidi="ar-SA"/>
        </w:rPr>
        <w:t>»</w:t>
      </w:r>
      <w:r>
        <w:rPr>
          <w:rStyle w:val="FootnoteAnchor"/>
          <w:rtl w:val="true"/>
        </w:rPr>
        <w:footnoteReference w:id="688"/>
      </w:r>
      <w:r>
        <w:rPr>
          <w:rFonts w:ascii="IRNazanin" w:hAnsi="IRNazanin" w:eastAsia="IRNazanin"/>
          <w:color w:val="111111"/>
          <w:sz w:val="28"/>
          <w:sz w:val="28"/>
          <w:szCs w:val="28"/>
          <w:rtl w:val="true"/>
          <w:lang w:bidi="fa-IR"/>
        </w:rPr>
        <w:t>و یحتمل المنع بدون إذن الولي کالتسلیم؛ لأن مقتضی عموم ولايته توقف التصرف في مصالح الطفل على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والكسوة في معنى التسليم؛ لاقتضائها التمليك، بخلاف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احتمل في الكسوة عدم توقفها على إذن الولى؛ لأنها من ضرورات الطفل، ولا يمكن الولي ملازمتها وهي ملبوسة له فتكون في معنى الإطعام والأصح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تصرف الكفّارة إلى من تجب نفقته على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كانت المسكنة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المتحقّقة هنا بعدم القدرة على مؤونة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في المستحق وكانت نفقة العمودين والزوجة والمملوك واجبة على الأب والابن والزوج والمولى، كان المنفق عليه غنيّاً بذلك، فلا يجوز أن يعطى من الكفّارة؛ لفقد شرط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فرق في عدم جواز الصرف إليهم بين كون الدافع هو من تجب عليه النفقة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 المصنّف الحكم بمن تجب عليه النفقة لفائدة، هي أن عدم جواز دفعه إليهم منها غير مقيد ببذله النفقة لهم وعدمه؛ لأنه بقدرته على الإنفاق عليهم يصيرون بالنسبة إليه بمنزلة الغني، فلا يجوز له صرفها إليهم، حتى لو منعهم من أنفقه وصاروا محتاجين فحكمهم كذلك بالنسبة إليه؛ لأنّ الشرط مقدور عليه من جهته والتقصير واقع منه، فلم يفترق الحال </w:t>
      </w:r>
    </w:p>
    <w:p>
      <w:pPr>
        <w:pStyle w:val="BookText"/>
        <w:rPr/>
      </w:pPr>
      <w:r>
        <w:rPr>
          <w:rFonts w:ascii="Amiri" w:hAnsi="Amiri" w:eastAsia="Amiri" w:cs="Amiri"/>
          <w:color w:val="111111"/>
          <w:sz w:val="28"/>
          <w:sz w:val="28"/>
          <w:szCs w:val="28"/>
          <w:rtl w:val="true"/>
          <w:lang w:bidi="ar-SA"/>
        </w:rPr>
        <w:t>الثامنة • إذا وجبت الكفّارة في الظهار وجب تقديمها على المسيس، سواء كفّر بالإعتاق أو بالصيام أو بالإطعام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بذله النفقة وعدمه بخلاف الأجنبي، فإنّ تحريم دفعه الكفّارة إليهم مشروط ببذل المنفق ما يجب عليه لهم من النفقة ليصيروا أغنياء، فلو لم يكن باذلاً لهم وصاروا محتاجين جاز لغيره أن يعطيهم منها؛ لتحقّق الوصف فيهم، وعدم قدرة ذلك الدافع على تحصيل الشرط؛ لأنه متعلّق بفعل غيره، اللهمّ إلّا أن يكون الدافع حاكماً شرعياً ويمكنه إجبار المنفق عليها، فيكونون حينئذ كالأغنياء بالقوّة بالنسبة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 يحتاج إلى تقييد واجب النفقة بكون المُنفِق غنيّاً؛ لأنه إذا لم يقدر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الإنفاق لا يحكم عليه بوجوب النفقة عليه، والأمر في العبارة مفروض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فرق في الزوجة بين الناشز والمطيعة، وإن كانت الناشز لا تجب نفقتها وهي فقيرة بذلك؛ لقدرتها على تحصيل الغنى بالطاعة فكانت غنيّة بالقوّة كالمكتسب لقوت سنته إذا ترك التكسب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الأب ونحوه من الأقارب مخصوص بنفقة نفسه، فلو كان له زوجة لم يجب على الولد الإنفاق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للولد إعطاء الأب لأجل الإنفاق عليها؟ ظاهر العبارة وغيرها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 المعطى غني بالنظر إلى نفقة نفسه فلا يستحقها، وفقير بالنظر إلى نفقة الزوجة فلا يجب عليه الإنفاق عليها؛ لأنه المفروض،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فقيرةً جاز الدفع إليها كغيرها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أولاد الأب؛ لأنهم إخوة، وفي زوجة الابن أما أولاده فإنهم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وجبت الكفّارة في الظهار وجب تقديمها على المسيس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تقدمت في باب الظهار، وبينا الوجه في ذلك، وفائدة التسوية بين الأمور الثلاثة، وأنّ ابن الجنيد فرّق بينهما فأوجب الكفارة للوطء قبل العتق والصيام دون الإطعام</w:t>
      </w:r>
      <w:r>
        <w:rPr>
          <w:rStyle w:val="FootnoteAnchor"/>
          <w:rtl w:val="true"/>
        </w:rPr>
        <w:footnoteReference w:id="689"/>
      </w:r>
      <w:r>
        <w:rPr>
          <w:rFonts w:ascii="Amiri" w:hAnsi="Amiri" w:eastAsia="Amiri" w:cs="Amiri"/>
          <w:color w:val="111111"/>
          <w:sz w:val="28"/>
          <w:sz w:val="28"/>
          <w:szCs w:val="28"/>
          <w:rtl w:val="true"/>
          <w:lang w:bidi="ar-SA"/>
        </w:rPr>
        <w:t>، فلا وجه لإعادته، كما لا وجه لإعادتها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التاسعة • إذا وجب عليه كفّارة مخيّرة كفّر بجنس واحدٍ، ولا يجوز أن يكفّر بنصفين من جنسين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يجزئ دفع القيمة في الكفّارة؛ لاشتغال الذمة بالخصال، لابقيمتها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وجب عليه كفارة مخيّرة كفّر بجنس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بأن يعتق نصف رقبة مثلاً ويصوم شهراً، أو يصوم شهراً ويطعم ثلاثين مسكيناً، أو يطعم خمسةً ويكسي خمسةً في كفّارة اليمين وإنّما لم يجزئ ذلك؛ لأن الله تعالى أوجب الخصال المخصوصة مفصلةً على ذلك الوجه المرتب أو المخيّر، والتفصيل يقطع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من أعتق نصف رقبةٍ وصام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عليه أنّه حرّر رقبةٌ ولا صام شهرين متتابعين، فلا يكون قد أتى بالمأمور به، فيبقى في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في الخصلة الواحدة التفريق في أصنافها، بأن يطعم بعض المستحقين ويسلّم إلى بعضهم، أو يطعم البعض نوعاً من القوت الغالب والبعض الآخر غيره، أو يكسو بعضهم نوعاً من الثياب والبعض الآخر غيره، ونحو ذلك؛ لصدق اسم الإطعام والكسوة على</w:t>
      </w:r>
    </w:p>
    <w:p>
      <w:pPr>
        <w:pStyle w:val="BookText"/>
        <w:rPr/>
      </w:pPr>
      <w:r>
        <w:rPr>
          <w:rFonts w:ascii="IRNazanin" w:hAnsi="IRNazanin" w:eastAsia="IRNazanin"/>
          <w:color w:val="111111"/>
          <w:sz w:val="28"/>
          <w:sz w:val="28"/>
          <w:szCs w:val="28"/>
          <w:rtl w:val="true"/>
          <w:lang w:bidi="fa-IR"/>
        </w:rPr>
        <w:t>هذا الوجه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يجزئ دفع القيمة في الكفّارة؛ لاشتغال الذمة بالخصال، لا بقيمتها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يصدق على من دفع قيمة الطعام أنه أطعم، ولا من دفع قيمة الكسوة أنّه كسى والأمر متعلّق بعين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إجماع، وإنّما خالف فيه بعض العامة</w:t>
      </w:r>
      <w:r>
        <w:rPr>
          <w:rStyle w:val="FootnoteAnchor"/>
          <w:rtl w:val="true"/>
        </w:rPr>
        <w:footnoteReference w:id="690"/>
      </w:r>
      <w:r>
        <w:rPr>
          <w:rFonts w:ascii="Amiri" w:hAnsi="Amiri" w:eastAsia="Amiri" w:cs="Amiri"/>
          <w:color w:val="111111"/>
          <w:sz w:val="28"/>
          <w:sz w:val="28"/>
          <w:szCs w:val="28"/>
          <w:rtl w:val="true"/>
          <w:lang w:bidi="ar-SA"/>
        </w:rPr>
        <w:t>من حيث اشتراكهما في المقتضي، وهو منفعة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مطلق المنفعة غير مقصودة، بل المنفعة على الوجه المأمور به، وهو منتف في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من قتل في الأشهر الحرم وجب عليه صوم شهرين متتابعين من الأشهر الحُرُم وإن دخل فيهما العيد وأيام التشريق،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رواية زرارة والمشهور عموم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في الأشهر الحُرُم وجب عليه صوم شهرين</w:t>
      </w:r>
      <w:r>
        <w:rPr>
          <w:rFonts w:eastAsia="Amiri" w:cs="Amiri" w:ascii="Amiri" w:hAnsi="Amiri"/>
          <w:color w:val="111111"/>
          <w:sz w:val="28"/>
          <w:szCs w:val="28"/>
          <w:rtl w:val="true"/>
          <w:lang w:bidi="ar-SA"/>
        </w:rPr>
        <w:t>»</w:t>
      </w:r>
      <w:r>
        <w:rPr>
          <w:rStyle w:val="FootnoteAnchor"/>
          <w:rtl w:val="true"/>
        </w:rPr>
        <w:footnoteReference w:id="691"/>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عرفت أنه يشترط تتابع الشهرين المتحقّق بتتابع شهر ويوم، وأنه لو شرع فيه على وجه لا يتم فيه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يتخلّله مانع من الصوم كالعيد ورمضان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الصوم صحيحاً، ولا يجوز صوم العيد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إجماع، لكن استثنى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صورةً واحدةً، وهي ما لو كانت الكفّارة قد وجبت بسبب القتل في أشهر الحرم، فإنّه يجب عليه صوم شهرين منها، وإن دخل فيهما العيد وأيام التشريق فيصومها معها ويحتسبها من العدة</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والمستند رواية زرارة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قتل رجلاً خطاً في الشهر الحرام،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تغلّظ عليه الدية، وعليه عتق رقبة أو صيام شهرين متتابعين من 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يدخل في هذا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العيد وأيام التشريق،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فإنه حق لزمه</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شاذة، وفي طريقها سهل بن زياد</w:t>
      </w:r>
      <w:r>
        <w:rPr>
          <w:rStyle w:val="FootnoteAnchor"/>
          <w:rtl w:val="true"/>
        </w:rPr>
        <w:footnoteReference w:id="694"/>
      </w:r>
      <w:r>
        <w:rPr>
          <w:rFonts w:ascii="Amiri" w:hAnsi="Amiri" w:eastAsia="Amiri" w:cs="Amiri"/>
          <w:color w:val="111111"/>
          <w:sz w:val="28"/>
          <w:sz w:val="28"/>
          <w:szCs w:val="28"/>
          <w:rtl w:val="true"/>
          <w:lang w:bidi="ar-SA"/>
        </w:rPr>
        <w:t>، ومخالفة لغيرها من الأخبار الصحيحة</w:t>
      </w:r>
      <w:r>
        <w:rPr>
          <w:rStyle w:val="FootnoteAnchor"/>
          <w:rtl w:val="true"/>
        </w:rPr>
        <w:footnoteReference w:id="695"/>
      </w:r>
      <w:r>
        <w:rPr>
          <w:rFonts w:ascii="Amiri" w:hAnsi="Amiri" w:eastAsia="Amiri" w:cs="Amiri"/>
          <w:color w:val="111111"/>
          <w:sz w:val="28"/>
          <w:sz w:val="28"/>
          <w:szCs w:val="28"/>
          <w:rtl w:val="true"/>
          <w:lang w:bidi="ar-SA"/>
        </w:rPr>
        <w:t>والإجماع الدال على تحريم صوم العيد مطلقاً فالإعراض عنها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وتضمّنت القتل خطاً فيمكن إلحاق العمد بطريق أولى؛ لأنّ ظاهرها أن ذلك على وجه التغليظ عليه فيكون في العمد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أنّ ذلك على وجه الوجوب كما ذكره المصنّف، لكنّه غير صريح فيه</w:t>
      </w:r>
      <w:r>
        <w:rPr>
          <w:rFonts w:eastAsia="Amiri" w:cs="Amiri" w:ascii="Amiri" w:hAnsi="Amiri"/>
          <w:color w:val="111111"/>
          <w:sz w:val="28"/>
          <w:szCs w:val="28"/>
          <w:rtl w:val="true"/>
          <w:lang w:bidi="ar-SA"/>
        </w:rPr>
        <w:t xml:space="preserve">. </w:t>
      </w:r>
      <w:bookmarkStart w:id="197" w:name="pg10270_80227"/>
    </w:p>
    <w:p>
      <w:pPr>
        <w:pStyle w:val="Heading4"/>
        <w:numPr>
          <w:ilvl w:val="3"/>
          <w:numId w:val="1"/>
        </w:numPr>
        <w:rPr/>
      </w:pPr>
      <w:bookmarkStart w:id="198" w:name="__RefHeading___Toc3860118_1067777946"/>
      <w:bookmarkStart w:id="199" w:name="_Toc73"/>
      <w:bookmarkEnd w:id="197"/>
      <w:bookmarkEnd w:id="198"/>
      <w:r>
        <w:rPr>
          <w:rtl w:val="true"/>
        </w:rPr>
        <w:t>من وجب عليه صوم شهرين فعجز صام ثمانیّة عشر يوماً</w:t>
      </w:r>
      <w:bookmarkEnd w:id="199"/>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وجب عليه صوم شهرين فعجز صام ثمانیّة عشر يوماً، فإن لم يقدر تصدّق عن كلّ يوم بمد من طعام، فإن لم يستطع استغفر الله سبحانه ولا شيء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هذه المسألة تقدمت في كتاب الصوم،</w:t>
      </w:r>
      <w:r>
        <w:rPr>
          <w:rStyle w:val="FootnoteAnchor"/>
          <w:rtl w:val="true"/>
        </w:rPr>
        <w:footnoteReference w:id="696"/>
      </w:r>
      <w:r>
        <w:rPr>
          <w:rFonts w:ascii="IRNazanin" w:hAnsi="IRNazanin" w:eastAsia="IRNazanin"/>
          <w:color w:val="111111"/>
          <w:sz w:val="28"/>
          <w:sz w:val="28"/>
          <w:szCs w:val="28"/>
          <w:rtl w:val="true"/>
          <w:lang w:bidi="fa-IR"/>
        </w:rPr>
        <w:t>وبواسطة ذلك اختلفت نسخ الكتاب بذكرها هنا وعدمه، فكأنّ المصنّف ألحقها في بعض النسخ لمناسبة الباب، وأزالها من بعض حذراً من التكرار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وجب عليه صوم شهرين فعجز صام ثمانیّة عشر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وجوب الشهرين يشمل ما لو وجبا بسبب كفّارة أو نذرٍ وما في معناه، وما لو وجبا في الكفّارة تعييناً أو تخييراً؛ لأنّ الواجب المخيّر بعض أفراد الواجب بقول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الحكم بذلك على إطلاقه إشكال، وفي مستنده ،قصور، لكن العمل بذلك مشهور بين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في الظهار رواية أبي بصير</w:t>
      </w:r>
      <w:r>
        <w:rPr>
          <w:rStyle w:val="FootnoteAnchor"/>
          <w:rtl w:val="true"/>
        </w:rPr>
        <w:footnoteReference w:id="697"/>
      </w:r>
      <w:r>
        <w:rPr>
          <w:rFonts w:ascii="IRNazanin" w:hAnsi="IRNazanin" w:eastAsia="IRNazanin"/>
          <w:color w:val="111111"/>
          <w:sz w:val="28"/>
          <w:sz w:val="28"/>
          <w:szCs w:val="28"/>
          <w:rtl w:val="true"/>
          <w:lang w:bidi="fa-IR"/>
        </w:rPr>
        <w:t>عن أبي عبد الله المتضمنة لوجوب صوم ثمانیّة عشر يوماً لمن عجز عن الخصال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عبد الله بن سنان في الحسن عن أبي عبد الله في رجل وقع على أهله في شهر رمضان فلم يجد ما يتصدق به على ستين مسكيناً،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ما يطيق</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الدروس بين الخبرين بالتخيير بين الأمرين</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اشتراط التتابع في الثمانیّة عشر وجهان، من أصالة البراءة، وكون التتابع واجباً في الأصل فكذا في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والملازمة ممنوعة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وخرج العلّامة وجوب الإتيان بالممكن من الصوم والصدقة وإن تجاوز الثمانیّة عشر ا</w:t>
      </w:r>
      <w:r>
        <w:rPr>
          <w:rStyle w:val="FootnoteAnchor"/>
          <w:rtl w:val="true"/>
        </w:rPr>
        <w:footnoteReference w:id="700"/>
      </w:r>
      <w:r>
        <w:rPr>
          <w:rFonts w:ascii="Amiri" w:hAnsi="Amiri" w:eastAsia="Amiri" w:cs="Amiri"/>
          <w:color w:val="111111"/>
          <w:sz w:val="28"/>
          <w:sz w:val="28"/>
          <w:szCs w:val="28"/>
          <w:rtl w:val="true"/>
          <w:lang w:bidi="ar-SA"/>
        </w:rPr>
        <w:t>عملاً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بأمر فأتوا منه ما استطعتم</w:t>
      </w:r>
      <w:r>
        <w:rPr>
          <w:rFonts w:eastAsia="Amiri" w:cs="Amiri" w:ascii="Amiri" w:hAnsi="Amiri"/>
          <w:color w:val="111111"/>
          <w:sz w:val="28"/>
          <w:szCs w:val="28"/>
          <w:rtl w:val="true"/>
          <w:lang w:bidi="ar-SA"/>
        </w:rPr>
        <w:t>»</w:t>
      </w:r>
      <w:r>
        <w:rPr>
          <w:rStyle w:val="FootnoteAnchor"/>
          <w:rtl w:val="true"/>
        </w:rPr>
        <w:footnoteReference w:id="701"/>
      </w:r>
      <w:r>
        <w:rPr>
          <w:rFonts w:ascii="IRNazanin" w:hAnsi="IRNazanin" w:eastAsia="IRNazanin"/>
          <w:color w:val="111111"/>
          <w:sz w:val="28"/>
          <w:sz w:val="28"/>
          <w:szCs w:val="28"/>
          <w:rtl w:val="true"/>
          <w:lang w:bidi="fa-IR"/>
        </w:rPr>
        <w:t>حتّى لو أمكن الشهران متفرقين وجب مقدّماً على الثمانیّة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الجمع بين ذلك والحكم بالثمانیّة عشر بخصوصه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النظر عن هذا البدل والرجوع إلى العموم</w:t>
      </w:r>
      <w:r>
        <w:rPr>
          <w:rStyle w:val="FootnoteAnchor"/>
          <w:rtl w:val="true"/>
        </w:rPr>
        <w:footnoteReference w:id="702"/>
      </w:r>
      <w:r>
        <w:rPr>
          <w:rFonts w:ascii="IRNazanin" w:hAnsi="IRNazanin" w:eastAsia="IRNazanin"/>
          <w:color w:val="111111"/>
          <w:sz w:val="28"/>
          <w:sz w:val="28"/>
          <w:szCs w:val="28"/>
          <w:rtl w:val="true"/>
          <w:lang w:bidi="fa-IR"/>
        </w:rPr>
        <w:t>أولى من تکلّف هذا الجمع وعلى تقدير ثبوته لا وجه لوجوب الزائد عنه وإن قدر عليه؛ لأنّ قصد</w:t>
      </w:r>
      <w:r>
        <w:rPr>
          <w:rStyle w:val="FootnoteAnchor"/>
          <w:rtl w:val="true"/>
        </w:rPr>
        <w:footnoteReference w:id="703"/>
      </w:r>
      <w:r>
        <w:rPr>
          <w:rFonts w:ascii="Amiri" w:hAnsi="Amiri" w:eastAsia="Amiri" w:cs="Amiri"/>
          <w:color w:val="111111"/>
          <w:sz w:val="28"/>
          <w:sz w:val="28"/>
          <w:szCs w:val="28"/>
          <w:rtl w:val="true"/>
          <w:lang w:bidi="ar-SA"/>
        </w:rPr>
        <w:t>البدلية يوجب ذلك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وفهم بعضهم</w:t>
      </w:r>
      <w:r>
        <w:rPr>
          <w:rStyle w:val="FootnoteAnchor"/>
          <w:rtl w:val="true"/>
        </w:rPr>
        <w:footnoteReference w:id="704"/>
      </w:r>
      <w:r>
        <w:rPr>
          <w:rFonts w:ascii="IRNazanin" w:hAnsi="IRNazanin" w:eastAsia="IRNazanin"/>
          <w:color w:val="111111"/>
          <w:sz w:val="28"/>
          <w:sz w:val="28"/>
          <w:szCs w:val="28"/>
          <w:rtl w:val="true"/>
          <w:lang w:bidi="fa-IR"/>
        </w:rPr>
        <w:t>أن الصدقة بعد العجز عن صوم الثمانیّة عشر عن كل يوم من أيام الستين لا الثمانیّة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يتم على إطلاقه؛ لأنّ من جملة موجب الشهرين الكفّارة المخيّرة كما قررناه، والانتقال فيها إلى صوم الثمانیّة عشر مشروط بالعجز عن الستين، فكيف يرجع إليها بعد الخروج منها ؟ ثمّ على تقدير إرادة ما يعمّ المخيّرة لا وجه للتقييد بالعجز عن الشهرين في الانتقال إلى الثمانیّة عشر لأنها مشروطة بالعجز عن الإطعام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ليس لهذا الحكم مرجع يعتد به حتى يلحظ ويرتب عليه ما يناسبه من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الاستغفار بعد العجز عن جميع ذلك، فهو بدل مشهور بين الأصحاب ومختص بهم، ولا يختص عندهم بكفّارة، بل يجزئ في جميع الكفارات عند العجز عن خصالها، إلا الظهار فقد تقدّم فيه الخلاف</w:t>
      </w:r>
      <w:r>
        <w:rPr>
          <w:rStyle w:val="FootnoteAnchor"/>
          <w:rtl w:val="true"/>
        </w:rPr>
        <w:footnoteReference w:id="705"/>
      </w:r>
      <w:r>
        <w:rPr>
          <w:rFonts w:ascii="Amiri" w:hAnsi="Amiri" w:eastAsia="Amiri" w:cs="Amiri"/>
          <w:color w:val="111111"/>
          <w:sz w:val="28"/>
          <w:sz w:val="28"/>
          <w:szCs w:val="28"/>
          <w:rtl w:val="true"/>
          <w:lang w:bidi="ar-SA"/>
        </w:rPr>
        <w:t>، وقد تقدّم في رواية أبي بصير عن الصادق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عجز عن الكفّارة التي تجب عليه من صوم أو عتق أو صدقة في يمين أو نذر أو قتل أو غير ذلك مما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تجب على صاحبه فيه الكفّارة فالاستغفار له كفّارة ما خلا يمين الظهار</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الطريق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زرارة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شيء من كفارة اليمين إلى أن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عجز عن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فليستغفر الله عزّ وجلّ ولا يعود</w:t>
      </w:r>
      <w:r>
        <w:rPr>
          <w:rFonts w:eastAsia="Amiri" w:cs="Amiri" w:ascii="Amiri" w:hAnsi="Amiri"/>
          <w:color w:val="111111"/>
          <w:sz w:val="28"/>
          <w:szCs w:val="28"/>
          <w:rtl w:val="true"/>
          <w:lang w:bidi="ar-SA"/>
        </w:rPr>
        <w:t>»</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طريقها ابن بكير</w:t>
      </w:r>
      <w:r>
        <w:rPr>
          <w:rStyle w:val="FootnoteAnchor"/>
          <w:rtl w:val="true"/>
        </w:rPr>
        <w:footnoteReference w:id="708"/>
      </w:r>
      <w:r>
        <w:rPr>
          <w:rFonts w:ascii="IRNazanin" w:hAnsi="IRNazanin" w:eastAsia="IRNazanin"/>
          <w:color w:val="111111"/>
          <w:sz w:val="28"/>
          <w:sz w:val="28"/>
          <w:szCs w:val="28"/>
          <w:rtl w:val="true"/>
          <w:lang w:bidi="fa-IR"/>
        </w:rPr>
        <w:t>و ابن فضال</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لم ينقل جعله بدلاً في الكفارات التي سئل عنها النبي صلى الله عليه وسلم في رمضان والظهاره</w:t>
      </w:r>
      <w:r>
        <w:rPr>
          <w:rStyle w:val="FootnoteAnchor"/>
          <w:rtl w:val="true"/>
        </w:rPr>
        <w:footnoteReference w:id="710"/>
      </w:r>
      <w:r>
        <w:rPr>
          <w:rFonts w:ascii="Amiri" w:hAnsi="Amiri" w:eastAsia="Amiri" w:cs="Amiri"/>
          <w:color w:val="111111"/>
          <w:sz w:val="28"/>
          <w:sz w:val="28"/>
          <w:szCs w:val="28"/>
          <w:rtl w:val="true"/>
          <w:lang w:bidi="ar-SA"/>
        </w:rPr>
        <w:t>وغيرهما</w:t>
      </w:r>
      <w:r>
        <w:rPr>
          <w:rStyle w:val="FootnoteAnchor"/>
          <w:rtl w:val="true"/>
        </w:rPr>
        <w:footnoteReference w:id="711"/>
      </w:r>
      <w:r>
        <w:rPr>
          <w:rFonts w:ascii="IRNazanin" w:hAnsi="IRNazanin" w:eastAsia="IRNazanin"/>
          <w:color w:val="111111"/>
          <w:sz w:val="28"/>
          <w:sz w:val="28"/>
          <w:szCs w:val="28"/>
          <w:rtl w:val="true"/>
          <w:lang w:bidi="fa-IR"/>
        </w:rPr>
        <w:t>، وقد تقدّم بعضه</w:t>
      </w:r>
      <w:r>
        <w:rPr>
          <w:rStyle w:val="FootnoteAnchor"/>
          <w:rtl w:val="true"/>
        </w:rPr>
        <w:footnoteReference w:id="712"/>
      </w:r>
      <w:r>
        <w:rPr>
          <w:rFonts w:ascii="IRNazanin" w:hAnsi="IRNazanin" w:eastAsia="IRNazanin"/>
          <w:color w:val="111111"/>
          <w:sz w:val="28"/>
          <w:sz w:val="28"/>
          <w:szCs w:val="28"/>
          <w:rtl w:val="true"/>
          <w:lang w:bidi="fa-IR"/>
        </w:rPr>
        <w:t>، مع اعتراف السائل بالعجز عن الخصال</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ويظهر من الأصحاب الاتفاق على جعل الاستغفار بدلاً في غير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والمعتبر منه مرّة واحدة بالنیّة عن الكفّارة، ضاماً إلى اللفظ الندم على ما فعل، والعزم على عدم العود إن كانت</w:t>
      </w:r>
    </w:p>
    <w:p>
      <w:pPr>
        <w:pStyle w:val="BookText"/>
        <w:rPr/>
      </w:pPr>
      <w:r>
        <w:rPr>
          <w:rFonts w:ascii="Amiri" w:hAnsi="Amiri" w:eastAsia="Amiri" w:cs="Amiri"/>
          <w:color w:val="111111"/>
          <w:sz w:val="28"/>
          <w:sz w:val="28"/>
          <w:szCs w:val="28"/>
          <w:rtl w:val="true"/>
          <w:lang w:bidi="ar-SA"/>
        </w:rPr>
        <w:t>عن ذنب، وإلا كفى مجرّد الاستغفار وكان وجوبه تعبداً أو عن ذنب غيره على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تجددت القدرة على الكفّارة بعده ففي وجوبها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إسحاق بن عمّار</w:t>
      </w:r>
    </w:p>
    <w:p>
      <w:pPr>
        <w:pStyle w:val="BookText"/>
        <w:rPr/>
      </w:pPr>
      <w:r>
        <w:rPr>
          <w:rFonts w:ascii="Amiri" w:hAnsi="Amiri" w:eastAsia="Amiri" w:cs="Amiri"/>
          <w:color w:val="111111"/>
          <w:sz w:val="28"/>
          <w:sz w:val="28"/>
          <w:szCs w:val="28"/>
          <w:rtl w:val="true"/>
          <w:lang w:bidi="ar-SA"/>
        </w:rPr>
        <w:t>في المظاهر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يستغفر ويطأ، فإذا وجد الكفّارة كفّر</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البحث في ذلك کلّه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0270_80231"/>
      <w:bookmarkStart w:id="201" w:name="pg10270_80231"/>
      <w:bookmarkEnd w:id="201"/>
    </w:p>
    <w:p>
      <w:pPr>
        <w:pStyle w:val="BookText"/>
        <w:rPr/>
      </w:pPr>
      <w:bookmarkStart w:id="202" w:name="pg10270_80231"/>
      <w:bookmarkEnd w:id="202"/>
      <w:r>
        <w:rPr>
          <w:rFonts w:ascii="Amiri" w:hAnsi="Amiri" w:eastAsia="Amiri" w:cs="Amiri"/>
          <w:color w:val="111111"/>
          <w:sz w:val="28"/>
          <w:sz w:val="28"/>
          <w:szCs w:val="28"/>
          <w:rtl w:val="true"/>
          <w:lang w:bidi="ar-SA"/>
        </w:rPr>
        <w:t>كتاب الإيلاء</w:t>
      </w:r>
    </w:p>
    <w:p>
      <w:pPr>
        <w:pStyle w:val="BookText"/>
        <w:rPr/>
      </w:pPr>
      <w:r>
        <w:rPr>
          <w:rFonts w:ascii="Amiri" w:hAnsi="Amiri" w:eastAsia="Amiri" w:cs="Amiri"/>
          <w:color w:val="111111"/>
          <w:sz w:val="28"/>
          <w:sz w:val="28"/>
          <w:szCs w:val="28"/>
          <w:rtl w:val="true"/>
          <w:lang w:bidi="ar-SA"/>
        </w:rPr>
        <w:t>و النظر في أمور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 في الصیغة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ينعقد الإيلاء إلا بأسماء الله سبحانه مع التلفظ، ويقع بکلّ لسان مع القصد إليه</w:t>
      </w:r>
      <w:r>
        <w:rPr>
          <w:rFonts w:eastAsia="IRNazanin" w:cs="IRNazanin"/>
          <w:color w:val="111111"/>
          <w:sz w:val="28"/>
          <w:szCs w:val="28"/>
          <w:rtl w:val="true"/>
          <w:lang w:bidi="fa-IR"/>
        </w:rPr>
        <w:t>.</w:t>
      </w:r>
    </w:p>
    <w:p>
      <w:pPr>
        <w:pStyle w:val="Heading2"/>
        <w:numPr>
          <w:ilvl w:val="1"/>
          <w:numId w:val="1"/>
        </w:numPr>
        <w:rPr/>
      </w:pPr>
      <w:bookmarkStart w:id="203" w:name="__RefHeading___Toc3860120_1067777946"/>
      <w:bookmarkStart w:id="204" w:name="_Toc74"/>
      <w:bookmarkEnd w:id="203"/>
      <w:r>
        <w:rPr>
          <w:rtl w:val="true"/>
        </w:rPr>
        <w:t>كتاب الإيلاء</w:t>
      </w:r>
      <w:bookmarkEnd w:id="204"/>
    </w:p>
    <w:p>
      <w:pPr>
        <w:pStyle w:val="Heading3"/>
        <w:numPr>
          <w:ilvl w:val="2"/>
          <w:numId w:val="1"/>
        </w:numPr>
        <w:rPr/>
      </w:pPr>
      <w:bookmarkStart w:id="205" w:name="__RefHeading___Toc3860122_1067777946"/>
      <w:bookmarkStart w:id="206" w:name="_Toc75"/>
      <w:bookmarkEnd w:id="205"/>
      <w:r>
        <w:rPr>
          <w:rtl w:val="true"/>
        </w:rPr>
        <w:t>الأمر الأوّل في الصیغة</w:t>
      </w:r>
      <w:bookmarkEnd w:id="206"/>
    </w:p>
    <w:p>
      <w:pPr>
        <w:pStyle w:val="BookText"/>
        <w:rPr/>
      </w:pPr>
      <w:r>
        <w:rPr>
          <w:rFonts w:ascii="Amiri" w:hAnsi="Amiri" w:eastAsia="Amiri" w:cs="Amiri"/>
          <w:color w:val="111111"/>
          <w:sz w:val="28"/>
          <w:sz w:val="28"/>
          <w:szCs w:val="28"/>
          <w:rtl w:val="true"/>
          <w:lang w:bidi="ar-SA"/>
        </w:rPr>
        <w:t>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آلى يؤلي إيلاء وأليّةً، والجمع ألايا، مثل عطية وعطايا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ائتلى يأتلي ائتلاء، ومنه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يَأْتَلِ أُولُوا الْفَضلِ مِنكُمْ وَالسَّعَةِ أَن يُؤْتُوا أُولِي الْقُرْبَى</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الزوج الدائم على ترك وطء زوجته المدخول بها قبلاً، مطلقاً أو زيادةً عن أربعة أشهر للإضرار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باب تسمية الجزئي باسم الكلّي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فيه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يُؤْلُونَ مِن نِسَآبِهِمْ</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طلاقاً في الجاهلية كالظهار، فغير الشرع حكمه، وجعل له أحكاماً خاصةً إن جمع شرائطه، وإلا فهو يمين يعتبر فيه ما يعتبر في اليمين ويلحقه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ينعقد الإيلاء إلا بأسماء الله سبحانه مع التلفّظ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واللفظ الصريح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أدخلت فرجي في فرجك أو يأتي باللفظة</w:t>
      </w:r>
    </w:p>
    <w:p>
      <w:pPr>
        <w:pStyle w:val="BookText"/>
        <w:rPr/>
      </w:pPr>
      <w:r>
        <w:rPr>
          <w:rFonts w:ascii="Amiri" w:hAnsi="Amiri" w:eastAsia="Amiri" w:cs="Amiri"/>
          <w:color w:val="111111"/>
          <w:sz w:val="28"/>
          <w:sz w:val="28"/>
          <w:szCs w:val="28"/>
          <w:rtl w:val="true"/>
          <w:lang w:bidi="ar-SA"/>
        </w:rPr>
        <w:t>المختصة بهذا الفعل، أو ما يدلّ عليها صريحاً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والمحتمل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جامعتكِ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وطئتكِ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قصد الإيلاء صح ولا يقع مع تجرّده عن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جمع رأسي ورأسكِ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ساقفتكِ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فى الخلاف لا يقع به إيلاء، وقال في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 مع القصد وهو حسن</w:t>
      </w:r>
    </w:p>
    <w:p>
      <w:pPr>
        <w:pStyle w:val="BookText"/>
        <w:rPr/>
      </w:pPr>
      <w:r>
        <w:rPr>
          <w:rFonts w:ascii="Amiri" w:hAnsi="Amiri" w:eastAsia="Amiri" w:cs="Amiri"/>
          <w:color w:val="111111"/>
          <w:sz w:val="28"/>
          <w:sz w:val="28"/>
          <w:szCs w:val="28"/>
          <w:rtl w:val="true"/>
          <w:lang w:bidi="ar-SA"/>
        </w:rPr>
        <w:t>لمّا كان الإيلاء ضرباً من مطلق اليمين لم ينعقد إلا بالله تعالى أو أسمائه الخاصة، على ما سيأتي تفصيله إن شاء الله تعالى في اليمين</w:t>
      </w:r>
      <w:r>
        <w:rPr>
          <w:rStyle w:val="FootnoteAnchor"/>
          <w:rtl w:val="true"/>
        </w:rPr>
        <w:footnoteReference w:id="717"/>
      </w:r>
      <w:r>
        <w:rPr>
          <w:rFonts w:ascii="Amiri" w:hAnsi="Amiri" w:eastAsia="Amiri" w:cs="Amiri"/>
          <w:color w:val="111111"/>
          <w:sz w:val="28"/>
          <w:sz w:val="28"/>
          <w:szCs w:val="28"/>
          <w:rtl w:val="true"/>
          <w:lang w:bidi="ar-SA"/>
        </w:rPr>
        <w:t xml:space="preserve">، وقد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حالفاً فليحلف بالله أو فليصمت</w:t>
      </w:r>
      <w:r>
        <w:rPr>
          <w:rFonts w:eastAsia="Amiri" w:cs="Amiri" w:ascii="Amiri" w:hAnsi="Amiri"/>
          <w:color w:val="111111"/>
          <w:sz w:val="28"/>
          <w:szCs w:val="28"/>
          <w:rtl w:val="true"/>
          <w:lang w:bidi="ar-SA"/>
        </w:rPr>
        <w:t>»</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تكفي نيته، بل يعتبر التلفظ به بأي لغة اتفق؛ لاشتراك اللغات في إفادة المعنى المقصود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متعلّق الإيلاء إن كان صريحاً في المراد منه لغةً وعرفاً كإيلاج الفرج في الفرج، أو عرفاً كاللفظة المشهورة في ذلك، فلا شبهة في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بغير الصريح فيه كالجماع والوطء الموضوعين لغةٌ لغيره</w:t>
      </w:r>
      <w:r>
        <w:rPr>
          <w:rStyle w:val="FootnoteAnchor"/>
          <w:rtl w:val="true"/>
        </w:rPr>
        <w:footnoteReference w:id="719"/>
      </w:r>
      <w:r>
        <w:rPr>
          <w:rFonts w:ascii="Amiri" w:hAnsi="Amiri" w:eastAsia="Amiri" w:cs="Amiri"/>
          <w:color w:val="111111"/>
          <w:sz w:val="28"/>
          <w:sz w:val="28"/>
          <w:szCs w:val="28"/>
          <w:rtl w:val="true"/>
          <w:lang w:bidi="ar-SA"/>
        </w:rPr>
        <w:t>، وعبّر بهما عنه عرفاً عدولاً عما يستهجن التصريح به إلى بعض لوازمه، فإن قصد به الإيلاء وقع أيضاً بغير خلاف، كما لا إشكال في عدم وقوعه لو قصد بهما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أطلق ففي وقوعه نظراً إلى صراحتهما عرفاً، أو عدمه نظراً إلى احتمالهما غيره من حيث عمومهما لغةً قولان، أصحهما الوقوع كالصريح</w:t>
      </w:r>
      <w:r>
        <w:rPr>
          <w:rStyle w:val="FootnoteAnchor"/>
          <w:rtl w:val="true"/>
        </w:rPr>
        <w:footnoteReference w:id="720"/>
      </w:r>
      <w:r>
        <w:rPr>
          <w:rFonts w:ascii="Amiri" w:hAnsi="Amiri" w:eastAsia="Amiri" w:cs="Amiri"/>
          <w:color w:val="111111"/>
          <w:sz w:val="28"/>
          <w:sz w:val="28"/>
          <w:szCs w:val="28"/>
          <w:rtl w:val="true"/>
          <w:lang w:bidi="ar-SA"/>
        </w:rPr>
        <w:t xml:space="preserve">؛ وفي الأخبار تصريح بالاكتفاء بلفظ الجماع، وفي صحيحة أبي بصير عن الصادق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الإيلاء ما هو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يقول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أجامعكِ</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xml:space="preserve">الحديث، ولم يقيد بالقصد الزائد على اللفظ الصريح، فإنه معتبر في جميع الصيغ، وأجاب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به نفس الماهية فيكون حقيقةً فيه، ولا ينافيه دخول غيره فيها بدليل خارج أو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جمع رأسي ورأسك مِخَدّةً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بكسر الميم وفتح الخاء، سمّيت بذلك؛ لأنّها موضع الخدّ عند النوم</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ساقفتك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اجتمعت أنا وأنتِ تحت 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وقوع الإيلاء بهما مع قصده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الشيخ في الخلاف</w:t>
      </w:r>
      <w:r>
        <w:rPr>
          <w:rStyle w:val="FootnoteAnchor"/>
          <w:rtl w:val="true"/>
        </w:rPr>
        <w:footnoteReference w:id="723"/>
      </w:r>
      <w:r>
        <w:rPr>
          <w:rFonts w:ascii="Amiri" w:hAnsi="Amiri" w:eastAsia="Amiri" w:cs="Amiri"/>
          <w:color w:val="111111"/>
          <w:sz w:val="28"/>
          <w:sz w:val="28"/>
          <w:szCs w:val="28"/>
          <w:rtl w:val="true"/>
          <w:lang w:bidi="ar-SA"/>
        </w:rPr>
        <w:t>وابن إدريس</w:t>
      </w:r>
      <w:r>
        <w:rPr>
          <w:rStyle w:val="FootnoteAnchor"/>
          <w:rtl w:val="true"/>
        </w:rPr>
        <w:footnoteReference w:id="724"/>
      </w:r>
      <w:r>
        <w:rPr>
          <w:rFonts w:ascii="Amiri" w:hAnsi="Amiri" w:eastAsia="Amiri" w:cs="Amiri"/>
          <w:color w:val="111111"/>
          <w:sz w:val="28"/>
          <w:sz w:val="28"/>
          <w:szCs w:val="28"/>
          <w:rtl w:val="true"/>
          <w:lang w:bidi="ar-SA"/>
        </w:rPr>
        <w:t>، والعلامة</w:t>
      </w:r>
      <w:r>
        <w:rPr>
          <w:rStyle w:val="FootnoteAnchor"/>
          <w:rtl w:val="true"/>
        </w:rPr>
        <w:footnoteReference w:id="725"/>
      </w:r>
      <w:r>
        <w:rPr>
          <w:rFonts w:ascii="Amiri" w:hAnsi="Amiri" w:eastAsia="Amiri" w:cs="Amiri"/>
          <w:color w:val="111111"/>
          <w:sz w:val="28"/>
          <w:sz w:val="28"/>
          <w:szCs w:val="28"/>
          <w:rtl w:val="true"/>
          <w:lang w:bidi="ar-SA"/>
        </w:rPr>
        <w:t>؛ لاحتمال هذه الألفاظ لغيره احتمالاً ظاهراً، فلا يزول بها الحلّ المتحقّق ولا يرتفع بها أصالته، كما لا يقع الطلاق بالكنايات وإن قصده بها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المبسوط</w:t>
      </w:r>
      <w:r>
        <w:rPr>
          <w:rStyle w:val="FootnoteAnchor"/>
          <w:rtl w:val="true"/>
        </w:rPr>
        <w:footnoteReference w:id="726"/>
      </w:r>
      <w:r>
        <w:rPr>
          <w:rFonts w:ascii="Amiri" w:hAnsi="Amiri" w:eastAsia="Amiri" w:cs="Amiri"/>
          <w:color w:val="111111"/>
          <w:sz w:val="28"/>
          <w:sz w:val="28"/>
          <w:szCs w:val="28"/>
          <w:rtl w:val="true"/>
          <w:lang w:bidi="ar-SA"/>
        </w:rPr>
        <w:t>، واستحسنه المصنّف والعلّامة في المختلف</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لحسنة بريد بن معاوية عن الصادق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الى أن لا يقرب امرأته ولا يمسها ولا يجتمع رأسه ورأسها فهو في سعة ما لم تمض أربعة أشهر</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ولأنّه لفظ استعمل عرفاً فيما نواه، فيحمل عليه كغيره من الألفاظ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جامعتك في دبركِ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مؤلياً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نظر؛ لأنّ الرواية ليست صريحة؛ لاحتمال كون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للجمع، فيتعلّق الإيلاء بالجميع، فلا يلزم تعلّقه بكلّ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وتوقفه على النیّة يدلّ على كونه كناية، والكنايات</w:t>
      </w:r>
    </w:p>
    <w:p>
      <w:pPr>
        <w:pStyle w:val="BookText"/>
        <w:rPr/>
      </w:pPr>
      <w:r>
        <w:rPr>
          <w:rFonts w:ascii="IRNazanin" w:hAnsi="IRNazanin" w:eastAsia="IRNazanin"/>
          <w:color w:val="111111"/>
          <w:sz w:val="28"/>
          <w:sz w:val="28"/>
          <w:szCs w:val="28"/>
          <w:rtl w:val="true"/>
          <w:lang w:bidi="fa-IR"/>
        </w:rPr>
        <w:t>لا تكفي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هذين من بين الكنايات يحتاج إلى دليل صالح، وهو منتف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بين هذه الألفاظ وغيرها من الصريح حيث افتقرت إلى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القول بالوقوع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توقف الصريح على القصد أيضاً أنّ هذه النیّة أمر زائد على القصد المعتبر في کلّ لفظ، بمعنى أنه لا يحكم عليه بما يوقعه بالكناية إلا أن يصرح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الإيلاء ونحوه بخلاف الصريح، فإنّه يحكم عليه بالوقوع ظاهراً وإن لم يظهر قصده، حملاً للفظ العقلاء على مدلوله الظاهر وقصده إليه، حتى لو فرض دعواه عدم قصده إلى الصريح لا يسمع ظاهراً، ويحكم عليه بالوقوع، وإن كان فيما بينه وبين الله تعالى</w:t>
      </w:r>
    </w:p>
    <w:p>
      <w:pPr>
        <w:pStyle w:val="BookText"/>
        <w:rPr/>
      </w:pPr>
      <w:r>
        <w:rPr>
          <w:rFonts w:ascii="Amiri" w:hAnsi="Amiri" w:eastAsia="Amiri" w:cs="Amiri"/>
          <w:color w:val="111111"/>
          <w:sz w:val="28"/>
          <w:sz w:val="28"/>
          <w:szCs w:val="28"/>
          <w:rtl w:val="true"/>
          <w:lang w:bidi="ar-SA"/>
        </w:rPr>
        <w:t>غير واقع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أنه حيث لا يقع الإيلاء بهذه الألفاظ ونحوها يقع اليمين على طبق ما قصده منها وإن لم يوافق الظاهر منها؛ لأنّ اليمين تتعيّن بالنیّة حيث تقع الألفاظ محتملةً، وتتخصص وتتقيد حيث تكون عامةً أو مطلقةً، فإن قصد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جمع رأسي ورأسك مخدّةً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الجماع وقع يميناً وإن لم يقع إيلاء، فيلحقه حكم اليمين، وإن قصد به كونهما مجتمعين على مخدة واحدة انعقد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القول في غيره من الألفاظ حيث لا يقع إيلاء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فيعتبر حينئذٍ في اليمين الأولوية أو تساوي الطرفين، كما سيأتي تفصيله إن شاء الله تعالى</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جامعتك فى دبرك، لم يكن مؤلياً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الجماع على هذا الوجه لا حق للزوجة فيه، ولا ينصرف إليه الإطلاق، بل هو</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إحسان إليها لا إضرار، فلا يقع به الإيلاء، بل يقع يميناً مطلقاً، فيلحقه حكمه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تجريد الإيلاء عن الشرط؟ للشيخ قولان أظهرهما اشتراطه</w:t>
      </w:r>
    </w:p>
    <w:p>
      <w:pPr>
        <w:pStyle w:val="BookText"/>
        <w:rPr/>
      </w:pPr>
      <w:r>
        <w:rPr>
          <w:rFonts w:ascii="Amiri" w:hAnsi="Amiri" w:eastAsia="Amiri" w:cs="Amiri"/>
          <w:color w:val="111111"/>
          <w:sz w:val="28"/>
          <w:sz w:val="28"/>
          <w:szCs w:val="28"/>
          <w:rtl w:val="true"/>
          <w:lang w:bidi="ar-SA"/>
        </w:rPr>
        <w:t>فلو علقه بشرط أو زمانٍ متوقع كان لاغياً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يشترط تجريد الايلاء عن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باشتراط تجريده عن الشرط والصفة للشيخ في الخلاف</w:t>
      </w:r>
      <w:r>
        <w:rPr>
          <w:rStyle w:val="FootnoteAnchor"/>
          <w:rtl w:val="true"/>
        </w:rPr>
        <w:footnoteReference w:id="730"/>
      </w:r>
      <w:r>
        <w:rPr>
          <w:rFonts w:ascii="IRNazanin" w:hAnsi="IRNazanin" w:eastAsia="IRNazanin"/>
          <w:color w:val="111111"/>
          <w:sz w:val="28"/>
          <w:sz w:val="28"/>
          <w:szCs w:val="28"/>
          <w:rtl w:val="true"/>
          <w:lang w:bidi="fa-IR"/>
        </w:rPr>
        <w:t>وأتباعه</w:t>
      </w:r>
      <w:r>
        <w:rPr>
          <w:rStyle w:val="FootnoteAnchor"/>
          <w:rtl w:val="true"/>
        </w:rPr>
        <w:footnoteReference w:id="731"/>
      </w:r>
      <w:r>
        <w:rPr>
          <w:rFonts w:ascii="Amiri" w:hAnsi="Amiri" w:eastAsia="Amiri" w:cs="Amiri"/>
          <w:color w:val="111111"/>
          <w:sz w:val="28"/>
          <w:sz w:val="28"/>
          <w:szCs w:val="28"/>
          <w:rtl w:val="true"/>
          <w:lang w:bidi="ar-SA"/>
        </w:rPr>
        <w:t>وابن إدريس</w:t>
      </w:r>
      <w:r>
        <w:rPr>
          <w:rStyle w:val="FootnoteAnchor"/>
          <w:rtl w:val="true"/>
        </w:rPr>
        <w:footnoteReference w:id="732"/>
      </w:r>
      <w:r>
        <w:rPr>
          <w:rFonts w:ascii="Amiri" w:hAnsi="Amiri" w:eastAsia="Amiri" w:cs="Amiri"/>
          <w:color w:val="111111"/>
          <w:sz w:val="28"/>
          <w:sz w:val="28"/>
          <w:szCs w:val="28"/>
          <w:rtl w:val="true"/>
          <w:lang w:bidi="ar-SA"/>
        </w:rPr>
        <w:t>والمصنّف وأحد قولى العلامة</w:t>
      </w:r>
      <w:r>
        <w:rPr>
          <w:rStyle w:val="FootnoteAnchor"/>
          <w:rtl w:val="true"/>
        </w:rPr>
        <w:footnoteReference w:id="733"/>
      </w:r>
      <w:r>
        <w:rPr>
          <w:rFonts w:ascii="Amiri" w:hAnsi="Amiri" w:eastAsia="Amiri" w:cs="Amiri"/>
          <w:color w:val="111111"/>
          <w:sz w:val="28"/>
          <w:sz w:val="28"/>
          <w:szCs w:val="28"/>
          <w:rtl w:val="true"/>
          <w:lang w:bidi="ar-SA"/>
        </w:rPr>
        <w:t xml:space="preserve">لأصالة عدم وقوعه في محل الخلاف واحتج في الخلاف عليه بإجماع الفرقة، مع أنه قال في المبسوط بوقوعه معلقاً بالشرط والصفة </w:t>
      </w:r>
      <w:r>
        <w:rPr>
          <w:rStyle w:val="FootnoteAnchor"/>
          <w:rtl w:val="true"/>
        </w:rPr>
        <w:footnoteReference w:id="734"/>
      </w:r>
      <w:r>
        <w:rPr>
          <w:rFonts w:ascii="Amiri" w:hAnsi="Amiri" w:eastAsia="Amiri" w:cs="Amiri"/>
          <w:color w:val="111111"/>
          <w:sz w:val="28"/>
          <w:sz w:val="28"/>
          <w:szCs w:val="28"/>
          <w:rtl w:val="true"/>
          <w:lang w:bidi="ar-SA"/>
        </w:rPr>
        <w:t>، وقواه في المختلف؛ لعموم القرآن</w:t>
      </w:r>
      <w:r>
        <w:rPr>
          <w:rStyle w:val="FootnoteAnchor"/>
          <w:rtl w:val="true"/>
        </w:rPr>
        <w:footnoteReference w:id="735"/>
      </w:r>
      <w:r>
        <w:rPr>
          <w:rFonts w:ascii="IRNazanin" w:hAnsi="IRNazanin" w:eastAsia="IRNazanin"/>
          <w:color w:val="111111"/>
          <w:sz w:val="28"/>
          <w:sz w:val="28"/>
          <w:szCs w:val="28"/>
          <w:rtl w:val="true"/>
          <w:lang w:bidi="fa-IR"/>
        </w:rPr>
        <w:t>السالم عن المعارض</w:t>
      </w:r>
      <w:r>
        <w:rPr>
          <w:rStyle w:val="FootnoteAnchor"/>
          <w:rtl w:val="true"/>
        </w:rPr>
        <w:footnoteReference w:id="736"/>
      </w:r>
      <w:r>
        <w:rPr>
          <w:rFonts w:ascii="Amiri" w:hAnsi="Amiri" w:eastAsia="Amiri" w:cs="Amiri"/>
          <w:color w:val="111111"/>
          <w:sz w:val="28"/>
          <w:sz w:val="28"/>
          <w:szCs w:val="28"/>
          <w:rtl w:val="true"/>
          <w:lang w:bidi="ar-SA"/>
        </w:rPr>
        <w:t>، وهو قاطع للأصل الذي ادعوه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قوّة هذا القول، وقد تقدّم مثله في الظهار</w:t>
      </w:r>
      <w:r>
        <w:rPr>
          <w:rStyle w:val="FootnoteAnchor"/>
          <w:rtl w:val="true"/>
        </w:rPr>
        <w:footnoteReference w:id="737"/>
      </w:r>
      <w:r>
        <w:rPr>
          <w:rFonts w:ascii="Amiri" w:hAnsi="Amiri" w:eastAsia="Amiri" w:cs="Amiri"/>
          <w:color w:val="111111"/>
          <w:sz w:val="28"/>
          <w:sz w:val="28"/>
          <w:szCs w:val="28"/>
          <w:rtl w:val="true"/>
          <w:lang w:bidi="ar-SA"/>
        </w:rPr>
        <w:t>، إلا أنه هناك منصوص الوقوع، فلذا حكموا به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 إطباقهم على عدم وقوع الطلاق معلّقاً مع أنّ هذا الدليل العام السالم عن المعارض وارد فيه حرفاً بحرف والظاهر أنّ الحامل للمتأخرين على عدم القول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فهموه من أنه إجماع وهو حجّة برأسه بخلاف ما هنا، فإنّ الشيخ وإن ادعى الإجماع إلا أن فساد هذه الدعوى واضح فسهل القول بوقوعه؛ نظراً إلى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في المبسوط صرّح بأنّ المانع له من القول بوقوع الطلاق معلّقاً على الشرط إنّما هو إجماع الفرقة</w:t>
      </w:r>
      <w:r>
        <w:rPr>
          <w:rStyle w:val="FootnoteAnchor"/>
          <w:rtl w:val="true"/>
        </w:rPr>
        <w:footnoteReference w:id="738"/>
      </w:r>
      <w:r>
        <w:rPr>
          <w:rFonts w:ascii="Amiri" w:hAnsi="Amiri" w:eastAsia="Amiri" w:cs="Amiri"/>
          <w:color w:val="111111"/>
          <w:sz w:val="28"/>
          <w:sz w:val="28"/>
          <w:szCs w:val="28"/>
          <w:rtl w:val="true"/>
          <w:lang w:bidi="ar-SA"/>
        </w:rPr>
        <w:t>، وإلا كان الدليل يدلّ عليه كما يدلّ على وقوع الإيلاء والظهار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حلف بالعتاق أن لا يطأها أو بالصدقة أو التحريم لم يقع ولو قصد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أصبتكِ فعلي كذا، لم يكن إيلاء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آلى من زوجةٍ وقال للأخرى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شركتكِ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يقع بالثانیّة ولو نواه؛ إذ لا إيلاء إلا مع النطق باسم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حلف بالعتاق أن لا يطأها أو بالصدقة أو التحريم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الأصحاب أنّ الإيلاء يختص باليمين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من أنه يمين خاص ولا يمين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ووافقنا على ذلك كثير من العامة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به، بل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وطئتكِ فعبدي حرّ، أو مالي صدقة، أو حلائلي 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مؤلياً </w:t>
      </w:r>
      <w:r>
        <w:rPr>
          <w:rStyle w:val="FootnoteAnchor"/>
          <w:rtl w:val="true"/>
        </w:rPr>
        <w:footnoteReference w:id="740"/>
      </w:r>
      <w:r>
        <w:rPr>
          <w:rFonts w:ascii="Amiri" w:hAnsi="Amiri" w:eastAsia="Amiri" w:cs="Amiri"/>
          <w:color w:val="111111"/>
          <w:sz w:val="28"/>
          <w:sz w:val="28"/>
          <w:szCs w:val="28"/>
          <w:rtl w:val="true"/>
          <w:lang w:bidi="ar-SA"/>
        </w:rPr>
        <w:t>، فيلزمه مع الوطء كفارة الإيلاء أو الوفاء بالملتزم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أصبتكِ فعلي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أولى بعدم الوقوع؛ لأنه كناية لا يقع به عندنا و إن ذكر اسم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آلى من زوجةٍ وقال للأخرى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شركتك معها لم يقع بالثانیّة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آلى من زوجته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أجامعكِ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ثمّ قال لامرأةٍ له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أشركتكِ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شريكتها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ونوى بذلك الإيلاء عنها لم يصر مؤلياً من الثانیّة؛ لأنّ</w:t>
      </w:r>
    </w:p>
    <w:p>
      <w:pPr>
        <w:pStyle w:val="BookText"/>
        <w:rPr/>
      </w:pPr>
      <w:r>
        <w:rPr>
          <w:rFonts w:ascii="Amiri" w:hAnsi="Amiri" w:eastAsia="Amiri" w:cs="Amiri"/>
          <w:color w:val="111111"/>
          <w:sz w:val="28"/>
          <w:sz w:val="28"/>
          <w:szCs w:val="28"/>
          <w:rtl w:val="true"/>
          <w:lang w:bidi="ar-SA"/>
        </w:rPr>
        <w:t>عماد الإيلاء ذكر اسم الله تعالى فلا ينعقد بالكناية في المحلوف به وإن قلنا بوقوعه بالكناية في المحلوف عليه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الموجب لذكر المسألة للتنبيه على الفرق بين الأمرين، فإن الكنايات عن الوطء ممّا يحسن، فتوسّع فيه على الخلاف السابق</w:t>
      </w:r>
      <w:r>
        <w:rPr>
          <w:rStyle w:val="FootnoteAnchor"/>
          <w:rtl w:val="true"/>
        </w:rPr>
        <w:footnoteReference w:id="741"/>
      </w:r>
      <w:r>
        <w:rPr>
          <w:rFonts w:ascii="Amiri" w:hAnsi="Amiri" w:eastAsia="Amiri" w:cs="Amiri"/>
          <w:color w:val="111111"/>
          <w:sz w:val="28"/>
          <w:sz w:val="28"/>
          <w:szCs w:val="28"/>
          <w:rtl w:val="true"/>
          <w:lang w:bidi="ar-SA"/>
        </w:rPr>
        <w:t>، بخلاف الكناية عن اسم الله تعالى فإنّ التصريح باسمه عماد اليمين حتى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لأفعلن كذا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تنعقد يمينه</w:t>
      </w:r>
      <w:r>
        <w:rPr>
          <w:rFonts w:eastAsia="Amiri" w:cs="Amiri" w:ascii="Amiri" w:hAnsi="Amiri"/>
          <w:color w:val="111111"/>
          <w:sz w:val="28"/>
          <w:szCs w:val="28"/>
          <w:rtl w:val="true"/>
          <w:lang w:bidi="ar-SA"/>
        </w:rPr>
        <w:t xml:space="preserve">. </w:t>
      </w:r>
      <w:bookmarkStart w:id="207" w:name="pg10270_80237"/>
    </w:p>
    <w:p>
      <w:pPr>
        <w:pStyle w:val="BookText"/>
        <w:rPr/>
      </w:pPr>
      <w:bookmarkEnd w:id="2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يقع إلا في إضرار، فلو حلف لصلاح اللبن أو لتدبير في مرض لم يكن له حكم الإيلاء، وكان كالأيمان</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3860124_1067777946"/>
      <w:bookmarkStart w:id="209" w:name="_Toc76"/>
      <w:bookmarkEnd w:id="208"/>
      <w:r>
        <w:rPr>
          <w:rtl w:val="true"/>
        </w:rPr>
        <w:t>الأمر الثاني في المؤلي و من یصحّ منه</w:t>
      </w:r>
      <w:bookmarkEnd w:id="209"/>
    </w:p>
    <w:p>
      <w:pPr>
        <w:pStyle w:val="BookText"/>
        <w:rPr/>
      </w:pPr>
      <w:r>
        <w:rPr>
          <w:rFonts w:ascii="Amiri" w:hAnsi="Amiri" w:eastAsia="Amiri" w:cs="Amiri"/>
          <w:color w:val="111111"/>
          <w:sz w:val="28"/>
          <w:sz w:val="28"/>
          <w:szCs w:val="28"/>
          <w:rtl w:val="true"/>
          <w:lang w:bidi="ar-SA"/>
        </w:rPr>
        <w:t>الأمر الثاني في المؤلي</w:t>
      </w:r>
    </w:p>
    <w:p>
      <w:pPr>
        <w:pStyle w:val="BookText"/>
        <w:rPr/>
      </w:pPr>
      <w:r>
        <w:rPr>
          <w:rFonts w:ascii="Amiri" w:hAnsi="Amiri" w:eastAsia="Amiri" w:cs="Amiri"/>
          <w:color w:val="111111"/>
          <w:sz w:val="28"/>
          <w:sz w:val="28"/>
          <w:szCs w:val="28"/>
          <w:rtl w:val="true"/>
          <w:lang w:bidi="ar-SA"/>
        </w:rPr>
        <w:t>ويعتبر فيه البلوغ، وكمال العقل والاختيار والقصد</w:t>
      </w:r>
    </w:p>
    <w:p>
      <w:pPr>
        <w:pStyle w:val="BookText"/>
        <w:rPr/>
      </w:pPr>
      <w:r>
        <w:rPr>
          <w:rFonts w:ascii="Amiri" w:hAnsi="Amiri" w:eastAsia="Amiri" w:cs="Amiri"/>
          <w:color w:val="111111"/>
          <w:sz w:val="28"/>
          <w:sz w:val="28"/>
          <w:szCs w:val="28"/>
          <w:rtl w:val="true"/>
          <w:lang w:bidi="ar-SA"/>
        </w:rPr>
        <w:t>وهذا ما اتفق عليه الكلّ، وإن اختلفوا 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ثمّ قال 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شركتكِ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جمع بوقوعه؛ لأنّ الكناية فيه عن الطلاق، وهو مما قد قيل بوقوعه أيضاً</w:t>
      </w:r>
      <w:r>
        <w:rPr>
          <w:rStyle w:val="FootnoteAnchor"/>
          <w:rtl w:val="true"/>
        </w:rPr>
        <w:footnoteReference w:id="742"/>
      </w:r>
      <w:r>
        <w:rPr>
          <w:rFonts w:ascii="Amiri" w:hAnsi="Amiri" w:eastAsia="Amiri" w:cs="Amiri"/>
          <w:color w:val="111111"/>
          <w:sz w:val="28"/>
          <w:sz w:val="28"/>
          <w:szCs w:val="28"/>
          <w:rtl w:val="true"/>
          <w:lang w:bidi="ar-SA"/>
        </w:rPr>
        <w:t>، ككناية المحلوف عليه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يقع إلا في 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وقوع الإيلاء بقصد الإضرار بالزوجة بالامتناع من وطئها هو المشهور بين الأصحاب لا يظهر فيه مخالف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قصد بذلك مصلحتها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مريضةً ، أو مُرضعاً لصلاحها أو صلاح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إيلاء، بل يقع يميناً يعتبر فيه ما يعتبر فيه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ومستند هذا الشرط من الأخبار</w:t>
      </w:r>
      <w:r>
        <w:rPr>
          <w:rStyle w:val="FootnoteAnchor"/>
          <w:rtl w:val="true"/>
        </w:rPr>
        <w:footnoteReference w:id="743"/>
      </w:r>
      <w:r>
        <w:rPr>
          <w:rFonts w:ascii="Amiri" w:hAnsi="Amiri" w:eastAsia="Amiri" w:cs="Amiri"/>
          <w:color w:val="111111"/>
          <w:sz w:val="28"/>
          <w:sz w:val="28"/>
          <w:szCs w:val="28"/>
          <w:rtl w:val="true"/>
          <w:lang w:bidi="ar-SA"/>
        </w:rPr>
        <w:t>ضعيف، وعموم الآية</w:t>
      </w:r>
      <w:r>
        <w:rPr>
          <w:rStyle w:val="FootnoteAnchor"/>
          <w:rtl w:val="true"/>
        </w:rPr>
        <w:footnoteReference w:id="744"/>
      </w:r>
      <w:r>
        <w:rPr>
          <w:rFonts w:ascii="Amiri" w:hAnsi="Amiri" w:eastAsia="Amiri" w:cs="Amiri"/>
          <w:color w:val="111111"/>
          <w:sz w:val="28"/>
          <w:sz w:val="28"/>
          <w:szCs w:val="28"/>
          <w:rtl w:val="true"/>
          <w:lang w:bidi="ar-SA"/>
        </w:rPr>
        <w:t>يقتضي عدمه، فإن تمَّ الإجماع فهو الحجّة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القاعدة المشهورة فضعف المستند منجبر بالشهرة، وهو رواية السكوني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امرأتي أرضعت غلاماً وإنّي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أقربك حتى تفطميه،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الإصلاح إيلاء</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ویصحّ من المملوك، حرّةً كانت زوجته أو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الذمّي، ومن الخصي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وفى صحّته من المجبوب تردّد أشبهه الجواز، وتكون فيئته كفيئة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ویصحّ من المملوك، حرّةً كانت زوجته أو 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إذا كانت حرّةً فظاهر؛ إذ لا حق للمولى في وطنه، وعموم الآية</w:t>
      </w:r>
      <w:r>
        <w:rPr>
          <w:rStyle w:val="FootnoteAnchor"/>
          <w:rtl w:val="true"/>
        </w:rPr>
        <w:footnoteReference w:id="746"/>
      </w:r>
      <w:r>
        <w:rPr>
          <w:rFonts w:ascii="Amiri" w:hAnsi="Amiri" w:eastAsia="Amiri" w:cs="Amiri"/>
          <w:color w:val="111111"/>
          <w:sz w:val="28"/>
          <w:sz w:val="28"/>
          <w:szCs w:val="28"/>
          <w:rtl w:val="true"/>
          <w:lang w:bidi="ar-SA"/>
        </w:rPr>
        <w:t>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أمةٌ للمولى أو لغيره وشرط مولاه رقيّة الولد فقد ينقدح عدم وقوع الإيلاء منه؛ لأنّ الحق فيه لمولاه، فيتوقف على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الوقوع عموم الآية</w:t>
      </w:r>
      <w:r>
        <w:rPr>
          <w:rStyle w:val="FootnoteAnchor"/>
          <w:rtl w:val="true"/>
        </w:rPr>
        <w:footnoteReference w:id="747"/>
      </w:r>
      <w:r>
        <w:rPr>
          <w:rFonts w:ascii="Amiri" w:hAnsi="Amiri" w:eastAsia="Amiri" w:cs="Amiri"/>
          <w:color w:val="111111"/>
          <w:sz w:val="28"/>
          <w:sz w:val="28"/>
          <w:szCs w:val="28"/>
          <w:rtl w:val="true"/>
          <w:lang w:bidi="ar-SA"/>
        </w:rPr>
        <w:t>، وأن المولى ليس له إجباره على الوطء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الذمّي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مقرّ بالله تعالى فیصحّ حلفه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وامتناع صحة الكفّارة منه ما دام كافراً لا يقدح في صحّته ؛ لأنّ الشرط مقدور عليه بتقديمه الإسلام والشيخ وافق هنا على صحّته من الذمّي</w:t>
      </w:r>
      <w:r>
        <w:rPr>
          <w:rStyle w:val="FootnoteAnchor"/>
          <w:rtl w:val="true"/>
        </w:rPr>
        <w:footnoteReference w:id="748"/>
      </w:r>
      <w:r>
        <w:rPr>
          <w:rFonts w:ascii="Amiri" w:hAnsi="Amiri" w:eastAsia="Amiri" w:cs="Amiri"/>
          <w:color w:val="111111"/>
          <w:sz w:val="28"/>
          <w:sz w:val="28"/>
          <w:szCs w:val="28"/>
          <w:rtl w:val="true"/>
          <w:lang w:bidi="ar-SA"/>
        </w:rPr>
        <w:t xml:space="preserve">وإن خالف في الظهار، مع أنّ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بالذمي من حيث اعترافه بالله تعالى، أن لا يكون على وجه الحصر فيه، بل الضابط وقوعه من الكافر المقرّ بالله تعالى وينبغي ليتوجه حلقه به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صحّته من المجبوب تردّد أشبهه الجواز، وتكون فيئته كفيئة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متعلّق الإيلاء وطء الزوجة وشرطه الإضرار بها اعتبر إمكان ذلك في حقه، بأن يكون صحيح الذكر ليمكنه الجماع وإن كان خصيّاً؛ لبقاء آلة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المجبوب، فإن بقي له بقيّة يمكنه الجماع بها فلا إشكال في صحة إيلائه، وإلا ففي صحّته قولان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Style w:val="FootnoteAnchor"/>
          <w:rtl w:val="true"/>
        </w:rPr>
        <w:footnoteReference w:id="749"/>
      </w:r>
      <w:r>
        <w:rPr>
          <w:rFonts w:ascii="Amiri" w:hAnsi="Amiri" w:eastAsia="Amiri" w:cs="Amiri"/>
          <w:color w:val="111111"/>
          <w:sz w:val="28"/>
          <w:sz w:val="28"/>
          <w:szCs w:val="28"/>
          <w:rtl w:val="true"/>
          <w:lang w:bidi="ar-SA"/>
        </w:rPr>
        <w:t xml:space="preserve">؛ لما ذكرناه من فقد شرط الصحة وهو الإضرار بها، وعدم إمكان متعلق </w:t>
      </w:r>
      <w:bookmarkStart w:id="210" w:name="pg10270_80239"/>
    </w:p>
    <w:p>
      <w:pPr>
        <w:pStyle w:val="Heading3"/>
        <w:numPr>
          <w:ilvl w:val="2"/>
          <w:numId w:val="1"/>
        </w:numPr>
        <w:rPr/>
      </w:pPr>
      <w:bookmarkStart w:id="211" w:name="__RefHeading___Toc3860126_1067777946"/>
      <w:bookmarkStart w:id="212" w:name="_Toc77"/>
      <w:bookmarkEnd w:id="210"/>
      <w:bookmarkEnd w:id="211"/>
      <w:r>
        <w:rPr>
          <w:rtl w:val="true"/>
        </w:rPr>
        <w:t>الأمر الثالث في المؤلى منها و من یقع علیها</w:t>
      </w:r>
      <w:bookmarkEnd w:id="2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أن تكون منكوحة بالعقد لا بالملك، و أن تكون مدخولاً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الحلف، كما لو حلف لايصعد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الشيخ في المبسوط</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و قوّاه المصنّف؛ لعموم الآية</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لايقدح عجزه كما یصحّ إيلاء المريض العاجز، و يطالب بفيئة العاجز بأن يقول باللسان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لو قدرت لفعلت كالمريض، إلّا أنّ المريض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قدرت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قدرته متوقّعة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شرط الصحّة مفقود، و هو مخصص لعموم الآية</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الفرق بينه و بين المريض واضح؛ لتوقّع زوال عذره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مرافعته و ضرب المدّة له ليقول باللسان ذلك في حكم العبث الذي لايليق بمحاسن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الأشلّ و من بقي من ذكره بعد الجبّ ما دون قدر الحشفة كالمجبوب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عرض الجبّ بعد الإيلاء فوجهان، و أولى بالوقوع هنا؛ لوجود الشرط حالة الإيلاء، و العجز في الدوام، فكان قصد الإضرار و الإيذاء صحيحاً منه في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بطلان اليمين؛ لاستحالة بقائها مع استحالة الحنث، و مجرّد المطالبة باللسان و ضرب المدّة لذلك قبيح كالمجبوب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المؤلى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يشترط أن تكون منكوحة بالعقد لا بالملك، و أن تكون</w:t>
      </w:r>
    </w:p>
    <w:p>
      <w:pPr>
        <w:pStyle w:val="BookText"/>
        <w:rPr/>
      </w:pPr>
      <w:r>
        <w:rPr>
          <w:rFonts w:ascii="Amiri" w:hAnsi="Amiri" w:eastAsia="Amiri" w:cs="Amiri"/>
          <w:color w:val="111111"/>
          <w:sz w:val="28"/>
          <w:sz w:val="28"/>
          <w:szCs w:val="28"/>
          <w:rtl w:val="true"/>
          <w:lang w:bidi="ar-SA"/>
        </w:rPr>
        <w:t>مدخولاً بها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شرط المؤلى منها أن تكون زوجة،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يُؤْلُونَ مِنْ نِسَائِهِمْ</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فلا يقع بالمنكوحة بملك اليمين، بل يقع يميناً مطلقاً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وقوعه بالمستمتع بها تردّد أظهره 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اشترط الأصحاب كونها مدخولاً بها؛ لصحيحة محمّد بن مسلم عن أحدهما علیهما السلام قال في غير المدخول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لايقع عليها إيلاء و لاظهار</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و رواية أبي الصبّاح الكناني عن أبي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يقع الإيلاء إلّا على امرأة قد دخل بها زوجها</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و في رواية أُخرى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أمير المؤمنين علیه السلام عن رجل آلى من امرأته و لم يدخل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إيلاء حتّى يدخل 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أرأيت لو أنّ رجلاً حلف أن لايبنى بأهله سنتين أو أكثر من ذلك أكان يكون إيلاء؟</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في الظهار خلاف في ذلك</w:t>
      </w:r>
      <w:r>
        <w:rPr>
          <w:rStyle w:val="FootnoteAnchor"/>
          <w:rtl w:val="true"/>
        </w:rPr>
        <w:footnoteReference w:id="757"/>
      </w:r>
      <w:r>
        <w:rPr>
          <w:rFonts w:ascii="Amiri" w:hAnsi="Amiri" w:eastAsia="Amiri" w:cs="Amiri"/>
          <w:color w:val="111111"/>
          <w:sz w:val="28"/>
          <w:sz w:val="28"/>
          <w:szCs w:val="28"/>
          <w:rtl w:val="true"/>
          <w:lang w:bidi="ar-SA"/>
        </w:rPr>
        <w:t>، مع اشتراكهما في الأخبار الصحيحة الدالّة على اشتراط الدخول، و أنّ المانع من اشتراطه استند إلى عموم الآية</w:t>
      </w:r>
      <w:r>
        <w:rPr>
          <w:rStyle w:val="FootnoteAnchor"/>
          <w:rtl w:val="true"/>
        </w:rPr>
        <w:footnoteReference w:id="758"/>
      </w:r>
      <w:r>
        <w:rPr>
          <w:rFonts w:ascii="Amiri" w:hAnsi="Amiri" w:eastAsia="Amiri" w:cs="Amiri"/>
          <w:color w:val="111111"/>
          <w:sz w:val="28"/>
          <w:sz w:val="28"/>
          <w:szCs w:val="28"/>
          <w:rtl w:val="true"/>
          <w:lang w:bidi="ar-SA"/>
        </w:rPr>
        <w:t>و هو وارد هنا ولكن لم ينقلوا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المناسب اشتراكهما في الخلاف، و ربما قيل به هنا أيضاً لكنّه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وقوعه بالمستمتع بها تردّد أظهره المنع</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الأصحاب اشتراط الدوام في المؤلى منها، إمّا لأنّ المتبادر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الدائمات، أو لتخصيصها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عَزَمُوا الطَّلَاقَ</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يُؤْلُونَ مِنْ نِسَائِهِمْ</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الدالّ على قبول المؤلى منها له، و هو منتفٍ عن المتمتّع بها؛ و لأنّ لازم صحّته جواز مطالبتها بالوطء و هو غير مستحقّ للمتمتّع بها، و الحلّ في موضع النزاع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بالحرّة و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المرافعة إلى المرأة لضرب المدّة، و إليها بعد انقضائها المطالبة بالفيئة ولو كانت أمةً، و لا اعتراض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يقع الإيلاء بالذميّة كما يقع بالمسلمة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وقوعه بها</w:t>
      </w:r>
      <w:r>
        <w:rPr>
          <w:rStyle w:val="FootnoteAnchor"/>
          <w:rtl w:val="true"/>
        </w:rPr>
        <w:footnoteReference w:id="761"/>
      </w:r>
      <w:r>
        <w:rPr>
          <w:rFonts w:ascii="Amiri" w:hAnsi="Amiri" w:eastAsia="Amiri" w:cs="Amiri"/>
          <w:color w:val="111111"/>
          <w:sz w:val="28"/>
          <w:sz w:val="28"/>
          <w:szCs w:val="28"/>
          <w:rtl w:val="true"/>
          <w:lang w:bidi="ar-SA"/>
        </w:rPr>
        <w:t>؛ لعموم الآية، فإنّها من جملة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عود الضمير إلى بعض المذكور سابقاً لايقتضي تخصيصه عند جماعة من الأصوليّين</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مطالبتها مشروطة بالدوام نظراً إلى الغاية، و هو لايستلزم عدم وقوعه بدون المطالبة، كما يقع وإن لم 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الأصالة انقطعت بالإيلاء الثابت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البحث في هذه المسألة في النكاح</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يقع بالحرّة و المملوكة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يقع بالمسلمة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فرق في المؤلي بين الحرّ و الرقيق و المسلم و الكافر، فكذا لا فرق في المؤلى منها بين الحرّة و الأمة و لا بين المسلمة و الذمّيّة؛ لدخول الجميع في عموم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يُؤْلُونَ مِنْ نِسَائِهِمْ</w:t>
      </w:r>
      <w:r>
        <w:rPr>
          <w:rFonts w:eastAsia="Amiri" w:cs="Amiri" w:ascii="Amiri" w:hAnsi="Amiri"/>
          <w:color w:val="111111"/>
          <w:sz w:val="28"/>
          <w:szCs w:val="28"/>
          <w:rtl w:val="true"/>
          <w:lang w:bidi="ar-SA"/>
        </w:rPr>
        <w:t>»</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كانت الزوجة أمةً فحقّ المطالبة بضرب المدّة و بالفيئة إليها؛ لأنّ حق الاستمتاع لها لا للمولى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قيّد الكافرة بالذمّيّة نظراً إلى تحريم نكاح غيرها على المسلم ابتداءً و استدامةً، مع أنّه يمكن فرضه في غير الكتابيّة إذا آلى منها بعد أن أسلم قبلها و هي في العدّة، فإنّه يقع كما سبق في بابه</w:t>
      </w:r>
      <w:r>
        <w:rPr>
          <w:rStyle w:val="FootnoteAnchor"/>
          <w:rtl w:val="true"/>
        </w:rPr>
        <w:footnoteReference w:id="765"/>
      </w:r>
      <w:bookmarkStart w:id="213" w:name="pg10270_80242"/>
    </w:p>
    <w:p>
      <w:pPr>
        <w:pStyle w:val="Heading3"/>
        <w:numPr>
          <w:ilvl w:val="2"/>
          <w:numId w:val="1"/>
        </w:numPr>
        <w:rPr/>
      </w:pPr>
      <w:bookmarkStart w:id="214" w:name="__RefHeading___Toc3860128_1067777946"/>
      <w:bookmarkStart w:id="215" w:name="_Toc78"/>
      <w:bookmarkEnd w:id="213"/>
      <w:bookmarkEnd w:id="214"/>
      <w:r>
        <w:rPr>
          <w:rtl w:val="true"/>
        </w:rPr>
        <w:t>الأمر الرابع في أحكامه</w:t>
      </w:r>
      <w:bookmarkEnd w:id="215"/>
    </w:p>
    <w:p>
      <w:pPr>
        <w:pStyle w:val="Heading4"/>
        <w:numPr>
          <w:ilvl w:val="3"/>
          <w:numId w:val="1"/>
        </w:numPr>
        <w:rPr/>
      </w:pPr>
      <w:bookmarkStart w:id="216" w:name="__RefHeading___Toc3860130_1067777946"/>
      <w:bookmarkStart w:id="217" w:name="_Toc79"/>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 xml:space="preserve">و هي مسائل </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3860132_1067777946"/>
      <w:bookmarkStart w:id="219" w:name="_Toc80"/>
      <w:bookmarkEnd w:id="218"/>
      <w:r>
        <w:rPr>
          <w:rtl w:val="true"/>
        </w:rPr>
        <w:t>المدّة اللازمة لانعقاد الإیلاء</w:t>
      </w:r>
      <w:bookmarkEnd w:id="219"/>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لاينعقد الإيلاء حتّى يكون التحريم مطلقاً، أو مقيّداً بالدوام، أو مقروناً بمدّة تزيد عن أربعة أشهر، أو مضافاً إلى فعل لايحصل إلّا بعد انقضاء مدّة التربّص يقيناً أو غالباً،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أمضي إلى بلاد الترك و أعود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لايقع لأربعة أشهر فما دون و لا معلّقاً بفعل ينقضي قبل هذه المدّة يقيناً أو غالباً أو محتملاً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لاينعقد الإيلاء حتّى يكون التحريم مطلقاً، أو مقيّداً بالدوام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الحالف على الامتناع من وطء زوجته إمّا أن يطلق الامتناع فيحمل على التأبيد، فبه يحصل الانتفاء المطلق و يكون مؤلياً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يقيّده بالتأبيد فهو ضرب من التأكيد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يقيّده بالتأقيت إمّا بزمان مقدّرٍ، أو بالتعليق بأمرٍ مستقبلٍ لا يتعيّن وقته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يقدّره بزمان نظر، فإن كان أربعة أشهر فما دونها لم يكن مؤلياً، و الذي جرى يمين، و تنحلّ بعد المدّة، و ليس لها المطالبة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امتنع من غير 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الحكمة في تقدير المهلة بهذه المدّة، و لم تتوجّه المطالبة إذا حلف على الامتناع أربعة أشهر فما دونها، أنّ المرأة تصبر عن الزوج مدّة أربعة أشهر و بعد ذلك يفنى صبرها أو يشقّ عليها الصبر</w:t>
      </w:r>
      <w:r>
        <w:rPr>
          <w:rStyle w:val="FootnoteAnchor"/>
          <w:rtl w:val="true"/>
        </w:rPr>
        <w:footnoteReference w:id="76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في الزيادة عن الأربعة مسمّاها و لو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لايشترط كون الزيادة بحيث تتأتّى المطالبة في مثلها، لكن إذا قصرت كذلك لم تتأتّ المطالبة؛ لأنّها إذا مضت تنحلّ اليمين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مطالبة بعد انحلالها، و أثر كونه مؤلياً في هذه الصورة أنّه يأثم بإيذائها و الإضرار بها، بقطع طمعها بالحلف عن الوطء في المدة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كونه تاركاً وطأها مدّةً قبل الإيلاء يفعل حراماً بالنسبة إلى ما زاد عن أربعة أشهر من حين الوطء؛ لأنّه لايجوز ترك وطء الزوجة أزيد من ذلك، و لاتنحلّ بذلك اليمين؛ لأنّ الإيلاء لاينحلّ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يقيّد الامتناع عن الوطء بأمر مستقبلٍ لايتعيّن وقته، فينظر إن كان المعلّق به أمراً يعلم تأخّره عن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يقدم فلان، أو حتّى أتى مكّة و المسافة بعيدة لاتُقطع في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يستبعد في الاعتقادات حصوله في أربعة أشهر وإن كان محتملاً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يأجوج و 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تطلع الشمس من المغرب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مؤلٍ؛ نظراً إلى اليقين بحصول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مضيّ أربعة أشهرٍ قبل مجيء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و غلبة الظنّ بوجوده في الثاني وإن كان محتملاً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وإن كان محتملاً لموته في کلّ وقت و لا ظنّ يقتضي بقاءه أربعة أشهر، إلّا أنّ ذلك موجب لحصول اليأس مدّة العمر، فهو كما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أجامعكِ</w:t>
      </w:r>
    </w:p>
    <w:p>
      <w:pPr>
        <w:pStyle w:val="BookText"/>
        <w:rPr/>
      </w:pP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أبدَ كلّ إنسانٍ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لأنّ الموت المعجّل كالمستبعد في الاعتقادات، فيلحق بالتعليق</w:t>
      </w:r>
    </w:p>
    <w:p>
      <w:pPr>
        <w:pStyle w:val="BookText"/>
        <w:rPr/>
      </w:pPr>
      <w:r>
        <w:rPr>
          <w:rFonts w:ascii="IRNazanin" w:hAnsi="IRNazanin" w:eastAsia="IRNazanin"/>
          <w:color w:val="111111"/>
          <w:sz w:val="28"/>
          <w:sz w:val="28"/>
          <w:szCs w:val="28"/>
          <w:rtl w:val="true"/>
          <w:lang w:bidi="fa-IR"/>
        </w:rPr>
        <w:t>بخروج الدجّال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 لأنّه كالتعليق بالمرض و دخول الدار، و هو ممكن على السواء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الفرق بين من يغلب على الظنّ بقاؤه أو موته في المدّة فما دون، أو يتساوى الاحتمالان بحسب القرائن الحاليّة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المعلّق به ممّا يتحقّق وجوده قبل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كذبول البقل، و جفاف الثوب، وتمام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يغلب على الظنّ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كمجيء المطر في وقت غلبة الأمطار، و مجيء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وطئتك حتّى أدخل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إيلاء؛ لأنّه يمكنه التخلّص من التكفير مع الوطء بالدخول، و هو منافٍ للإيلاء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من القرية و عادته الحضور في الجمعات، أو قدوم القافلة و الغالب تردّدها في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الإيلاء، لكن ينعقد يميناً بشرطه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المعلّق به ممّا لايستبعد حصوله في أربعة أشهر و لايتحقّق و لايظنّ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أدخل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أمرض، أو يمرض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مسافة قريبة قد يقدم و قد لايقدم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يحكم بكونه مؤلياً وإن اتّفق مضيّ أربعة أشهر و لم يوجد المعلّق به، بل يكون يميناً؛ لأنّه لم يتحقّق قصد المضارّة في الابتداء، و أحكام الإيلاء منوطة به لا بمجرّد اتّفاق الضرر بالامتناع من الوطء، كما لو امتنع من غير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فترتفع اليمين لو وجد المعلّق به قبل الوطء، و تجب الكفّارة لو وطئ قبل وجوده حيث تنعقد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وجهٍ أنّ التعليق بخروج الدجّال و نحوه يلحق بالأمور المحتملة للأمرين، فلايقع به 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الأوّل؛ عملاً بالظنّ الغالب المستند إلى الاعتقادات و قرائن الأحوال و العادات</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وطئتك حتّى أدخل هذه الدار لم يكن 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الإيلاء موجباً للتحريم إلى أن يكفّر، و الإضرار بالمرأة لم يتحقّق حيث يعلّق على شرطٍ يمكنه فعله و رفعه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وطئتك حتّى أدخل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يمكنه في كلّ وقت دخول الدار، فيتخلّص من اليمين و لايحصل لها الإضرار بذلك بتحريم الوطء أربعة أشهر فصاعداً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دخوله الدار ممتنعاً عادةً لعارضٍ لايزول قبل أربعة أشهر و لو ظنّاً وقع الإيلاء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أطلق المصنّف الحكم بناءً على الغالب من عدم المانع من دخول الدار، أو اتّكالاً على ما أسلفه من القاعدة</w:t>
      </w:r>
      <w:r>
        <w:rPr>
          <w:rFonts w:eastAsia="Amiri" w:cs="Amiri" w:ascii="Amiri" w:hAnsi="Amiri"/>
          <w:color w:val="111111"/>
          <w:sz w:val="28"/>
          <w:szCs w:val="28"/>
          <w:rtl w:val="true"/>
          <w:lang w:bidi="ar-SA"/>
        </w:rPr>
        <w:t xml:space="preserve">. </w:t>
      </w:r>
      <w:bookmarkStart w:id="220" w:name="pg10270_80245"/>
    </w:p>
    <w:p>
      <w:pPr>
        <w:pStyle w:val="Heading4"/>
        <w:numPr>
          <w:ilvl w:val="3"/>
          <w:numId w:val="1"/>
        </w:numPr>
        <w:rPr/>
      </w:pPr>
      <w:bookmarkStart w:id="221" w:name="__RefHeading___Toc3860134_1067777946"/>
      <w:bookmarkStart w:id="222" w:name="_Toc81"/>
      <w:bookmarkEnd w:id="220"/>
      <w:bookmarkEnd w:id="221"/>
      <w:r>
        <w:rPr>
          <w:rtl w:val="true"/>
        </w:rPr>
        <w:t>مدّة التربّص أربعة أشهر</w:t>
      </w:r>
      <w:bookmarkEnd w:id="22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مدّة التربّص في الحرّة و الأمة أربعة أشهر، سواء كان الزوج حرّاً أو مملوكاً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المدّة حقّ للزوج، و ليس للزوجة مطالبته فيها بالفَيئة، فإذا انقضت لم تطلّق بانقضاء المدّة، و لم يكن للحاكم طلاقها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واقفته فهو مخيّر بين الطلاق و الفَيئة، فإن طلّق فقد خرج من حقّها، و تقع الطلقة رجعيّةً على الأشهر، و كذا إن 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امتنع من الأمرين حبس و ضيّق عليه حتّى يفيء أو يطلّق، و لايجبره الحاكم على أحدهما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التربّص في الحرّة و الأمة أربعة أشهر، سواء كان الزوج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مهلة بعد انعقاد الإيلاء لايطالب فيها بشيء، فإن واقع لزمته كفّارة اليمين و انحلّ الإيلاء، وإن أصرّ فللمرأة مطالبته و رفعه إلى القاضي ليفي، أو يطلّق، حتّى لو رفعته أمهله القاضي إلى انقضاء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أربعة أشهر على ما نصّ عليه في القرآن</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المدّة حقّ للزوج كالأجل في الدين المؤجّل حقّ للمديون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فيها بين كون الزوجين حرّين أو رقيقين أو بالتفريق؛ لعموم الآية</w:t>
      </w:r>
      <w:r>
        <w:rPr>
          <w:rStyle w:val="FootnoteAnchor"/>
          <w:rtl w:val="true"/>
        </w:rPr>
        <w:footnoteReference w:id="769"/>
      </w:r>
      <w:r>
        <w:rPr>
          <w:rFonts w:ascii="Amiri" w:hAnsi="Amiri" w:eastAsia="Amiri" w:cs="Amiri"/>
          <w:color w:val="111111"/>
          <w:sz w:val="28"/>
          <w:sz w:val="28"/>
          <w:szCs w:val="28"/>
          <w:rtl w:val="true"/>
          <w:lang w:bidi="ar-SA"/>
        </w:rPr>
        <w:t>، و لأنّها شُرّعت لأمر جبلّى و هو قلّة الصبر عن الزوج، و ما يتعلّق بالجبلّة و الطبع لايختلف بالحرّيّة و الرقّ، كمدّة العنّة و الرضاع و الحيض</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بعض العامّة أنّها تنتصف بالرقّ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منهم من ينصّفها برقّ الزوجة، و منهم من ينصّفها برقّ الزوج</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خلافهما أشار المصنّف بقوله في الحرّة 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الزوج حرّاً أو مملوكاً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إذا انقضت المدّة لم يطلّق بانقضائها الزوجيّة، و لأنّ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التربّص أربعة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فَآءُو فَإِنَّ اللَّهَ غَفُورٌ رَّحِيمٌ وَإِنْ عَزَمُواْ الطَّلَاقَ فَإِنَّ اللهَ سَمِيعٌ عَلِيمٌ</w:t>
      </w:r>
      <w:r>
        <w:rPr>
          <w:rFonts w:eastAsia="Amiri" w:cs="Amiri" w:ascii="Amiri" w:hAnsi="Amiri"/>
          <w:color w:val="111111"/>
          <w:sz w:val="28"/>
          <w:szCs w:val="28"/>
          <w:rtl w:val="true"/>
          <w:lang w:bidi="ar-SA"/>
        </w:rPr>
        <w:t>»</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على بقاء تخييره فيهما بعد المدّة، و هو ينافي وقوع الطلاق بالفعل، خلافاً لبعض العامّة حيث حكم بوقوعه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فاء و رجع إلى زوجته كفّر و سقط عنه حكم الإيلاء، و إن طلّق خرج من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يقع الطلاق رجعيّاً حيث لايكون لبينونته سبب آخر؟ المشهور بين الأصحاب ذلك؛ لوجود المقتضي له و هو وقوعه بشرائط الرجعي، و انتفاء المانع؛ إذ ليس إلّا كونه طلاق مؤل مأموراً به تخييراً، و هو لايقتضي البينونة؛ لأنّ الطلاق الرجعي 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أيضاً لاختلال النكاح به و صيرورتها إلى حال البينونة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لحسنة بريد بن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 في الإيلاء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آلى الرجل لا يقرب امرأته و لا يمسّها و لا يجمع رأسه و رأسها، فهو في سعة ما لم تمض الأربعة أشهر، فإذا مضت الأربعة أشهر و وقف فإمّا أن يفيء فيمسّها، و إمّا أن يعزم على الطلاق فيخلّي عنها، حتّى إذا حاضت و تطهّرت من محيضها طلّقها تطليقةً قبل أن يجامعها بشهادة عدلين، ثمّ هو أحقّ برجعتها ما لم تمض الثلاثة الأقراء</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قيل بوقوع الطلقة بائنةً؛ لصحيحة منصور بن حازم عن أبي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المؤلي إذا وقف فلم يفئ طلّق تطليقةً بائنة</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حملت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شذوذها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اختار الطلاق البائن؛ إذ هو مخيّر بين أن يطلّق بائناً و رجعيّاً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حملها الشيخ على من كانت عنده تطليقة واحدة، فإنّ طلاقه بعد ذلك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آلى مدّةً معيّنةً و دافع بعد المرافعة</w:t>
      </w:r>
      <w:r>
        <w:rPr>
          <w:rStyle w:val="FootnoteAnchor"/>
          <w:rtl w:val="true"/>
        </w:rPr>
        <w:footnoteReference w:id="775"/>
      </w:r>
      <w:r>
        <w:rPr>
          <w:rFonts w:ascii="Amiri" w:hAnsi="Amiri" w:eastAsia="Amiri" w:cs="Amiri"/>
          <w:color w:val="111111"/>
          <w:sz w:val="28"/>
          <w:sz w:val="28"/>
          <w:szCs w:val="28"/>
          <w:rtl w:val="true"/>
          <w:lang w:bidi="ar-SA"/>
        </w:rPr>
        <w:t>حتّى انقضت المدّة، سقط حكم الإيلاء، و لم تلزمه الكفّارة مع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بائناً</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إن كان خلاف الظاهر إلّا أنّ فيه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طلاقه رجعيّاً، إن استمرّ عليه فذاك، و إن رجع عاد الإيلاء و سيأتي تتمّة حكمه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امتنع من الأمرين لم يطلّق عنه الحاكم؛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r>
        <w:rPr>
          <w:rStyle w:val="FootnoteAnchor"/>
          <w:rtl w:val="true"/>
        </w:rPr>
        <w:footnoteReference w:id="778"/>
      </w:r>
      <w:r>
        <w:rPr>
          <w:rFonts w:ascii="IRNazanin" w:hAnsi="IRNazanin" w:eastAsia="IRNazanin"/>
          <w:color w:val="111111"/>
          <w:sz w:val="28"/>
          <w:sz w:val="28"/>
          <w:szCs w:val="28"/>
          <w:rtl w:val="true"/>
          <w:lang w:bidi="fa-IR"/>
        </w:rPr>
        <w:t>بل يحبسه و يعزّره و يضيق عليه في المطعم و المشرب، بأن يطعمه في الحبس ويسقيه ما لايصبر عليه مثله عادةً إلى أن يختار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حمّاد عن أبي عبد الله عليه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أمير المؤمنين علیه السلام إذا أبى المؤلي أن يطلّق جعل له حظيرةً من قصب و يحبسه فيها، و يمنعه من الطعام و الشراب حتّى يطلّق</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رواية أُخرى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كان يحبسه في الحظيرة و يعطيه ربع قوته حتّى يطلّق</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إجباره على أحد الأمرين لاينافي صحّة الطلاق؛ لأنّه إجبار بحقّ، و المنافي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فإنّه لم يجبره عليه عيناً بل على أحد الأمرين، و في تحقّق الإجبار على هذا الوجه بحث سبق في الطلاق</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آلى مدّةً معيّنةً، و دافع بعد المرافعة حتّى انقضت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الكفّارة إنّما تجب مع الحنث في اليمين، و لايتحقّق إلّا مع الوطء في المدّة المعيّنة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أسقطت حقّها من المطالبة لم تسقط المطالبة؛ لأنّه حقّ يتجدّد، فيسقط بالعفو ما كان لا ما يتجدّد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انقضت سقط حكم اليمين، سواء رافعته و ألزمه الحاكم بأحد الأمرين أم لا؛ لاشتراكهما في المقتضي و إن أثم بالمدافعة على تقدير المرافعة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أسقطت حقّها من المطالبة لم تسقط المطالبة؛ لأنّه حقّ يتجدّد، فيسقط بالعفو ما كان لا ما يتجدّد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إسقاط الحقّ و العفو عنه و الإبراء منه بمعنى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صحّته ثبوت متعلّقه في الذمّة، فلایصحّ إسقاط ما يتجدّد فيها و إن وجد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كان حقّها في المطالبة يثبت في کلّ وقت ما دام الإيلاء باقياً فهو ممّا يتجدّد بتجدّد الوقت، فإذا أسقطت حقّها منها لم يسقط إلّا ما كان منها ثابتاً وقت الإسقاط، و ذلك في قوّة عدم إسقاط شيء؛ لأنّ الآن الواقع بعد ذلك بلا فصل يتجدّد فيه حقّ المطالبة و لم يسقط بالإسقاط، فلها المطالبة متى شاءت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القول في نظائره من الحقوق المتجدّدة بحسب الوقت، كحقّ القسمة للزوجة،و حق الإسكان في موضع معيّن حيث نقول بصحّته،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ما لو علمت بإعسار الزوج فرضيت، ثمّ أرادت الفسخ على قول من يجوّزه به</w:t>
      </w:r>
      <w:r>
        <w:rPr>
          <w:rStyle w:val="FootnoteAnchor"/>
          <w:rtl w:val="true"/>
        </w:rPr>
        <w:footnoteReference w:id="782"/>
      </w:r>
      <w:r>
        <w:rPr>
          <w:rFonts w:ascii="Amiri" w:hAnsi="Amiri" w:eastAsia="Amiri" w:cs="Amiri"/>
          <w:color w:val="111111"/>
          <w:sz w:val="28"/>
          <w:sz w:val="28"/>
          <w:szCs w:val="28"/>
          <w:rtl w:val="true"/>
          <w:lang w:bidi="ar-SA"/>
        </w:rPr>
        <w:t>فلها ذلك؛ لتجدّد الضرر بفوات النفقة يوماً فيوماً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يخالف ما إذا رضيت بعنّة الزوج، ثمّ أرادت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لايبطل خيارها لفوات الفوريّة، بأن جهلت الفوريّة أو نحو ذلك ممّا سبق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لاتُمكّن منه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فُرّق بأنّ العنّة عجز حاضر و خصلة ناجزة لاتبسط على الأيّام، و حقّ الاستمتاع و النفقة يبسطان عليها، وبأنّ العنّة عيب و الرضى بالعيب يسقط حقّ الفسخ</w:t>
      </w:r>
      <w:r>
        <w:rPr>
          <w:rFonts w:eastAsia="Amiri" w:cs="Amiri" w:ascii="Amiri" w:hAnsi="Amiri"/>
          <w:color w:val="111111"/>
          <w:sz w:val="28"/>
          <w:szCs w:val="28"/>
          <w:rtl w:val="true"/>
          <w:lang w:bidi="ar-SA"/>
        </w:rPr>
        <w:t xml:space="preserve">. </w:t>
      </w:r>
      <w:bookmarkStart w:id="223" w:name="pg10270_80249"/>
    </w:p>
    <w:p>
      <w:pPr>
        <w:pStyle w:val="BookText"/>
        <w:rPr/>
      </w:pPr>
      <w:bookmarkEnd w:id="223"/>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اختلفا في انقضاء المدّة فالقول قول من يدّعي بقاءها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اختلفا في زمان إيقاع الإيلاء فالقول قول من يدّعي تأخّره</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3860136_1067777946"/>
      <w:bookmarkStart w:id="225" w:name="_Toc82"/>
      <w:bookmarkEnd w:id="224"/>
      <w:r>
        <w:rPr>
          <w:rtl w:val="true"/>
        </w:rPr>
        <w:t>لو انقضت مدّة التربّص و وجد  مانع من الجماع</w:t>
      </w:r>
      <w:bookmarkEnd w:id="22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انقضت مدّة التربّص و هناك ما يمنع من الوطء كالحيض والمرض، لم يكن لها المطالبة؛ لظهور عذره فى التخلّف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المطالبة بفيئة العاجز عن الوطء كان حسناً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اختلفا في انقضاء المدّة فالقول قول من يدّعي بقاءها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اختلفا في انقضاء المدّة المضروبة للتربّص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ادّعت انقضاءها ليلزم بالفيئة أو الطلاق، و ادّعى هو بقاءها، فالقول قوله؛ لأصالة عدم انقضائها؛ لأنّ مرجع دعوى انقضائها إلى تقدّم زمان الإيلاء إن جعلنا المدّة من حينه، أو زمان المرافعة إن جعلناها منها، و الأصل عدم تقدّم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لو اختلفا في زمان إيقاع الإيلاء فالقول قول مدّعى تأخّره؛ لأصالة عدم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فائدته تظهر حيث يجعل المدّة من حينه، أو يكون الإيلاء مقدّراً بمدّة، فمدّعي تقدّمه</w:t>
      </w:r>
    </w:p>
    <w:p>
      <w:pPr>
        <w:pStyle w:val="BookText"/>
        <w:rPr/>
      </w:pPr>
      <w:r>
        <w:rPr>
          <w:rFonts w:ascii="Amiri" w:hAnsi="Amiri" w:eastAsia="Amiri" w:cs="Amiri"/>
          <w:color w:val="111111"/>
          <w:sz w:val="28"/>
          <w:sz w:val="28"/>
          <w:szCs w:val="28"/>
          <w:rtl w:val="true"/>
          <w:lang w:bidi="ar-SA"/>
        </w:rPr>
        <w:t>يحاول انحلال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انقضت مدّة التربّص و هناك ما يمنع من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وجد مانع من الجماع بعد مضي المدّة المحسوبة نظر أهو فيها أم في الزوج؟ فإن كان فيه فسيأتي حكمه، وإن كان فيها، بأن كانت مريضةً بحيث لايمكن وطؤها، أو محبوسةً لايمكنه الوصول إليها لم تثبت المطالبة بالفيئة فعلاً إجماعاً؛ لأنّه معذور و الحال هذه و لا مضارّة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كانت محرمةً أو حائضاً أو نفساء أو صائمةً أو معتكفةً فرضاً</w:t>
      </w:r>
      <w:r>
        <w:rPr>
          <w:rStyle w:val="FootnoteAnchor"/>
          <w:rtl w:val="true"/>
        </w:rPr>
        <w:footnoteReference w:id="78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يؤمر بالفيئة قولاً كالعاجز ؟ منعه الشيخ</w:t>
      </w:r>
      <w:r>
        <w:rPr>
          <w:rStyle w:val="FootnoteAnchor"/>
          <w:rtl w:val="true"/>
        </w:rPr>
        <w:footnoteReference w:id="785"/>
      </w:r>
      <w:r>
        <w:rPr>
          <w:rFonts w:ascii="IRNazanin" w:hAnsi="IRNazanin" w:eastAsia="IRNazanin"/>
          <w:color w:val="111111"/>
          <w:sz w:val="28"/>
          <w:sz w:val="28"/>
          <w:szCs w:val="28"/>
          <w:rtl w:val="true"/>
          <w:lang w:bidi="fa-IR"/>
        </w:rPr>
        <w:t>لأنّ الامتناع من جهتها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تجدّدت أعذارها في أثناء المدّة،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تنقطع الاستدامة عدا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لاتنقطع المدّة بأعذار الرجل ابتداءً و لا اعتراضاً، و لاتمنع من المرافعة</w:t>
      </w:r>
      <w:r>
        <w:rPr>
          <w:rStyle w:val="FootnoteAnchor"/>
          <w:rtl w:val="true"/>
        </w:rPr>
        <w:footnoteReference w:id="786"/>
      </w:r>
      <w:r>
        <w:rPr>
          <w:rFonts w:ascii="Amiri" w:hAnsi="Amiri" w:eastAsia="Amiri" w:cs="Amiri"/>
          <w:color w:val="111111"/>
          <w:sz w:val="28"/>
          <w:sz w:val="28"/>
          <w:szCs w:val="28"/>
          <w:rtl w:val="true"/>
          <w:lang w:bidi="ar-SA"/>
        </w:rPr>
        <w:t>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المتأخّرين</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عليه فَيئة العاجز؛ لظهور العجز في الجملة، و لأنّه لا مانع منها، بل هي ممكّنة، و إنّما المانع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تجدّدت أعذارها في أثناء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بقطع أعذارها المتجدّدة للاستدامة عدم احتسابها من المدّة، فإذا زال العذر ثبت على ما مضى من المدّة قبل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ما اختاره الشيخ من قطعها للاستدامة</w:t>
      </w:r>
      <w:r>
        <w:rPr>
          <w:rStyle w:val="FootnoteAnchor"/>
          <w:rtl w:val="true"/>
        </w:rPr>
        <w:footnoteReference w:id="788"/>
      </w:r>
      <w:r>
        <w:rPr>
          <w:rFonts w:ascii="Amiri" w:hAnsi="Amiri" w:eastAsia="Amiri" w:cs="Amiri"/>
          <w:color w:val="111111"/>
          <w:sz w:val="28"/>
          <w:sz w:val="28"/>
          <w:szCs w:val="28"/>
          <w:rtl w:val="true"/>
          <w:lang w:bidi="ar-SA"/>
        </w:rPr>
        <w:t>أنّ الحقّ لها و العذر من قبلها، و مدّة التربّص حقّ له، فلايحتسب عليه منها ما لا قدرة له على الفيئة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استثنى من ذلك الحيض، فإنّه لايقطعها إجماعاً؛ لأنّه لو قطع لم تسلم مدّة التربّص أربعة أشهر، لتكرّره في كلّ شهر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الأكثر على عدم الفرق بينه و بين غيره في عدم قطع الاستدامة؛ لقيام فَيئة العاجز مقام الوطء من القادر، و هو في حكم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أعذار الرجل فلا تقطع المدّة ابتداءً و لا استدامة إجماعاً؛ لأنّ حقّ المهلة له، و العذر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لاتمنع المرافعة</w:t>
      </w:r>
      <w:r>
        <w:rPr>
          <w:rStyle w:val="FootnoteAnchor"/>
          <w:rtl w:val="true"/>
        </w:rPr>
        <w:footnoteReference w:id="789"/>
      </w:r>
      <w:r>
        <w:rPr>
          <w:rFonts w:ascii="Amiri" w:hAnsi="Amiri" w:eastAsia="Amiri" w:cs="Amiri"/>
          <w:color w:val="111111"/>
          <w:sz w:val="28"/>
          <w:sz w:val="28"/>
          <w:szCs w:val="28"/>
          <w:rtl w:val="true"/>
          <w:lang w:bidi="ar-SA"/>
        </w:rPr>
        <w:t>لو اتّفقت على رأس المدّة، فيؤمر بفيئة العاجز أو الطلاق كما سيأتي</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جنّ بعد ضرب المدّة احتسبت المدّة عليه و إن كان مجنوناً، فإن انقضت المدّة و الجنون باقي تربّص به حتّى يفيق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انقضت المدّة و هو محرم أُلزم بفيئة المعذور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اتّفق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واقع أتى بالفَيئة وإن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كلّ وطءٍ محرّمٍ كالوطء في الحيض و الصوم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جنّ بعد ضرب المدّة احتسبت المدّة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الأعذار الحاصلة بالزوج لاتمنع من احتساب المدّة ابتداءً و لا استدامةً؛ لأنّ التمكّن حاصل من جهتها و المانع من قبله، و هو المقصّر بالإيلاء و قصد المضارّة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يستوي في ذلك الموانع الشرعيّة كالصوم و الإحرام و الاعتكاف، و الحسّيّة كالمرض و الحبس و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فرض جنونه في أثناء المدّة لم يقطع استدامتها، فإذا انقضت المدّة و الجنون باقٍ لم يرافع و لم يکلّف بأحد الأمرين؛ لارتفاع القلم عنه، بل يتربّص به حتّى يفيق ثمّ يحكم عليه بذلك، بخلاف ما لو انقضت المدّة و به عذر آخر غيره لايرفع التكليف كالمرض، فإنّه يؤمر بفيئة العاجز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انقضت المدّة و هو محرم أُلزم بفيئة المعذور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انقضت المدّة أُلزم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الفيئة أو الطلاق كما مرّ، فإن اختار الفيئة و لم يكن له مانع من الوطء ففيئته الوطء، وإن كان معذوراً عذراً حسّيّاً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كالمرض و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كالإحرام و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بفيئة المعذور، كما يلزمه ذلك في أعذارها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تحقيق الفيئة بالأمرين</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لايلزم بالوطء المحرّم، لكن لو فعل أثم و حصلت الفيئة؛ لحصول الغرض، سواء وافقته على ذلك أم أكرهها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لها موافقته؟ يحتمله؛ لأنّه ليس محرّماً من طرفها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التحريم؛ لأنّه معاونة على العدوان المنهيّ عنه</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تمكين المسافرة و من طهرت من حيضها في أثناء النهار للصائم، وبيع من لم يخاطب بالجمعة بعد النداء ممّن خوطب بها </w:t>
      </w:r>
      <w:bookmarkStart w:id="226" w:name="pg10270_80252"/>
    </w:p>
    <w:p>
      <w:pPr>
        <w:pStyle w:val="Heading4"/>
        <w:numPr>
          <w:ilvl w:val="3"/>
          <w:numId w:val="1"/>
        </w:numPr>
        <w:rPr/>
      </w:pPr>
      <w:bookmarkStart w:id="227" w:name="__RefHeading___Toc3860138_1067777946"/>
      <w:bookmarkStart w:id="228" w:name="_Toc83"/>
      <w:bookmarkEnd w:id="226"/>
      <w:bookmarkEnd w:id="227"/>
      <w:r>
        <w:rPr>
          <w:rtl w:val="true"/>
        </w:rPr>
        <w:t>إذا جمع بیت الظهار و الإیلاء</w:t>
      </w:r>
      <w:bookmarkEnd w:id="228"/>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ظاهر ثمّ آلى صحّ الأمران، و يوقف بعد انقضاء مدّة الظهار، فإن طلّق فقد وفي الحقّ، و إن أبى ألزم التكفير و الوطء؛ لأنّه أسقط حقّه من التربّص بالظهار، و كان عليه كفّارة الإيلاء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ظاهر ثمّ آلى صحّ الأمران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جمع بين الظهار و الإيلاء لزمه حكمهما، سواء قدّم الظهار على الإيلاء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فرضه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أخّره؛ لبقاء الزوجيّة الصالحة لإيقاع كلّ منهما عليها و إن كانت قد حرمت بالسبب الآخر، فتحرم من الجهتين و لاتستباح بدون الكفّارتين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اختلاف المدّة في إمهاله لهما، فإنّ مهلة الظهار ثلاثة أشهر، و مهلة الإيلاء أربعة، فإذا انقضت مدّة الظهار فرافعته أُلزم بحكم الظهار خاصّةً، فإن اختار الطلاق فقد خرج من الأمرين، وإن اختار العود و عزم على الوطء لزمته كفّارة الظهار، فإذا كفّر و وطئ لزمته كفّارة الإيلاء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لحنثه في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توقّفت كفّارة الظهار على مدّة تزيد على مدّة الإيلاء، كما لو كان فرضه التكفير بالصوم، أو لم يتّفق له التكفير بإحدى الخصلتين إلى أن انقضت مدّة الإيلاء، أو كان الظهار متأخّراً عنه بحيث انقضت مدّته قبل التخلّص منه طولب بالأمرين معاً، و لزمه 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يختلف حكمهما فيما لو انقضت مدّة الإيلاء و لمّا يكمل كفّارة الظهار، فإنّ حُكْمَ الإيلاء إذا لم يختر الطلاق إلزامهُ بالفيئة و تعجيل الوطء، و حُكم الظهار تحريمهُ إلى أن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الجمع إلزامه حينئذٍ للإيلاء بفيئة العاجز؛ لأنّ الظهار مانع شرعي من الوطء قبل التكفير، فتجتمع الكفّارتان بالعزم على الوطء، إحداهما للفيئة و الأُخرى للعزم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الوطء في هذه الحالة قبل التكفير للظهار حرم عليها تمكينه منه كما سبق، وإن أُبيح لها من حيث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فعل حراماً و وطئ حصلت الفيئة، و لزمته كفّارة الظهار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كفّارة الإيلاء</w:t>
      </w:r>
      <w:r>
        <w:rPr>
          <w:rFonts w:eastAsia="Amiri" w:cs="Amiri" w:ascii="Amiri" w:hAnsi="Amiri"/>
          <w:color w:val="111111"/>
          <w:sz w:val="28"/>
          <w:szCs w:val="28"/>
          <w:rtl w:val="true"/>
          <w:lang w:bidi="ar-SA"/>
        </w:rPr>
        <w:t xml:space="preserve">. </w:t>
      </w:r>
      <w:bookmarkStart w:id="229" w:name="pg10270_80253"/>
    </w:p>
    <w:p>
      <w:pPr>
        <w:pStyle w:val="BookText"/>
        <w:rPr/>
      </w:pPr>
      <w:bookmarkEnd w:id="229"/>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آلى ثمّ ارتدّ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تحتسب عليه مدّة الردّة؛ لأنّ المنع بسبب الارتداد لا بسبب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الاحتساب؛ لتمكّنه من الوطء بإزالة المانع</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3860140_1067777946"/>
      <w:bookmarkStart w:id="231" w:name="_Toc84"/>
      <w:bookmarkEnd w:id="230"/>
      <w:r>
        <w:rPr>
          <w:rtl w:val="true"/>
        </w:rPr>
        <w:t>إذا وطئ في مدّة التربّص</w:t>
      </w:r>
      <w:bookmarkEnd w:id="23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وطئ في مدّة التربّص لزمته الكفّارة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وطئ بعد المدّة،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و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آلى ثمّ ارتدّ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لاتحتسب عليه مدّة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بالردّة هنا ما كانت عن غير فطرة؛ إذ لو ارتدّ عن فطرة كان كالميّت يبطل معها التربّص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ما قاله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احتساب مدة الردّة</w:t>
      </w:r>
      <w:r>
        <w:rPr>
          <w:rStyle w:val="FootnoteAnchor"/>
          <w:rtl w:val="true"/>
        </w:rPr>
        <w:footnoteReference w:id="793"/>
      </w:r>
      <w:r>
        <w:rPr>
          <w:rFonts w:ascii="Amiri" w:hAnsi="Amiri" w:eastAsia="Amiri" w:cs="Amiri"/>
          <w:color w:val="111111"/>
          <w:sz w:val="28"/>
          <w:sz w:val="28"/>
          <w:szCs w:val="28"/>
          <w:rtl w:val="true"/>
          <w:lang w:bidi="ar-SA"/>
        </w:rPr>
        <w:t xml:space="preserve">ما أشار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التعليل بأنّ المنع حينئذٍ بسبب الارتداد الموجب لرفع النكاح و جريان عدّته إلى البينونة، فلايحتسب مدّته من مدّة الإيلاء المقتضية لاستحقاق المطالبة بعدها بالوطء؛ لتضادّ المؤثّرين المقتضي لتضادّ الأثرين، كما لايحتسب زمان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الأكثر و منهم المصنّف إلى احتساب مدّته منها؛ لتمكّنه معها من الوطء بالرجوع، فلايكون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يفارق العدّة بأنّ المرتدّ إذا عاد إلى الإسلام تبيّن أنّ النكاح لم ينخرم و الطلاق الماضي مع لحوق الرجعة لم ينهدم، و من ثَمّ ظهر أثره بتحريمها بالثلاث وإن رجع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وطئ في مدّة التربّص لزمته الكفّارة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وطئ المؤلي في المدّة التي يتناولها اليمين فقد حنث في يمينه و وجبت الكفّارة، سواء كان وطؤه في مدّة التربّص أم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فلمشاركته له في المقتضي لها، و هو مخالفته لمقتضى اليمين، و لعموم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كَفَّارَةُ أَيْمَانِكُمْ إِذَا حَلَفْتُمْ</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و هذا مذهب الأكثر حتّى الشيخ في الخلاف مدّعياً عليه الإجماع</w:t>
      </w:r>
      <w:r>
        <w:rPr>
          <w:rStyle w:val="FootnoteAnchor"/>
          <w:rtl w:val="true"/>
        </w:rPr>
        <w:footnoteReference w:id="79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آلى منها ثمّ وطئها عندنا عليه الكفّارة، سواء كان في المدّة أم بعدها، 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وطئها قبل المدّة فعليه الكفّارة، و إن وطئها بعدها فلا كفّارة عليه و هو الأقوى</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 اختياره العدم و رجوعه عن الأوّل، و لم يذكر عليه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له بأنّ كفّارة اليمين عندنا لاتجب مع الحنث، إلّا إذا تساوى فعل المحلوف عليه و تركه في الدين و الدنيا أو كان فعله أرجح، فلو كان تركه أرجح جازت المخالفة و لا كفّارة، و هنا بعد المدّة قد صار مأموراً بالوطء و لو تخييراً، و هو يدلّ على</w:t>
      </w:r>
    </w:p>
    <w:p>
      <w:pPr>
        <w:pStyle w:val="BookText"/>
        <w:rPr/>
      </w:pPr>
      <w:r>
        <w:rPr>
          <w:rFonts w:ascii="Amiri" w:hAnsi="Amiri" w:eastAsia="Amiri" w:cs="Amiri"/>
          <w:color w:val="111111"/>
          <w:sz w:val="28"/>
          <w:sz w:val="28"/>
          <w:szCs w:val="28"/>
          <w:rtl w:val="true"/>
          <w:lang w:bidi="ar-SA"/>
        </w:rPr>
        <w:t>رجحان فعله في الجملة، فلاتجب به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يمين الإيلاء تخالف مطلق اليمين في هذا المعنى، و من ثَمَّ انعقد ابتداءً وإن كان تركه أرجح بل واجباً، كما لو آلى في وقت يجب فيه الوطء، و الأصل استصحاب هذا الحكم، و الدليل الدالّ على وجوب الكفّارة له مع الحنث يشمله، فلا وجه لتخصيص هذا الفرد من بين افراد الإيلاء بنفي الكفّارة مع رجحان المخالفة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رواية منصور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آلى من امرأته فمرّت به أربعة أشهرٍ،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يوقف فإن عزم الطلاق بانت منه و عليها عدّة المطلّقة، وإلّا كفّر يمينه و أمسكها</w:t>
      </w:r>
      <w:r>
        <w:rPr>
          <w:rFonts w:eastAsia="IRNazanin" w:cs="IRNazanin"/>
          <w:color w:val="111111"/>
          <w:sz w:val="28"/>
          <w:szCs w:val="28"/>
          <w:rtl w:val="true"/>
          <w:lang w:bidi="fa-IR"/>
        </w:rPr>
        <w:t>»</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نصّ في الباب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مذهب الشيخ في المبسوط وإن كان شاذّاً، إلّا أنّه موافق لأُصول أصحابنا في اليمين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أن يجيب عن حجّيتهم بأنّ وجوب الكفّارة في الإيلاء مع أولويّة الخلاف خلاف الأصل، فيقتصر فيها على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حجّة لهم في الآية؛ لأنّها وردت في مطلق اليمين لا في الإيلاء، و هم لايقولون بعمومها في ذلك، بل يخصّونها بما ذكرناه، فكيف يحتجّون بعمومها على الإيلاء المخالف لمطلق اليمين في الأحكام و يطرحون </w:t>
      </w:r>
      <w:bookmarkStart w:id="232" w:name="pg10270_80255"/>
    </w:p>
    <w:p>
      <w:pPr>
        <w:pStyle w:val="Heading4"/>
        <w:numPr>
          <w:ilvl w:val="3"/>
          <w:numId w:val="1"/>
        </w:numPr>
        <w:rPr/>
      </w:pPr>
      <w:bookmarkStart w:id="233" w:name="__RefHeading___Toc3860142_1067777946"/>
      <w:bookmarkStart w:id="234" w:name="_Toc85"/>
      <w:bookmarkEnd w:id="232"/>
      <w:bookmarkEnd w:id="233"/>
      <w:r>
        <w:rPr>
          <w:rtl w:val="true"/>
        </w:rPr>
        <w:t>إذا وطئ المؤلى ساهياً أو مجنوناً</w:t>
      </w:r>
      <w:bookmarkEnd w:id="234"/>
    </w:p>
    <w:p>
      <w:pPr>
        <w:pStyle w:val="BookText"/>
        <w:rPr/>
      </w:pPr>
      <w:r>
        <w:rPr>
          <w:rFonts w:ascii="Amiri" w:hAnsi="Amiri" w:eastAsia="Amiri" w:cs="Amiri"/>
          <w:color w:val="111111"/>
          <w:sz w:val="28"/>
          <w:sz w:val="28"/>
          <w:szCs w:val="28"/>
          <w:rtl w:val="true"/>
          <w:lang w:bidi="ar-SA"/>
        </w:rPr>
        <w:t>الرابعة • إذا وطئ المؤلى ساهياً أو مجنوناً أو اشتبهت بغيرها من حلائله،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حكم الإيلاء؛ لتحقّق الإصابة، و لم تجب الكفّارة؛ لعدم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عمومها في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يظهر منع مشاركة ما بعد المدّة لما قبلها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الرواية فهي و إن كانت نصّاً في الباب، إلّا أنّها ضعيفة السند؛ لأنّ في طريقها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 هو مشترك بين جماعةٍ منهم الثقة</w:t>
      </w:r>
      <w:r>
        <w:rPr>
          <w:rStyle w:val="FootnoteAnchor"/>
          <w:rtl w:val="true"/>
        </w:rPr>
        <w:footnoteReference w:id="798"/>
      </w:r>
      <w:r>
        <w:rPr>
          <w:rFonts w:ascii="Amiri" w:hAnsi="Amiri" w:eastAsia="Amiri" w:cs="Amiri"/>
          <w:color w:val="111111"/>
          <w:sz w:val="28"/>
          <w:sz w:val="28"/>
          <w:szCs w:val="28"/>
          <w:rtl w:val="true"/>
          <w:lang w:bidi="ar-SA"/>
        </w:rPr>
        <w:t>و الضعيف</w:t>
      </w:r>
      <w:r>
        <w:rPr>
          <w:rStyle w:val="FootnoteAnchor"/>
          <w:rtl w:val="true"/>
        </w:rPr>
        <w:footnoteReference w:id="79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ابن عثمان، و كان ناووسيّاً وإن كان ثقةً</w:t>
      </w:r>
      <w:r>
        <w:rPr>
          <w:rStyle w:val="FootnoteAnchor"/>
          <w:rtl w:val="true"/>
        </w:rPr>
        <w:footnoteReference w:id="800"/>
      </w:r>
      <w:r>
        <w:rPr>
          <w:rFonts w:ascii="Amiri" w:hAnsi="Amiri" w:eastAsia="Amiri" w:cs="Amiri"/>
          <w:color w:val="111111"/>
          <w:sz w:val="28"/>
          <w:sz w:val="28"/>
          <w:szCs w:val="28"/>
          <w:rtl w:val="true"/>
          <w:lang w:bidi="ar-SA"/>
        </w:rPr>
        <w:t>، و منصور الراوي عن الإمام مطلق أيضاً، و هو مشترك بين الثقة و غيره</w:t>
      </w:r>
      <w:r>
        <w:rPr>
          <w:rStyle w:val="FootnoteAnchor"/>
          <w:rtl w:val="true"/>
        </w:rPr>
        <w:footnoteReference w:id="801"/>
      </w:r>
      <w:r>
        <w:rPr>
          <w:rFonts w:ascii="Amiri" w:hAnsi="Amiri" w:eastAsia="Amiri" w:cs="Amiri"/>
          <w:color w:val="111111"/>
          <w:sz w:val="28"/>
          <w:sz w:val="28"/>
          <w:szCs w:val="28"/>
          <w:rtl w:val="true"/>
          <w:lang w:bidi="ar-SA"/>
        </w:rPr>
        <w:t>، وإن كان الظاهر أنّه ابن حازم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في المختلف للمشهور بقول النبيّ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على يمينٍ فرأى غيرها خيراً فليأت الذي هو خير، و ليكفّر عن يمينه</w:t>
      </w:r>
      <w:r>
        <w:rPr>
          <w:rFonts w:eastAsia="IRNazanin" w:cs="IRNazanin"/>
          <w:color w:val="111111"/>
          <w:sz w:val="28"/>
          <w:szCs w:val="28"/>
          <w:rtl w:val="true"/>
          <w:lang w:bidi="fa-IR"/>
        </w:rPr>
        <w:t>»</w:t>
      </w:r>
      <w:r>
        <w:rPr>
          <w:rStyle w:val="FootnoteAnchor"/>
          <w:rtl w:val="true"/>
        </w:rPr>
        <w:footnoteReference w:id="802"/>
      </w:r>
      <w:r>
        <w:rPr>
          <w:rFonts w:ascii="Amiri" w:hAnsi="Amiri" w:eastAsia="Amiri" w:cs="Amiri"/>
          <w:color w:val="111111"/>
          <w:sz w:val="28"/>
          <w:sz w:val="28"/>
          <w:szCs w:val="28"/>
          <w:rtl w:val="true"/>
          <w:lang w:bidi="ar-SA"/>
        </w:rPr>
        <w:t>، ولم يفصل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الاستدلال عجيب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الرواية عامّيّة قد وردت في مطلق اليمين، و أنتم لاتقولون بمضمونها كذلك، بل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متى رأى غيرها خيراً فليأت التي هي خير و لايكفّر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العامّة يعملون بمضمونها</w:t>
      </w:r>
      <w:r>
        <w:rPr>
          <w:rStyle w:val="FootnoteAnchor"/>
          <w:rtl w:val="true"/>
        </w:rPr>
        <w:footnoteReference w:id="803"/>
      </w:r>
      <w:r>
        <w:rPr>
          <w:rFonts w:ascii="Amiri" w:hAnsi="Amiri" w:eastAsia="Amiri" w:cs="Amiri"/>
          <w:color w:val="111111"/>
          <w:sz w:val="28"/>
          <w:sz w:val="28"/>
          <w:szCs w:val="28"/>
          <w:rtl w:val="true"/>
          <w:lang w:bidi="ar-SA"/>
        </w:rPr>
        <w:t>، و يوجبون كفّارة اليمين مطلقاً؛ عملاً بالآية</w:t>
      </w:r>
      <w:r>
        <w:rPr>
          <w:rStyle w:val="FootnoteAnchor"/>
          <w:rtl w:val="true"/>
        </w:rPr>
        <w:footnoteReference w:id="804"/>
      </w:r>
      <w:r>
        <w:rPr>
          <w:rFonts w:ascii="Amiri" w:hAnsi="Amiri" w:eastAsia="Amiri" w:cs="Amiri"/>
          <w:color w:val="111111"/>
          <w:sz w:val="28"/>
          <w:sz w:val="28"/>
          <w:szCs w:val="28"/>
          <w:rtl w:val="true"/>
          <w:lang w:bidi="ar-SA"/>
        </w:rPr>
        <w:t>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بها للإيلاء دون غيره ليس بسديدٍ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فاعتمادنا على المذهب المشهور من وجوب الكفّارة على المؤلي مطلقاً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وطئ المؤلي ساهياً أو مجنوناً أو اشتبهت بغيرها من حلائله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إشكال في عدم وجوب الكفّارة بالوطء ساهياً أو مجنوناً أو مشتبهةً بغيرها؛ لأنّه لاتقصير منه، و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الخطأ و النسيان</w:t>
      </w:r>
      <w:r>
        <w:rPr>
          <w:rFonts w:eastAsia="Amiri" w:cs="Amiri" w:ascii="Amiri" w:hAnsi="Amiri"/>
          <w:color w:val="111111"/>
          <w:sz w:val="28"/>
          <w:szCs w:val="28"/>
          <w:rtl w:val="true"/>
          <w:lang w:bidi="ar-SA"/>
        </w:rPr>
        <w:t>»</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انحلال اليمين، فالشيخ حكم بانحلالها و بطلان الإيلاء</w:t>
      </w:r>
      <w:r>
        <w:rPr>
          <w:rStyle w:val="FootnoteAnchor"/>
          <w:rtl w:val="true"/>
        </w:rPr>
        <w:footnoteReference w:id="806"/>
      </w:r>
      <w:r>
        <w:rPr>
          <w:rFonts w:ascii="Amiri" w:hAnsi="Amiri" w:eastAsia="Amiri" w:cs="Amiri"/>
          <w:color w:val="111111"/>
          <w:sz w:val="28"/>
          <w:sz w:val="28"/>
          <w:szCs w:val="28"/>
          <w:rtl w:val="true"/>
          <w:lang w:bidi="ar-SA"/>
        </w:rPr>
        <w:t>، و تبعه عليه جماعة منهم العلامّة جازماً به</w:t>
      </w:r>
      <w:r>
        <w:rPr>
          <w:rStyle w:val="FootnoteAnchor"/>
          <w:rtl w:val="true"/>
        </w:rPr>
        <w:footnoteReference w:id="807"/>
      </w:r>
      <w:r>
        <w:rPr>
          <w:rFonts w:ascii="Amiri" w:hAnsi="Amiri" w:eastAsia="Amiri" w:cs="Amiri"/>
          <w:color w:val="111111"/>
          <w:sz w:val="28"/>
          <w:sz w:val="28"/>
          <w:szCs w:val="28"/>
          <w:rtl w:val="true"/>
          <w:lang w:bidi="ar-SA"/>
        </w:rPr>
        <w:t>من غير نقل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وجد المحلوف عليه في الحقيقة و تحقّقت الإصابة، إلّا أنّه لم يؤاخذ من حيث عدم التقصير، فكان كما لو خالف عمداً، و إن اختلفا في وجوب الكفّارة و عدمها من حيث تقصير 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نسب القول إلى الشيخ مشعراً بضعفه أو توقّفه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وجه؛ لاختلال الفعل</w:t>
      </w:r>
    </w:p>
    <w:p>
      <w:pPr>
        <w:pStyle w:val="BookText"/>
        <w:rPr/>
      </w:pPr>
      <w:r>
        <w:rPr>
          <w:rFonts w:ascii="Amiri" w:hAnsi="Amiri" w:eastAsia="Amiri" w:cs="Amiri"/>
          <w:color w:val="111111"/>
          <w:sz w:val="28"/>
          <w:sz w:val="28"/>
          <w:szCs w:val="28"/>
          <w:rtl w:val="true"/>
          <w:lang w:bidi="ar-SA"/>
        </w:rPr>
        <w:t>الصادر عن الإكراه و النسيان، و لذلك لم يحكم</w:t>
      </w:r>
      <w:r>
        <w:rPr>
          <w:rStyle w:val="FootnoteAnchor"/>
          <w:rtl w:val="true"/>
        </w:rPr>
        <w:footnoteReference w:id="808"/>
      </w:r>
      <w:r>
        <w:rPr>
          <w:rFonts w:ascii="Amiri" w:hAnsi="Amiri" w:eastAsia="Amiri" w:cs="Amiri"/>
          <w:color w:val="111111"/>
          <w:sz w:val="28"/>
          <w:sz w:val="28"/>
          <w:szCs w:val="28"/>
          <w:rtl w:val="true"/>
          <w:lang w:bidi="ar-SA"/>
        </w:rPr>
        <w:t>، بوجوب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الحلف على النفي يقتضي الدوام، و النسيان و ما في معناه لم يدخل تحت مقتضاها؛ لأنّ الغرض من البعث و الزجر في اليمين إنّما يكون عند ذكرها و ذكر المحلوف عليه، حتّى يكون تركه لأجل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آتٍ في مطلق اليمين إذا خولف مقتضاها جهلاً أو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حكمنا بانحلال اليمين حصلت الفيئة و ارتفع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نحكم به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لاتحصل الفيئة و تبقى المطالبة؛ لأنّ اليمين باقية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لوصولها إلى حقّها و اندفاع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في إيفاء الحقّ بين وصوله إلى صاحبه حال الجنون و العقل، كما لو ردّ المجنون وديعةً إلى صاحبها؛ و لأنّ وطء المجنون کوطء العاقل في التحليل و تقرير المهر و تحريم الربيبة و سائر الأحكام، فكذلك هنا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لايلزم من عدم وجوب الكفّارة ثبوت الفيئة؛ لأنّها حقّ لله و الفيئة حقّ المرأة، و يعتبر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ادّعى الإصابة فأنكرت فالقول قوله مع يمينه؛ لتعذّر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حقّ الله تعالى من القصد الصحيح ما لايعتبر في حق الآدمى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ادّعى الإصابة فأنكرت فالقول قوله مع يمينه؛ لتعذّر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ممّا خالف القواعد المقرّرة من تقديم قول النافي، وإنّما أخرجوه منها لما أشار إليه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تعذّر إقامة البيّنة على ذلك أو تعسّرها، فلو لم يقبل قوله فيه مع إمكان صدقه لزم الحرج؛ و لأنّ الأصل بقاء النكاح و عدم تسلّط الزوجة على نقضه بوجه من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يؤيّد ذلك رواية إسحاق بن عمار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عليّاً علیه السلام سئل عن المرأة تزعم أنّ زوجها لايمسّها، و يزعم أنّه يمسّها،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 و يترك</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في تقديم قوله في الإصابة المخالف للأصل، ما لو ادّعى العنّين إصابتها في المدّة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حلف على الإصابة و طلّق، و أراد الرجعة بدعوى الوطء الذي حلف عليه قال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أنّه لايمكن، و كان القول قولها في نفي العدّة و الوطء على قياس الخصومات</w:t>
      </w:r>
      <w:r>
        <w:rPr>
          <w:rStyle w:val="FootnoteAnchor"/>
          <w:rtl w:val="true"/>
        </w:rPr>
        <w:footnoteReference w:id="810"/>
      </w:r>
      <w:r>
        <w:rPr>
          <w:rFonts w:ascii="Amiri" w:hAnsi="Amiri" w:eastAsia="Amiri" w:cs="Amiri"/>
          <w:color w:val="111111"/>
          <w:sz w:val="28"/>
          <w:sz w:val="28"/>
          <w:szCs w:val="28"/>
          <w:rtl w:val="true"/>
          <w:lang w:bidi="ar-SA"/>
        </w:rPr>
        <w:t>، من أنّ البيّنة على المدّعي و اليمين على من أنكر</w:t>
      </w:r>
      <w:r>
        <w:rPr>
          <w:rStyle w:val="FootnoteAnchor"/>
          <w:rtl w:val="true"/>
        </w:rPr>
        <w:footnoteReference w:id="811"/>
      </w:r>
      <w:r>
        <w:rPr>
          <w:rFonts w:ascii="Amiri" w:hAnsi="Amiri" w:eastAsia="Amiri" w:cs="Amiri"/>
          <w:color w:val="111111"/>
          <w:sz w:val="28"/>
          <w:sz w:val="28"/>
          <w:szCs w:val="28"/>
          <w:rtl w:val="true"/>
          <w:lang w:bidi="ar-SA"/>
        </w:rPr>
        <w:t>، وإنّما خالفناه في دعوى الإصابة لما ذكر من العلّة و هي منتفية هنا، كما لو اختلفا في الرجعة ابتداءً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التفريع لابن الحدّاد من الشافعية</w:t>
      </w:r>
      <w:r>
        <w:rPr>
          <w:rStyle w:val="FootnoteAnchor"/>
          <w:rtl w:val="true"/>
        </w:rPr>
        <w:footnoteReference w:id="812"/>
      </w:r>
      <w:r>
        <w:rPr>
          <w:rFonts w:ascii="Amiri" w:hAnsi="Amiri" w:eastAsia="Amiri" w:cs="Amiri"/>
          <w:color w:val="111111"/>
          <w:sz w:val="28"/>
          <w:sz w:val="28"/>
          <w:szCs w:val="28"/>
          <w:rtl w:val="true"/>
          <w:lang w:bidi="ar-SA"/>
        </w:rPr>
        <w:t>، و وافقه الأكثر، و استقرّ به العلّامة في التحرير</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اشتماله على الجمع بين المتناقضين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على أُصولنا من اشتراط الدخول في صحّة الإيلاء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المدّة المضروبة بعد الترافع لا من حين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سمعنا فيه خلافاً، وإنّما فرّعوه على أصلهم من عدم اشتراطه، و مع ذلك فلهم وجه آخر، بأنّه يُمكّن من الرجعة، ويُصدّق في الإصابة للرجعة كما يُصدّق فيها، لدفع التفريق؛ لأنّ في الرجعة استيفاء ذلك النكاح أيضاً</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المدّة المضروبة بعد الترافع لا من حين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مدّة التربّص تحتسب من حين المرافعة لا من حين الإيلاء، ذهب إلى ذلك الشيخان</w:t>
      </w:r>
      <w:r>
        <w:rPr>
          <w:rStyle w:val="FootnoteAnchor"/>
          <w:rtl w:val="true"/>
        </w:rPr>
        <w:footnoteReference w:id="815"/>
      </w:r>
      <w:r>
        <w:rPr>
          <w:rFonts w:ascii="IRNazanin" w:hAnsi="IRNazanin" w:eastAsia="IRNazanin"/>
          <w:color w:val="111111"/>
          <w:sz w:val="28"/>
          <w:sz w:val="28"/>
          <w:szCs w:val="28"/>
          <w:rtl w:val="true"/>
          <w:lang w:bidi="fa-IR"/>
        </w:rPr>
        <w:t>و الأتباع</w:t>
      </w:r>
      <w:r>
        <w:rPr>
          <w:rStyle w:val="FootnoteAnchor"/>
          <w:rtl w:val="true"/>
        </w:rPr>
        <w:footnoteReference w:id="816"/>
      </w:r>
      <w:r>
        <w:rPr>
          <w:rFonts w:ascii="Amiri" w:hAnsi="Amiri" w:eastAsia="Amiri" w:cs="Amiri"/>
          <w:color w:val="111111"/>
          <w:sz w:val="28"/>
          <w:sz w:val="28"/>
          <w:szCs w:val="28"/>
          <w:rtl w:val="true"/>
          <w:lang w:bidi="ar-SA"/>
        </w:rPr>
        <w:t xml:space="preserve">و ابن إدريس </w:t>
      </w:r>
      <w:r>
        <w:rPr>
          <w:rStyle w:val="FootnoteAnchor"/>
          <w:rtl w:val="true"/>
        </w:rPr>
        <w:footnoteReference w:id="817"/>
      </w:r>
      <w:r>
        <w:rPr>
          <w:rFonts w:ascii="Amiri" w:hAnsi="Amiri" w:eastAsia="Amiri" w:cs="Amiri"/>
          <w:color w:val="111111"/>
          <w:sz w:val="28"/>
          <w:sz w:val="28"/>
          <w:szCs w:val="28"/>
          <w:rtl w:val="true"/>
          <w:lang w:bidi="ar-SA"/>
        </w:rPr>
        <w:t>، و العلّامة في غير المختلف</w:t>
      </w:r>
      <w:r>
        <w:rPr>
          <w:rStyle w:val="FootnoteAnchor"/>
          <w:rtl w:val="true"/>
        </w:rPr>
        <w:footnoteReference w:id="818"/>
      </w:r>
      <w:r>
        <w:rPr>
          <w:rFonts w:ascii="Amiri" w:hAnsi="Amiri" w:eastAsia="Amiri" w:cs="Amiri"/>
          <w:color w:val="111111"/>
          <w:sz w:val="28"/>
          <w:sz w:val="28"/>
          <w:szCs w:val="28"/>
          <w:rtl w:val="true"/>
          <w:lang w:bidi="ar-SA"/>
        </w:rPr>
        <w:t>، و الشهيد</w:t>
      </w:r>
      <w:r>
        <w:rPr>
          <w:rStyle w:val="FootnoteAnchor"/>
          <w:rtl w:val="true"/>
        </w:rPr>
        <w:footnoteReference w:id="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Style w:val="FootnoteAnchor"/>
          <w:rtl w:val="true"/>
        </w:rPr>
        <w:footnoteReference w:id="82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عقيل و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من حين الإيلاء</w:t>
      </w:r>
      <w:r>
        <w:rPr>
          <w:rStyle w:val="FootnoteAnchor"/>
          <w:rtl w:val="true"/>
        </w:rPr>
        <w:footnoteReference w:id="821"/>
      </w:r>
      <w:r>
        <w:rPr>
          <w:rFonts w:ascii="Amiri" w:hAnsi="Amiri" w:eastAsia="Amiri" w:cs="Amiri"/>
          <w:color w:val="111111"/>
          <w:sz w:val="28"/>
          <w:sz w:val="28"/>
          <w:szCs w:val="28"/>
          <w:rtl w:val="true"/>
          <w:lang w:bidi="ar-SA"/>
        </w:rPr>
        <w:t>و اختاره في المختلف</w:t>
      </w:r>
      <w:r>
        <w:rPr>
          <w:rStyle w:val="FootnoteAnchor"/>
          <w:rtl w:val="true"/>
        </w:rPr>
        <w:footnoteReference w:id="822"/>
      </w:r>
      <w:r>
        <w:rPr>
          <w:rFonts w:ascii="Amiri" w:hAnsi="Amiri" w:eastAsia="Amiri" w:cs="Amiri"/>
          <w:color w:val="111111"/>
          <w:sz w:val="28"/>
          <w:sz w:val="28"/>
          <w:szCs w:val="28"/>
          <w:rtl w:val="true"/>
          <w:lang w:bidi="ar-SA"/>
        </w:rPr>
        <w:t>و ولده في الشرح</w:t>
      </w:r>
      <w:r>
        <w:rPr>
          <w:rStyle w:val="FootnoteAnchor"/>
          <w:rtl w:val="true"/>
        </w:rPr>
        <w:footnoteReference w:id="823"/>
      </w:r>
      <w:r>
        <w:rPr>
          <w:rFonts w:ascii="Amiri" w:hAnsi="Amiri" w:eastAsia="Amiri" w:cs="Amiri"/>
          <w:color w:val="111111"/>
          <w:sz w:val="28"/>
          <w:sz w:val="28"/>
          <w:szCs w:val="28"/>
          <w:rtl w:val="true"/>
          <w:lang w:bidi="ar-SA"/>
        </w:rPr>
        <w:t>وإليه يميل المصنّف في تردّده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السابعة • الذمّيّان إذا ترافعا كان الحاكم بالخيار بين الحكم بينهما، و بین ردّهما إلى أهل نحلتهما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يُؤْلُونَ مِنْ نِسَائِهِمْ تَرَبُّصُ أَرْبَعَةِ أَشْهُرٍ</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رتّب التربّص على الإيلاء، فلايشترط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حسنة بريد بن معاوية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لايكون إيلاءً إلّا إذا آلى الرجل أن لايقرب امرأته و لايمسّها و لايجمع رأسه و رأسها، فهو في سعة ما لم تمض الأربعة أشهر، فإذا مضت أربعة أشهر وقف، فإمّا أن يفيء و إمّا أن يعزم على الطلاق</w:t>
      </w:r>
      <w:r>
        <w:rPr>
          <w:rFonts w:eastAsia="IRNazanin" w:cs="IRNazanin"/>
          <w:color w:val="111111"/>
          <w:sz w:val="28"/>
          <w:szCs w:val="28"/>
          <w:rtl w:val="true"/>
          <w:lang w:bidi="fa-IR"/>
        </w:rPr>
        <w:t>»</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روى الحلبي في الحسن</w:t>
      </w:r>
      <w:r>
        <w:rPr>
          <w:rStyle w:val="FootnoteAnchor"/>
          <w:rtl w:val="true"/>
        </w:rPr>
        <w:footnoteReference w:id="826"/>
      </w:r>
      <w:r>
        <w:rPr>
          <w:rFonts w:ascii="IRNazanin" w:hAnsi="IRNazanin" w:eastAsia="IRNazanin"/>
          <w:color w:val="111111"/>
          <w:sz w:val="28"/>
          <w:sz w:val="28"/>
          <w:szCs w:val="28"/>
          <w:rtl w:val="true"/>
          <w:lang w:bidi="fa-IR"/>
        </w:rPr>
        <w:t>، و أبو بصير عنه علیه السلام</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الأوّلون بأنّ ضرب المدّة حكم شرعي باقٍ على العدم الأصلي، فيتوقّف ثبوته على حكم الحاكم؛ و لأصالة عدم التسلّط على الزوج بحبس أو غيره لأجل الفيئة أو الطلاق</w:t>
      </w:r>
    </w:p>
    <w:p>
      <w:pPr>
        <w:pStyle w:val="BookText"/>
        <w:rPr/>
      </w:pPr>
      <w:r>
        <w:rPr>
          <w:rFonts w:ascii="Amiri" w:hAnsi="Amiri" w:eastAsia="Amiri" w:cs="Amiri"/>
          <w:color w:val="111111"/>
          <w:sz w:val="28"/>
          <w:sz w:val="28"/>
          <w:szCs w:val="28"/>
          <w:rtl w:val="true"/>
          <w:lang w:bidi="ar-SA"/>
        </w:rPr>
        <w:t>إلّا مع تحقّق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احتياج المدّة إلى الضرب، بل مقتضى الحكم الشرعي الثابت بالآية و الرواية ترتّبه على مضيّ المدّة المذكورة من حين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توقّفها على المرافعة يحتاج إلى الدليل و هو 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الدليل أخرجه عن حكم العدم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عدم التسلّط قد انقطعت بالإيلاء المقتضي له بالآية و الرواية و الإجماع، فتوقّفه على أمر آخرٍ صار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الذمّيّان إذا ترافعا كان الحاكم بالخيار بين الحكم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حكمه بينهم بمقتضى شرعنا فواضح؛ لعموم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يُؤْلُونَ مِنْ نِسَائِهِمْ</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فيئة القادر غيبوبة الحشفة في القبل، و فيئة العاجز إظهار العزم على الوطء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طلب الإمهال مع القدرة أمهل ما جرت العادة به، كتوقّع خفّة المأكول، أو الأكل إن كان جائعاً، أو الراحة إن كان متعباً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الشامل للمسلم و الكافر و لأنّهم مکلّفون بفروع الإسلام، و قد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لِتَحْكُمَ بَيْنَ النَّاسِ بِمَا أَرَاكَ اللَّهُ</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و أمّا جواز ردّهم إلى أهل نحلتهم فلإقرارهم عليها المقتضي لجواز الإعراض عنهم في ذلك، 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جَاءُوكَ فَاحْكُم بَيْنَهُمْ أَوْ أَعْرِضْ عَنْهُمْ</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 و المراد بالإعراض عنهم ردّهم إلى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منسوخة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احْكُم بَيْنَهُم بِمَا أَنزَلَ اللهُ</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 فيه نظر؛ لعدم المنافاة بينهما، فإنّ الإعراض عن الحكم بينهم ممّا أنزله الله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 على خلاف الأصل، فلايثبت بمثل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غير مختصّ بالإيلاء، بل هو مشترك بين سائر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فيئة القادر غيبوبة الحشفة في القبل، و فيئة العاجز إظهار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تكرّر أنّ المؤلي بعد المدّة يطالب بالفيئة أو الطلاق، و المقصود الآن الكلام في أنّ</w:t>
      </w:r>
    </w:p>
    <w:p>
      <w:pPr>
        <w:pStyle w:val="BookText"/>
        <w:rPr/>
      </w:pPr>
      <w:r>
        <w:rPr>
          <w:rFonts w:ascii="Amiri" w:hAnsi="Amiri" w:eastAsia="Amiri" w:cs="Amiri"/>
          <w:color w:val="111111"/>
          <w:sz w:val="28"/>
          <w:sz w:val="28"/>
          <w:szCs w:val="28"/>
          <w:rtl w:val="true"/>
          <w:lang w:bidi="ar-SA"/>
        </w:rPr>
        <w:t>الفيئة بِمَ تحصل؟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بيانه أنّ المؤلى إن كان قادراً على 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لايكون له عنه مانع شرعي و لا عقلي و لا 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فأقلّ فيئته في الثيّب أن يغيّب الحشفة، و في البكر إذهاب العذرة بالوطء، و هو </w:t>
      </w:r>
    </w:p>
    <w:p>
      <w:pPr>
        <w:pStyle w:val="BookText"/>
        <w:rPr/>
      </w:pPr>
      <w:r>
        <w:rPr>
          <w:rFonts w:ascii="Amiri" w:hAnsi="Amiri" w:eastAsia="Amiri" w:cs="Amiri"/>
          <w:color w:val="111111"/>
          <w:sz w:val="28"/>
          <w:sz w:val="28"/>
          <w:szCs w:val="28"/>
          <w:rtl w:val="true"/>
          <w:lang w:bidi="ar-SA"/>
        </w:rPr>
        <w:t>التاسعة • إذا آلى من الأمة ثمّ اشتراها و أعتقها و تزوّجها لم يعد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لو آلى من الحرّة ثمّ اشترته و أعتقته و تزوّج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إلى الأوّل؛ لأنّ تغييب الحشفة يزيل العذرة، فتغييب الحشفة يفيد الغرض فيهما، فلذا أطلقه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لاتحصل الفيئة له بما دون الفرج كالدبر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عاجزاً عن ذلك ففيئته باللسان، و هو أن يرجع عن الإيذاء و الإضرار،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قدرت فيّأت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استمهل الفيئة باللسان لم يجب بحال، فإنّ الوعد به أمر متيسّر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زال المانع طولب بفيئة القادر أو الطلاق من غير استئناف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فيئة القادر فيمهل فيها بما جرت العادة إمهاله فيه بقدر ما يتهيّأ له ذلك عادةً، فيمهل الصائم إلى أن يفطر، و الشبعان إلى أن يخفّ عنه ثقل الطعام، فإنّه مانع من الغرض،و الجائع إلى أن يأكل ما يتهيّأ به لذلك، و لايمكّن من أن يشبع فيفضي إلى مهلةٍ أُخرى، وإن كان يغلبه النعاس فحتّى يزول 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به يحصل التهيّاً و الاستعداد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لايتقدّر بيوم أو بثلاثة أيّام عندنا، بل</w:t>
      </w:r>
    </w:p>
    <w:p>
      <w:pPr>
        <w:pStyle w:val="BookText"/>
        <w:rPr/>
      </w:pPr>
      <w:r>
        <w:rPr>
          <w:rFonts w:ascii="Amiri" w:hAnsi="Amiri" w:eastAsia="Amiri" w:cs="Amiri"/>
          <w:color w:val="111111"/>
          <w:sz w:val="28"/>
          <w:sz w:val="28"/>
          <w:szCs w:val="28"/>
          <w:rtl w:val="true"/>
          <w:lang w:bidi="ar-SA"/>
        </w:rPr>
        <w:t>بما يزول معه المانع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آلى من الأمة ثمّ اشتراها و أعتقها و تزوّجها لم يعد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الإيلاء متعلّقه الزوجة فالتحريم المستند إليه هو تحريم ما حلّ بالزوجيّة، فيكون دائراً معها وجوداً و عدماً، فإذا زالت بطلاقٍ أو شراءٍ أو عتقٍ زال التحريم؛ لزوال متعلّقه، وإن عاد الحلّ بأمر جديد بأن تزوّجها أو حلّت له بالشراء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يشترط في الطلاق أن يكون بائناً، وإلّا توقف زوال التحريم على انقضاء العدّة، فلو راجع فيها بقي التحريم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فرضه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زوال التحريم بشراء الأمة ثمّ عتقها و تزويجها</w:t>
      </w:r>
      <w:r>
        <w:rPr>
          <w:rStyle w:val="FootnoteAnchor"/>
          <w:rtl w:val="true"/>
        </w:rPr>
        <w:footnoteReference w:id="832"/>
      </w:r>
      <w:r>
        <w:rPr>
          <w:rFonts w:ascii="Amiri" w:hAnsi="Amiri" w:eastAsia="Amiri" w:cs="Amiri"/>
          <w:color w:val="111111"/>
          <w:sz w:val="28"/>
          <w:sz w:val="28"/>
          <w:szCs w:val="28"/>
          <w:rtl w:val="true"/>
          <w:lang w:bidi="ar-SA"/>
        </w:rPr>
        <w:t xml:space="preserve">ليس على وجه الانحصار فيه، بل يزول التحريم بمجرّد شرائها؛ لبطلان العقد بذلك، وإنّما يستبيحها </w:t>
      </w:r>
      <w:bookmarkStart w:id="235" w:name="pg10270_80262"/>
    </w:p>
    <w:p>
      <w:pPr>
        <w:pStyle w:val="Heading4"/>
        <w:numPr>
          <w:ilvl w:val="3"/>
          <w:numId w:val="1"/>
        </w:numPr>
        <w:rPr/>
      </w:pPr>
      <w:bookmarkStart w:id="236" w:name="__RefHeading___Toc3860144_1067777946"/>
      <w:bookmarkStart w:id="237" w:name="_Toc86"/>
      <w:bookmarkEnd w:id="235"/>
      <w:bookmarkEnd w:id="236"/>
      <w:r>
        <w:rPr>
          <w:rtl w:val="true"/>
        </w:rPr>
        <w:t>إذا کان تحت رجل أربع فقال</w:t>
      </w:r>
      <w:r>
        <w:rPr>
          <w:rtl w:val="true"/>
        </w:rPr>
        <w:t>:</w:t>
      </w:r>
      <w:r>
        <w:rPr>
          <w:rtl w:val="true"/>
        </w:rPr>
        <w:t>والله لا وطئتكنّ</w:t>
      </w:r>
      <w:bookmarkEnd w:id="237"/>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لأربع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وطئتكنّ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مؤلياً في الحال، و جاز له وطء ثلاث منهنّ، و يتعيّن التحريم في الرابعة و يثبت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المرافعة، و يضرب لها المدّة، ثمّ تقفه بعد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ماتت واحدة قبل الوطء انحلّت اليمين؛ لأنّ الحنث لا يتحقّق إلّا مع وطء الجميع و قد تعذّر في حقّ الميّتة؛ إذ لا حكم لوطئها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لو طلّق واحدة أو اثنتين أو ثلاثاً؛ لأنّ حكم اليمين هنا باقٍ فيمن بقي، لإمكان الوطء في المطلّقات و لو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بالملك و هو حكم جديد غير الأوّل، كاستباحتها بعقدٍ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ذلك في الظهار</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على تقدير كون المؤلي عبداً فاشترته الحرّة، فتوقّف حلّها حينئذٍ على العتق واضح؛ لأنّها لاتباح له بالعقد و هو مملوك لها و إن كان التحريم قد زال بالشراء، لزوال العقد كما زال بالطلاق البائن وإن لم يفرض تزويجه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فيما لو وطئها قبل العقد بشبهةٍ أو حراماً، فإنّه لا كفّارة؛ لزوال حكم الإيلاء بزوال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وطئتكنّ لم يكن مؤلياً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مسألة شريفة، كثر اعتناء الفضلاء ببحثها و الخلاف فيها و في 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مبنیّة على أصل هو أنّ المؤلى من علّق بالوطء مانعاً منه بيمين كما مرّ، فإذا كان الوطء بهذه المثابة كان مؤلياً، أمّا إذا لم يتعلّق المانع بالوطء لكن كان الوطء مقرّباً من الحنث فهو محذور لكنّه لايحرم، فلايكون مؤلياً به عندنا؛ لأنّه لايتعلّق به لزوم شيء و لايلحقه به 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تقرّر ذلك، فإذا كان تحته أربع نسوةٍ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وطئتكنّ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يتعلّق</w:t>
      </w:r>
    </w:p>
    <w:p>
      <w:pPr>
        <w:pStyle w:val="BookText"/>
        <w:rPr/>
      </w:pPr>
      <w:r>
        <w:rPr>
          <w:rFonts w:ascii="Amiri" w:hAnsi="Amiri" w:eastAsia="Amiri" w:cs="Amiri"/>
          <w:color w:val="111111"/>
          <w:sz w:val="28"/>
          <w:sz w:val="28"/>
          <w:szCs w:val="28"/>
          <w:rtl w:val="true"/>
          <w:lang w:bidi="ar-SA"/>
        </w:rPr>
        <w:t>باليمين و الحنث، ثمّ الإيلاء</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فمتعلّق اليمين جماعهنّ جميعاً؛ لأنّ اليمين معقودة على الكلّ من حيث هو کلّ، و محصّل حلفه أن لايجمعهنّ على الوطء، فإذا وطئهنّ لم يلزمه إلّا كفّارة واحدة؛ 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اليمين واحدة و معناها سلب العموم في وطئهنّ، لا عموم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فلو مات بعضهنّ قبل الوطء انحلّت اليمين؛ لأنّه تحقّق امتناع الحنث، و لا</w:t>
      </w:r>
    </w:p>
    <w:p>
      <w:pPr>
        <w:pStyle w:val="BookText"/>
        <w:rPr/>
      </w:pPr>
      <w:r>
        <w:rPr>
          <w:rFonts w:ascii="Amiri" w:hAnsi="Amiri" w:eastAsia="Amiri" w:cs="Amiri"/>
          <w:color w:val="111111"/>
          <w:sz w:val="28"/>
          <w:sz w:val="28"/>
          <w:szCs w:val="28"/>
          <w:rtl w:val="true"/>
          <w:lang w:bidi="ar-SA"/>
        </w:rPr>
        <w:t>نظر إلى تصوّر الإيلاج بعد الموت، فإنّ اسم الوطء يطلق على ما يقع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وجه أنّ الحنث يتعلّق بوطء الميّتة أيضاً، ومن ثَمّ تثبت العقوبة على وطء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مجاز؛ لعدم تبادر الذهن إليه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والعقوبة عليه لا تدلّ على الحقيقة،</w:t>
      </w:r>
    </w:p>
    <w:p>
      <w:pPr>
        <w:pStyle w:val="BookText"/>
        <w:rPr/>
      </w:pPr>
      <w:r>
        <w:rPr>
          <w:rFonts w:ascii="Amiri" w:hAnsi="Amiri" w:eastAsia="Amiri" w:cs="Amiri"/>
          <w:color w:val="111111"/>
          <w:sz w:val="28"/>
          <w:sz w:val="28"/>
          <w:szCs w:val="28"/>
          <w:rtl w:val="true"/>
          <w:lang w:bidi="ar-SA"/>
        </w:rPr>
        <w:t>بل هي على الفعل المحرّم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طلّقهنّ أو بعضهنّ قبل الوطء لم تنحلّ اليمين، بل تجب الكفّارة بالوطء بعد البينونة</w:t>
      </w:r>
    </w:p>
    <w:p>
      <w:pPr>
        <w:pStyle w:val="BookText"/>
        <w:rPr/>
      </w:pPr>
      <w:r>
        <w:rPr>
          <w:rFonts w:ascii="Amiri" w:hAnsi="Amiri" w:eastAsia="Amiri" w:cs="Amiri"/>
          <w:color w:val="111111"/>
          <w:sz w:val="28"/>
          <w:sz w:val="28"/>
          <w:szCs w:val="28"/>
          <w:rtl w:val="true"/>
          <w:lang w:bidi="ar-SA"/>
        </w:rPr>
        <w:t>وإن كان زنىً؛ لأنّ الاسم يشمل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فرض الحلال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بثبوت الكفّارة في هذه الحالة على تقدير وطء الباقية في النكاح مع وطئهنّ؛ لتحقّق الحنث في الحلف على وطء الزوجة، فوطء المطلّقات شرط الحصول الحنث في وطء الزوجة، لا أنّ الإيلاء يبقى متعلّقاً بهنّ لما تقدّم من أنّ الطلاق البائن يبطل اليمين</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يحصل إيلاءً في الحال، بل يجوز له وطء ثلاث منهنّ ، فإذا وطئهنّ صار مؤلياً من الرابعة وتقريب الوطء للواحدة والاثنتين إلى الحنث لا يوجب حصول الإيلاء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المسألة وجه ضعيف أنّه يكون مؤلياً منهنّ كلّهنّ، من حيث إنّ وطء كلّ واحدة</w:t>
      </w:r>
    </w:p>
    <w:p>
      <w:pPr>
        <w:pStyle w:val="BookText"/>
        <w:rPr/>
      </w:pPr>
      <w:r>
        <w:rPr>
          <w:rFonts w:ascii="Amiri" w:hAnsi="Amiri" w:eastAsia="Amiri" w:cs="Amiri"/>
          <w:color w:val="111111"/>
          <w:sz w:val="28"/>
          <w:sz w:val="28"/>
          <w:szCs w:val="28"/>
          <w:rtl w:val="true"/>
          <w:lang w:bidi="ar-SA"/>
        </w:rPr>
        <w:t>مقرّب للحنث، وقد منع نفسه من وطئهنّ باليمين بالله تعالى، فكان مؤلياً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أطأ واحدة منكنّ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تمكّنه من وطء كلّ واحدة منهنّ بغير حنث يدلّ على عدم تأثير يمينه قبل وطء</w:t>
      </w:r>
    </w:p>
    <w:p>
      <w:pPr>
        <w:pStyle w:val="BookText"/>
        <w:rPr/>
      </w:pPr>
      <w:r>
        <w:rPr>
          <w:rFonts w:ascii="Amiri" w:hAnsi="Amiri" w:eastAsia="Amiri" w:cs="Amiri"/>
          <w:color w:val="111111"/>
          <w:sz w:val="28"/>
          <w:sz w:val="28"/>
          <w:szCs w:val="28"/>
          <w:rtl w:val="true"/>
          <w:lang w:bidi="ar-SA"/>
        </w:rPr>
        <w:t>الثلاث، وهو معنى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مؤلٍ في الحال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ولهذه المسألة صور ثلاث، أحدها هذه، والباقيتان تأتيان إن شاء الله تعالى</w:t>
      </w:r>
      <w:r>
        <w:rPr>
          <w:rFonts w:eastAsia="Amiri" w:cs="Amiri" w:ascii="Amiri" w:hAnsi="Amiri"/>
          <w:color w:val="111111"/>
          <w:sz w:val="28"/>
          <w:szCs w:val="28"/>
          <w:rtl w:val="true"/>
          <w:lang w:bidi="ar-SA"/>
        </w:rPr>
        <w:t xml:space="preserve">. </w:t>
      </w:r>
      <w:bookmarkStart w:id="238" w:name="pg10270_80264"/>
    </w:p>
    <w:p>
      <w:pPr>
        <w:pStyle w:val="Heading4"/>
        <w:numPr>
          <w:ilvl w:val="3"/>
          <w:numId w:val="1"/>
        </w:numPr>
        <w:rPr/>
      </w:pPr>
      <w:bookmarkStart w:id="239" w:name="__RefHeading___Toc3860146_1067777946"/>
      <w:bookmarkStart w:id="240" w:name="_Toc87"/>
      <w:bookmarkEnd w:id="238"/>
      <w:bookmarkEnd w:id="239"/>
      <w:r>
        <w:rPr>
          <w:rtl w:val="true"/>
        </w:rPr>
        <w:t>و لو قال</w:t>
      </w:r>
      <w:r>
        <w:rPr>
          <w:rtl w:val="true"/>
        </w:rPr>
        <w:t>:</w:t>
      </w:r>
      <w:r>
        <w:rPr>
          <w:rtl w:val="true"/>
        </w:rPr>
        <w:t>لا وطئت واحدةً منكنّ، أو لا وطئت کلّ واحدةٍ منكنّ</w:t>
      </w:r>
      <w:bookmarkEnd w:id="240"/>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وطئت واحدةً منكنّ تعلّق الإيلاء بالجميع، وضربت المدّة لهنّ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وطئ واحدةً حنث وانحلّت اليمين في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 واحدةً أو اثنتين أو ثلاثاً كان الإيلاء ثابتاً فيمن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في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واحدة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 قوله؛ لأنّه أبصر بنيّته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وطئت واحدةً منكنّ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الإيلاء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هي الصورة الثانیّة من صور المسألة، وهي ما إذا قال للأربع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وطئت واحدةً منكنّ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أحوال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الامتناع عن كلّ واحدة منهنّ، فيكون مؤلياً منهنّ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التعميم هنا كالتعميم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أُجامعكنّ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اللفظ هناك تناول كلّهنّ، ولا يحصل الحنث بجماع بعضهنّ، وها هنا اليمين تتعلّق بآحادهنّ وتنزل على كلّ واحدة منهنّ على البدل، فيكون مؤلياً منهن جميعاً؛ لتعلّق الكفّارة بوطء أيّة واحدةٍ منهنّ وطئها؛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وطئت واحدةً نقيض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وطئت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موجبة جزئيّة أو في قوّتها، فيكون نقيضها سالبةً كلّيّةً، فتفيد عموم السلب لا سلب العموم، عكس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ولهنّ المطالبة بعد المدّة، فإن طلّق بعضهنّ بقي الإيلاء في حقّ الباقيات، وإن وطئ بعضهنّ حصل الحنث؛ لأنّه خالف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أجامع واحدة منكنّ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فتنحلّ اليمين، ويرتفع الإيلاء في حقّ الباقيات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يريد الامتناع عن واحدة منهنّ لا غير فيُقبل قوله؛ لاحتمال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عدم القبول؛ لأنّ اللفظ يقع على كلّ واحدةٍ على البدل، وهو متّهم في إخراج بعضهن عن موجب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ويضعّف بأنّه أعرف بنيّته، مع احتمال اللفظ لما ادّعاه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يخلو إمّا أن يريد واحدةً بعينها، أو واحدةً غير معيّنة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الأوّل فهو مؤل عنها ويؤمر بالبيان كما في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بيّن واحدة فإن صدّقه الباقيات فذاك، وإن ادّعت غيرها أنّه عناها وأنكر فهو المصدّق بيمينه، فإن نكل حلفت المدّعية وحكم بكونه مؤلياً عنها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أقرّ في جواب الثانیّة أنّه عناها أخذناه بموجب إقراره وطالبناء بالفيئة أو الطلاق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يقبل رجوعه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وطئهما في صورة إقراره تعدّدت الكفّارة، وإن وطئهما في صورة نكوله ويمين المدّعية لم يتعدّد؛ لأنّ يمينها لا تصلح لإلزام الكفّارة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ادّعت واحدة أوّلاً أنّك عنيتني،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عنيتك، أو ما آليت منك، وبمثله أجاب ثانیةً وثالثة، تعيّنت الرابعة للإيلاء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أراد واحدةً غير معيّنة ففي كونه مؤلياً وجهان، مثلهما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المبهمة</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به أُمر بالتعيين ويكون مؤلياً من إحداهنّ لا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عيّن واحدةً لم يكن لغيرها المنازعة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كون المدّة من وقت التعيين أو وقت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جعلنا مدّة الإيلاء من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مبنيّان على أنّ الطلاق المبهم إذا عيّنه يقع عند التعيين أو يستند إلى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يعيّن ومضت أربعة أشهر، فإن أوقعنا الإيلاء من حينه وطالبن أُمر بالتعيين ثمّ الفيئة أو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فاء إلى واحدةٍ أو اثنتين أو ثلاث أو طلّق لم يخرج عن موجب الإيلاء لاحتمال أنّ المؤلي عنها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 التي آليت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موجب الإيلاء، لكنّ المطلّقة مبهمة، فعليه التعيين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يريد تحريم كلّ واحدة واحدة فيُقبل قوله أيضاً؛ لاحتمال اللفظ له؛ لأنّ السلب داخل على نكرةٍ فيفيد العموم كما مرّ، فيقع الإيلاء على کلّ واحدة واحدة لا على سبيل البدل، وتتعدّد اليمين كما سيأتي في القسم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اللفظ، فلم ينو التعميم ولا التخصيص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p>
    <w:p>
      <w:pPr>
        <w:pStyle w:val="BookText"/>
        <w:rPr/>
      </w:pPr>
      <w:r>
        <w:rPr>
          <w:rFonts w:ascii="Amiri" w:hAnsi="Amiri" w:eastAsia="Amiri" w:cs="Amiri"/>
          <w:color w:val="111111"/>
          <w:sz w:val="28"/>
          <w:sz w:val="28"/>
          <w:szCs w:val="28"/>
          <w:rtl w:val="true"/>
          <w:lang w:bidi="ar-SA"/>
        </w:rPr>
        <w:t>أنّه يحمل على التخصيص بواحدة؛ لأنّ اللفظ محتمل له وهو أقلّ المحملين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فيكون الحكم كما لو أراد واحدةً لا بعينها وأشبههما الحمل على التعميم؛ لأنّه المعنى المشهور عند الإطلاق والاستعمال، ولذلك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عند النفي تعمّ، وأصالة الإباحة وحدوث التحريم بسبب الإيلاء الذي لا يعلم وجوده قد انتفى بوجود اللفظ الظاهر في معناه العامّ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وطئت كلّ واحدةٍ منكنّ كان مؤلياً من كلّ واحدة، كما لو آلى من كلّ واحدةٍ 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طلّقها فقد وفّاها حقّها ولم تنحلّ اليمين في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وطئها قبل الطلاق لزمته الكفّارة، وكان الإيلاء في البواقي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وطئت كلّ واحدة منكنّ كان مؤلياً من كلّ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الصورة الثالثة، وهي أن يقول للنسوة الأربع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وطئت كلّ واحدة منكنّ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يكون مؤلياً منهنّ جميعاً ؛ لتعلّق المحذور بوطء کلّ واحدةٍ منهنّ وهو الحنث ولزوم الكفّارة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وتضرب المدّة في الحال، فإذا مضت فلکلّ واحدةٍ منهنّ مطالبته بالفيئة أو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طلّقهنّ سقطت المطالبة، وإن طلّق بعضهنّ فالباقيات على مطالبتهنّ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وطئ واحدةً فالمشهور أنّ اليمين لا تنحلّ؛ لأنّ هذه الصيغة في قوّة اليمين المتعدّدة، فإنّ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أجامع كلّ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يتضمّن تخصيص كلّ واحدةٍ بالإيلاء على وجه لا يتعلّق بصواحباتها، حتّى أفرد کلّ واحدة بيمين كأنّه قدّره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أُجامع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أُجامع هذه إلى آخر 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قيل بانحلال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يمين واحدة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أجامع واحدةً منكنّ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وجهاً، لاشتراكهما في العموم، وإن كانت هذه آكد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الكلام 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كلّمت كلّ واحد من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جملة ما أوردوه في هذه الصورة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يقال هنا كما قيل في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إن قصد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أُجامع کلّ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الذي قرّروه اتّجه بقاء الإيلاء في حقّ الباقيات، وإلّا كان الحكم فيها كالحكم فيما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أُجامعكنّ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يحصل الحنث ولا تلزم الكفّارة إلّا بوطء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يكون مؤلياً في الحال على ما قرّر هناك لوجهين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وطئ بعضهنّ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كالواحدة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يطأ کلّ واحدة </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آلى من الرجعيّة صحّ، ويحتسب زمان العدّة من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طلّقها رجعيّاً بعد الإيلاء وراجع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منهنّ وإنّما وطئ واحدةً منهنّ، كما يصدق أنّه لم يطأهنّ وإنّما وطئ إحداهنّ، وذلك يدلّ على أنّ مفهوم اللفظين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کلّ واحدة من نسائي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يؤديّان معنىً واحداً، وإذا اتّحد معناهما في طرف الإثبات فكذلك في طرف النفي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أجامع کلّ واحدةٍ منكنّ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أجامعكنّ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على ما ذكره الشيخ عبد القاهر</w:t>
      </w:r>
      <w:r>
        <w:rPr>
          <w:rStyle w:val="FootnoteAnchor"/>
          <w:rtl w:val="true"/>
        </w:rPr>
        <w:footnoteReference w:id="837"/>
      </w:r>
      <w:r>
        <w:rPr>
          <w:rFonts w:ascii="Amiri" w:hAnsi="Amiri" w:eastAsia="Amiri" w:cs="Amiri"/>
          <w:color w:val="111111"/>
          <w:sz w:val="28"/>
          <w:sz w:val="28"/>
          <w:szCs w:val="28"/>
          <w:rtl w:val="true"/>
          <w:lang w:bidi="ar-SA"/>
        </w:rPr>
        <w:t xml:space="preserve">ومن تبعه من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النفي إذا دخلت في حيّزه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قدّم عليها لفظاً،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ماكلّ ما يتمنّى المرء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كلّ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تقديراً بأن قدّمت على الفعل المنفىّ وأعمل فيها؛ لأنّ العامل رتبته التقدّم على المعمول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الدراهم لم آخذ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توجّه النفي إلى الشمول خاصّةً دون أصل الفعل، وأفاد الكلام ثبوته لبعض أو تعلّقه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المقام بحث، وله جواب لا يليق بهذا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آلى من الرجعيّة صحّ، ويحتسب زمان العدّة من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تكرّر أنّ المطلّقة رجعيّاً بمنزلة الزوجة، فيقع بها الإيلاء كما يقع بالزوجة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قلنا بأنّ المدّة تضرب من حين الإيلاء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ترافعه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 زمان العدّة من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إنّها من حين المرافعة فليس للمطلّقة المرافعة؛ لأنّها لا تستحقّ عليه الاستمتاع، فلا يحتسب منها شيء من العدّة، بل إن راجعها فرافعته ضربت لها المدّة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طلّقها بعد بعد الإيلاء طلاقاً رجعيّاً فمقتضى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تنقطع، بل يحتسب زمان العدّة من المدّة، فإن راجع طولب بأحد الأمرين مع انقضائها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أنّه وإن كانت الزوجيّة قد اختلّت إلّا أنّه متمكّن من الوطء بالرجعة، فلا يكون الطلاق عذراً كالردّة، وإن افترقا بأنّ النكاح معها لا ينخرم، والطلاق بالرجعة لا ينهدم؛ لأنّ هذا الفرق لا يوجب اختلاف الحكم هنا؛ لاشتراكهما في التمكّن من الوطء بإزالة المانع من قبل الزوج</w:t>
      </w:r>
      <w:r>
        <w:rPr>
          <w:rFonts w:eastAsia="Amiri" w:cs="Amiri" w:ascii="Amiri" w:hAnsi="Amiri"/>
          <w:color w:val="111111"/>
          <w:sz w:val="28"/>
          <w:szCs w:val="28"/>
          <w:rtl w:val="true"/>
          <w:lang w:bidi="ar-SA"/>
        </w:rPr>
        <w:t xml:space="preserve">. </w:t>
      </w:r>
      <w:bookmarkStart w:id="241" w:name="pg10270_80268"/>
    </w:p>
    <w:p>
      <w:pPr>
        <w:pStyle w:val="Heading4"/>
        <w:numPr>
          <w:ilvl w:val="3"/>
          <w:numId w:val="1"/>
        </w:numPr>
        <w:rPr/>
      </w:pPr>
      <w:bookmarkStart w:id="242" w:name="__RefHeading___Toc3860148_1067777946"/>
      <w:bookmarkStart w:id="243" w:name="_Toc88"/>
      <w:bookmarkEnd w:id="241"/>
      <w:bookmarkEnd w:id="242"/>
      <w:r>
        <w:rPr>
          <w:rtl w:val="true"/>
        </w:rPr>
        <w:t>هل يتکرّر الکفّارة بتکرّر اليمین؟</w:t>
      </w:r>
      <w:bookmarkEnd w:id="243"/>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تتكرّر الكفّارة بتكرّر اليمين سواء قصد التأكيد أو لم يقصد، أو قصد بالثانیّة غير ما قصد بالأُولى، إذا كان الزمان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وطئتكِ خمسة أشهر فإذا انقضت فو الله لا وطئتكِ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إيلاءان ولها المرافعة لضرب مدّة التربّص عقيب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واقفته فماطل حتّى انقضت خمسة أشهر فقد انحلّت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وقت الإيلاء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وجه ببطلان الثاني؛ لتعليقه على الصفة على ما قرّره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منع من احتساب المدّة فيهما؛ محتجّاً بأنّ الطلاق رفع النكاح وأجراها إلى البينونة</w:t>
      </w:r>
      <w:r>
        <w:rPr>
          <w:rStyle w:val="FootnoteAnchor"/>
          <w:rtl w:val="true"/>
        </w:rPr>
        <w:footnoteReference w:id="838"/>
      </w:r>
      <w:r>
        <w:rPr>
          <w:rFonts w:ascii="Amiri" w:hAnsi="Amiri" w:eastAsia="Amiri" w:cs="Amiri"/>
          <w:color w:val="111111"/>
          <w:sz w:val="28"/>
          <w:sz w:val="28"/>
          <w:szCs w:val="28"/>
          <w:rtl w:val="true"/>
          <w:lang w:bidi="ar-SA"/>
        </w:rPr>
        <w:t>، بمعنى أنّها في العدّة في زمان يقتضي مضيّه البينونة، فلا يجوز احتساب هذه المدّة من مدّةٍ يقتضي مضيّها المطالبة بالوطء وهو زمان التربّص؛ لتضادّ الأثرين المقتضي لتضادّ المؤثّرين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ووافقه في التحرير على انهدامها</w:t>
      </w:r>
      <w:r>
        <w:rPr>
          <w:rStyle w:val="FootnoteAnchor"/>
          <w:rtl w:val="true"/>
        </w:rPr>
        <w:footnoteReference w:id="839"/>
      </w:r>
      <w:r>
        <w:rPr>
          <w:rFonts w:ascii="Amiri" w:hAnsi="Amiri" w:eastAsia="Amiri" w:cs="Amiri"/>
          <w:color w:val="111111"/>
          <w:sz w:val="28"/>
          <w:sz w:val="28"/>
          <w:szCs w:val="28"/>
          <w:rtl w:val="true"/>
          <w:lang w:bidi="ar-SA"/>
        </w:rPr>
        <w:t>، وأنّه إن راجع ضربت له مدّة أخرى، ووقف عند انقضائها، فإن فاء أو طلّق وفّى، فإن راجع ضربت له مدّة أخرى، ووقف بعد انقضائها،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المصنّف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تتكرّر الكفّارة بتكرّر اليمين، سواء قصد التأكيد أو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عدم تكرّر الكفّارة بتكرّر اليمين إذا قصد التأكيد بما عدا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أطلق أو قصد التأسيس فظاهر الأصحاب أنّه كذلك؛ لصدق الإيلاء مع تعدّد اليمين، فتكفيه كفّارة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إشكال، خصوصاً مع قصد التأسيس؛ فإنّ كلّ واحدٍ سبب مستقلّ في إيجاب الكفّارة، والأصل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آت في مطلق اليمين؛ لاشتراكهما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اتّحد زمان المحلوف عليه إمّا مطلقاً أو مقيّداً، كأن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وطئتك والله لا وطئتكِ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وطئتك خمسة أشهرٍ والله لا وطئتك خمسة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إذا اختلف زمان اليمينين كما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وطئتكِ خمسة أشهر فإذا انقضت فوالله لا وطئتكِ سنةً فقد أتى بيمينين کلّ واحدةٍ منهما تشتمل على مدّة الإيلاء، لكن الأُولى منجّزة والثانیّة معلّقة على صفةٍ، فإن لم نقل بصحّة المعلّق اختصّ البحث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جوّزناه فلها المطالبة بعد مضيّ أربعة أشهرٍ بموجب اليمين الأوّل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المدّة من حين الإيلاء، وإلّا فلها المرافعة لضرب المدّة، فإن بقي منها بعد ضربها ما يزيد عن أربعة أشهرٍ أُلزم بأحد الأمرين بعدها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أخّرت المطالبة حتّى مضيّ الشهر الخامس فلا مطالبة بموجب تلك اليمين؛ لانحلالها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طالبته فى الخامس أو ضربت المدّة من الأوّل، فإن فاء إليها في الخامس خرج عن موجب الإيلاء الأوّل، فإذا انقضى الشهر الخامس استفتحت مدّة الإيلاء الثاني، فإن طلّق سقطت عنه المطالبة في الحال، ثمّ إن راجعها في الشهر الخامس بني على أنّ الطلاق الرجعي هل يقطع المدّة أم لا؟ فإن لم نقل بقطعها فالحكم كما سبق، وإلّا ضربت المدّة للإيلاء الثاني عند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وطئها بعد الرجعة في باقي الشهر انحلّت اليمين الأُولى وبقيت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لو طلّق</w:t>
      </w:r>
    </w:p>
    <w:p>
      <w:pPr>
        <w:pStyle w:val="BookText"/>
        <w:rPr/>
      </w:pPr>
      <w:r>
        <w:rPr>
          <w:rFonts w:ascii="Amiri" w:hAnsi="Amiri" w:eastAsia="Amiri" w:cs="Amiri"/>
          <w:color w:val="111111"/>
          <w:sz w:val="28"/>
          <w:sz w:val="28"/>
          <w:szCs w:val="28"/>
          <w:rtl w:val="true"/>
          <w:lang w:bidi="ar-SA"/>
        </w:rPr>
        <w:t>بائناً؛ لأنّ الطلاق البائن إنّما يحلّ الإيلاء الحاصل لا المتوّقع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عقد اليمينين على مدّتين تدخل إحداهما في الأُخرى،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أُجامعك خمسةَ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أُجامعك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مضت أربعة أشهرٍ فلها مطالبته، فإن فاء انحلّت اليمينان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أوجبنا الكفّارة فالواجب كفّارة واحدة أو كفّارتان على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طلّقها ثم راجعها أو جدّد نكاحها، فإن بقي من السنة أربعة أشهرٍ أو أقلّ لم يعد الإيلاء، وتبقى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بقي أكثر من أربعة أشهٍر، أو لم نقل ببطلان المدّة عاد الإيلاء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تجديده ما سبق</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مضت الخمسة فو الله لا أُجامعك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مؤلياً بعد الخمسة دائماً، وأتى فيه ما ذكر</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أصبتك سنةً إلّا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مؤلياً في الحال؛ لأنّ له الوطء من غير 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وطئ وقع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ينظر فإن تخلّف من المدّة قدر التربّص فصاعداً صحّ، وكان لها المواقفة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دون ذلك بطل حكم 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أصبتك سنةً إلّا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مؤلياً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أُجامعك سنةً إلّا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مؤلياً في الحال عندنا؛ لأنّه لا يلزمه بالوطء شيء؛ لاستثنائه الوطء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وطئها نظر إن بقي من السنة أكثر من أربعة أشهرٍ فهو مؤلٍ من يومئذٍ؛ لحصول الحنث ولزوم الكفّارة لو وطئ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بقي أربعة أشهر فما دونها فهو حالف وليس بمؤلٍ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بعض العامّة يكون مؤلياً في الحال</w:t>
      </w:r>
      <w:r>
        <w:rPr>
          <w:rStyle w:val="FootnoteAnchor"/>
          <w:rtl w:val="true"/>
        </w:rPr>
        <w:footnoteReference w:id="841"/>
      </w:r>
      <w:r>
        <w:rPr>
          <w:rFonts w:ascii="Amiri" w:hAnsi="Amiri" w:eastAsia="Amiri" w:cs="Amiri"/>
          <w:color w:val="111111"/>
          <w:sz w:val="28"/>
          <w:sz w:val="28"/>
          <w:szCs w:val="28"/>
          <w:rtl w:val="true"/>
          <w:lang w:bidi="ar-SA"/>
        </w:rPr>
        <w:t>لأنّ الوطأة الأُولى وإن لم يحصل بها الحنث فهي مقرّبة منه، كما سبق مثله في حلفه على وطء الأربع</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وعلى هذا القياس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أُجامعك إلّا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عدداً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اخترناه</w:t>
      </w:r>
    </w:p>
    <w:p>
      <w:pPr>
        <w:pStyle w:val="BookText"/>
        <w:rPr/>
      </w:pPr>
      <w:r>
        <w:rPr>
          <w:rFonts w:ascii="Amiri" w:hAnsi="Amiri" w:eastAsia="Amiri" w:cs="Amiri"/>
          <w:color w:val="111111"/>
          <w:sz w:val="28"/>
          <w:sz w:val="28"/>
          <w:szCs w:val="28"/>
          <w:rtl w:val="true"/>
          <w:lang w:bidi="ar-SA"/>
        </w:rPr>
        <w:t>لا يكون مؤلياً إلى أن يستوفي ذلك العدد ويبقى من السنة مدّة 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أصبتك في هذه السنة فوالله لا أصبتك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أطلق لم يكن مؤلياً في الحال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وقوعه بعد الإصابة على جواز المعلَّق على الشرط، بخلاف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أنّه في الصورة الأُولى عقد اليمين في الحال واستثنى وطأه واحدة، وها هنا اليمين غير معقودة في الحال وإنّما تنعقد إذا أصابها، فلا يثبت الإيلاء قبل انعقاد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أُجامعك سنةً إلّا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مرّةً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على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يطأها في السنة أصلاً، هل تلزمه الكفّارة؟ وجهان، نعم؛ لأنّ اللفظ يقتضي أن يفعل مرّةً؛ لأنّ الاستثناء من النفي إثبات، و لا؛ لأنّ المقصود باليمين أن لا يزيد على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وطئ في هذه الصورة ونزع ثمّ أولج ثانياً لزمته الكفّارة بالإيلاج الثاني؛ لأنّه وطء مجدّد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العدم مصيراً إلى العرف، والإيلاجات المتتابعة في العرف تُعدّ وطأةً واحدةً، كما أنّ اسم الأكلة يقع على ما يحويه جلسة على الاعتياد</w:t>
      </w:r>
      <w:r>
        <w:rPr>
          <w:rFonts w:eastAsia="Amiri" w:cs="Amiri" w:ascii="Amiri" w:hAnsi="Amiri"/>
          <w:color w:val="111111"/>
          <w:sz w:val="28"/>
          <w:szCs w:val="28"/>
          <w:rtl w:val="true"/>
          <w:lang w:bidi="ar-SA"/>
        </w:rPr>
        <w:t xml:space="preserve">. </w:t>
      </w:r>
      <w:bookmarkStart w:id="244" w:name="pg10270_80271"/>
    </w:p>
    <w:p>
      <w:pPr>
        <w:pStyle w:val="Heading2"/>
        <w:numPr>
          <w:ilvl w:val="1"/>
          <w:numId w:val="1"/>
        </w:numPr>
        <w:rPr/>
      </w:pPr>
      <w:bookmarkStart w:id="245" w:name="__RefHeading___Toc3860150_1067777946"/>
      <w:bookmarkStart w:id="246" w:name="_Toc89"/>
      <w:bookmarkEnd w:id="244"/>
      <w:bookmarkEnd w:id="245"/>
      <w:r>
        <w:rPr>
          <w:rtl w:val="true"/>
        </w:rPr>
        <w:t>كتاب اللعان</w:t>
      </w:r>
      <w:bookmarkEnd w:id="246"/>
    </w:p>
    <w:p>
      <w:pPr>
        <w:pStyle w:val="Heading3"/>
        <w:numPr>
          <w:ilvl w:val="2"/>
          <w:numId w:val="1"/>
        </w:numPr>
        <w:rPr/>
      </w:pPr>
      <w:bookmarkStart w:id="247" w:name="__RefHeading___Toc3860152_1067777946"/>
      <w:bookmarkStart w:id="248" w:name="_Toc90"/>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والنظر في أركانه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وأركانه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الرکن الأوّل فی سبب اللعان</w:t>
      </w:r>
    </w:p>
    <w:p>
      <w:pPr>
        <w:pStyle w:val="BookText"/>
        <w:rPr/>
      </w:pPr>
      <w:r>
        <w:rPr>
          <w:rFonts w:ascii="Amiri" w:hAnsi="Amiri" w:eastAsia="Amiri" w:cs="Amiri"/>
          <w:color w:val="111111"/>
          <w:sz w:val="28"/>
          <w:sz w:val="28"/>
          <w:szCs w:val="28"/>
          <w:rtl w:val="true"/>
          <w:lang w:bidi="ar-SA"/>
        </w:rPr>
        <w:t>الأوّل في السبب</w:t>
      </w:r>
    </w:p>
    <w:p>
      <w:pPr>
        <w:pStyle w:val="BookText"/>
        <w:rPr/>
      </w:pPr>
      <w:r>
        <w:rPr>
          <w:rFonts w:ascii="Amiri" w:hAnsi="Amiri" w:eastAsia="Amiri" w:cs="Amiri"/>
          <w:color w:val="111111"/>
          <w:sz w:val="28"/>
          <w:sz w:val="28"/>
          <w:szCs w:val="28"/>
          <w:rtl w:val="true"/>
          <w:lang w:bidi="ar-SA"/>
        </w:rPr>
        <w:t>وهو شيئان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اللعان</w:t>
      </w:r>
    </w:p>
    <w:p>
      <w:pPr>
        <w:pStyle w:val="Heading3"/>
        <w:numPr>
          <w:ilvl w:val="2"/>
          <w:numId w:val="1"/>
        </w:numPr>
        <w:rPr/>
      </w:pPr>
      <w:bookmarkStart w:id="249" w:name="__RefHeading___Toc3860154_1067777946"/>
      <w:bookmarkStart w:id="250" w:name="_Toc91"/>
      <w:bookmarkEnd w:id="249"/>
      <w:r>
        <w:rPr>
          <w:rtl w:val="true"/>
        </w:rPr>
        <w:t>تعریف اللعان</w:t>
      </w:r>
      <w:bookmarkEnd w:id="250"/>
    </w:p>
    <w:p>
      <w:pPr>
        <w:pStyle w:val="BookText"/>
        <w:rPr/>
      </w:pPr>
      <w:r>
        <w:rPr>
          <w:rFonts w:ascii="Amiri" w:hAnsi="Amiri" w:eastAsia="Amiri" w:cs="Amiri"/>
          <w:color w:val="111111"/>
          <w:sz w:val="28"/>
          <w:sz w:val="28"/>
          <w:szCs w:val="28"/>
          <w:rtl w:val="true"/>
          <w:lang w:bidi="ar-SA"/>
        </w:rPr>
        <w:t>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لا عن يلاعن، وقد يستعمل جمعاً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الطرد والإبعاد</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معلومة جعلت حجّة للمضطرّ إلى قذف من لطخ فراشه وألحق العار به،</w:t>
      </w:r>
    </w:p>
    <w:p>
      <w:pPr>
        <w:pStyle w:val="BookText"/>
        <w:rPr/>
      </w:pPr>
      <w:r>
        <w:rPr>
          <w:rFonts w:ascii="Amiri" w:hAnsi="Amiri" w:eastAsia="Amiri" w:cs="Amiri"/>
          <w:color w:val="111111"/>
          <w:sz w:val="28"/>
          <w:sz w:val="28"/>
          <w:szCs w:val="28"/>
          <w:rtl w:val="true"/>
          <w:lang w:bidi="ar-SA"/>
        </w:rPr>
        <w:t>أو إلى نفي ولد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وسمّيت لعاناً لاشتمالها على كلمة اللعن، وخصّت بهذه التسمية؛ لأنّ اللعن كلمة غريبة في مقام الحجج من الشهادات والأيمان، والشيء يشتهر بما يقع فيه من الغريب، وعلى ذلك جرى معظم تسميات سور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 بما يشتقّ من الغضب؛ لأنّ لفظ الغضب يقع في جانب المرأة وجانب الرجل أقوى، وأيضاً فلعانه يسبق لعانها، وقد ينفكّ عن لعانها، أو 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 من المتلاعنين يبعد عن الآخر بها؛ إذ يحرم النكاح بينهما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والأصل فيه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يَرْمُونَ أَزْوَاجَهُمْ </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وسبب نزولها ما روي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هلال بن أُميّة قذف امرأته عند النبيّ صلّى الله عليه و آله وسلّم بشريك بن سحماء، فقال النبيّ صلّى الله عليه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البيّنة أو حدّ في ظهرك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إذا رأى أحدنا على امرأته رجلاً ينطلق يلتمس البيّنة ؟ فجعل النبيّ صلّى الله عليه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البيّنة وإلّا حدّ في ظهرك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بعثك بالحقّ نبيّاً، إنّي لصادق، ولينزلنّ الله تعالى ما يبرئ ظهري من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جبرئيل  علیه السلام وأنزل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يَرْمُونَ أَزْوَاجَهُمْ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الآيات</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سهل بن سعد الساعدي أنّ عويمر العجلاني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رجلاً وجد مع امرأته رجلاً فقتله فيقتلونه؟ أم كيف يفعل ؟ فقال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أنزل فيك و في صاحبتك قرآناً، فاذهب فأت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فأتى بها، 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فتلاعنا وأنا مع الناس عند رسول الله صلّى الله عليه و آله وسلّم</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وذكروا أنّ الآيات وردت في قصّة هلال</w:t>
      </w:r>
      <w:r>
        <w:rPr>
          <w:rStyle w:val="FootnoteAnchor"/>
          <w:rtl w:val="true"/>
        </w:rPr>
        <w:footnoteReference w:id="847"/>
      </w:r>
      <w:r>
        <w:rPr>
          <w:rFonts w:ascii="IRNazanin" w:hAnsi="IRNazanin" w:eastAsia="IRNazanin"/>
          <w:color w:val="111111"/>
          <w:sz w:val="28"/>
          <w:sz w:val="28"/>
          <w:szCs w:val="28"/>
          <w:rtl w:val="true"/>
          <w:lang w:bidi="fa-IR"/>
        </w:rPr>
        <w:t>، وقوله في القصّة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فيك وفي صاحبتك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على أنّ المراد أنّه بين حكم الواقعة بما أنزل في حقّ هلال، والحكم على الواحد حكم على الجماعة</w:t>
      </w:r>
      <w:r>
        <w:rPr>
          <w:rFonts w:eastAsia="IRNazanin" w:cs="IRNazanin"/>
          <w:color w:val="111111"/>
          <w:sz w:val="28"/>
          <w:szCs w:val="28"/>
          <w:rtl w:val="true"/>
          <w:lang w:bidi="fa-IR"/>
        </w:rPr>
        <w:t xml:space="preserve">. </w:t>
      </w:r>
      <w:bookmarkStart w:id="251" w:name="pg10270_80273"/>
    </w:p>
    <w:p>
      <w:pPr>
        <w:pStyle w:val="Heading3"/>
        <w:numPr>
          <w:ilvl w:val="2"/>
          <w:numId w:val="1"/>
        </w:numPr>
        <w:rPr/>
      </w:pPr>
      <w:bookmarkStart w:id="252" w:name="__RefHeading___Toc3860156_1067777946"/>
      <w:bookmarkStart w:id="253" w:name="_Toc92"/>
      <w:bookmarkEnd w:id="251"/>
      <w:bookmarkEnd w:id="252"/>
      <w:r>
        <w:rPr>
          <w:rtl w:val="true"/>
        </w:rPr>
        <w:t>النظر الأوّل في أرکانه</w:t>
      </w:r>
      <w:bookmarkEnd w:id="253"/>
    </w:p>
    <w:p>
      <w:pPr>
        <w:pStyle w:val="Heading4"/>
        <w:numPr>
          <w:ilvl w:val="3"/>
          <w:numId w:val="1"/>
        </w:numPr>
        <w:rPr/>
      </w:pPr>
      <w:bookmarkStart w:id="254" w:name="__RefHeading___Toc3860158_1067777946"/>
      <w:bookmarkStart w:id="255" w:name="_Toc93"/>
      <w:bookmarkEnd w:id="254"/>
      <w:r>
        <w:rPr>
          <w:rtl w:val="true"/>
        </w:rPr>
        <w:t>الرکن الأوّل فی سبب اللعان</w:t>
      </w:r>
      <w:bookmarkEnd w:id="255"/>
    </w:p>
    <w:p>
      <w:pPr>
        <w:pStyle w:val="Heading5"/>
        <w:numPr>
          <w:ilvl w:val="4"/>
          <w:numId w:val="1"/>
        </w:numPr>
        <w:rPr/>
      </w:pPr>
      <w:bookmarkStart w:id="256" w:name="__RefHeading___Toc3860160_1067777946"/>
      <w:bookmarkStart w:id="257" w:name="_Toc94"/>
      <w:bookmarkEnd w:id="256"/>
      <w:r>
        <w:rPr>
          <w:rtl w:val="true"/>
        </w:rPr>
        <w:t>السبب الأوّل</w:t>
      </w:r>
      <w:r>
        <w:rPr>
          <w:rtl w:val="true"/>
        </w:rPr>
        <w:t xml:space="preserve">: </w:t>
      </w:r>
      <w:r>
        <w:rPr>
          <w:rtl w:val="true"/>
        </w:rPr>
        <w:t>القذف</w:t>
      </w:r>
      <w:bookmarkEnd w:id="25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يترتّب اللعان به إلّا على رمي الزوجة المحصنة المدخول بها بالزني قبلاً أو دبراً، مع دعوى المشاهدة وعدم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رمى الأجنبیّة تعيّن الحدّ ولا 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لو قذف الزوجة ولم يدّع المشاهدة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له بيّنة فلا لعان ولا حدّ وكذا لو كانت المقذوفة مشهورةً بالزني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يترتّب اللعان به إلّا على رمي الزوجة المحصنة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بنفى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أنّ اللعان حجّة شُرّعت للزوج من حيث إنّه قد يضطرّ إلى القذف ولا تساعده البيّنة، فيحتاج إلى دفع الحدّ عن نفسه وإلى الانتقام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يقتضي اختصاصه بالنكاح، فلا لعان للأجنبي؛ لأنّه لا ضرورة له في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مع ذلك أنّ الله تعالى خصّ الحكم بالزوجة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يَرْمُونَ أَزْوَاجَهُمْ</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والمحصنة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الصاد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العفيفة عن وطءٍ محرّمٍ لا يصادف ملكاً وإن اشتمل على عقدٍ، لا ما صادفه وإن حرم كوقت الحيض والإحرام والظهار، فلا تخرج به عن الإحصان وكذا وطء الشبهة ومقدّمات الوطء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وقيّدها بالدخول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سيأتي من الخلاف في هذا الشرط</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موضع الوفاق أو على ما يختاره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واشتراطه بدعوى المشاهدة يخرج ما إذا أطلق أو صرّح بعدمها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مذهب الأصحاب وبعض العامّة</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إطلاق الآية</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شهادة به، وهي مشروطة </w:t>
      </w:r>
    </w:p>
    <w:p>
      <w:pPr>
        <w:pStyle w:val="BookText"/>
        <w:rPr/>
      </w:pPr>
      <w:r>
        <w:rPr>
          <w:rFonts w:ascii="Amiri" w:hAnsi="Amiri" w:eastAsia="Amiri" w:cs="Amiri"/>
          <w:color w:val="111111"/>
          <w:sz w:val="28"/>
          <w:sz w:val="28"/>
          <w:szCs w:val="28"/>
          <w:rtl w:val="true"/>
          <w:lang w:bidi="ar-SA"/>
        </w:rPr>
        <w:t>ويتفرّع على اشتراط المشاهدة سقوط اللعان في حقّ الأعمى بالقذف؛ لتعذّر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في حقّه بنفي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أخبار كثيرة منها صحيحة الحلبي عن أبي عبد الله عیه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قذف الرجل امرأته فإنّه لا يلاعنها حتّى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بين رجليها رجلاً يزني بها</w:t>
      </w:r>
      <w:r>
        <w:rPr>
          <w:rFonts w:eastAsia="IRNazanin" w:cs="IRNazanin"/>
          <w:color w:val="111111"/>
          <w:sz w:val="28"/>
          <w:szCs w:val="28"/>
          <w:rtl w:val="true"/>
          <w:lang w:bidi="fa-IR"/>
        </w:rPr>
        <w:t>»</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حسنة محمّد بن مسلم</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ويلزم من هذا الشرط أنّ الأعمى لو قذف زوجته حُدّ؛ لعدم إمكان اللعان في حقّه من حيث عدم المشاهدة، وإنّما يتوجّه لعانه بسبب نفي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بإمكان علمه بدون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واشتراط المشاهدة لو سُلّم يمكن حمله على من يمكن في حقّه، أو على جعله كنايةً عن العلم بذلك، وأنّه لا يكفي الظنّ المستند إلى القرائن أو الشياع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وينبّه عليه سقوط اللعان بقذف المشهورة بالزنى ويؤيده عموم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يَرْمُونَ أَزْوَاجَهُمْ</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الفرق بين الشياع المجرّد وبين المنضمّ إلى القرائن المفيدة للعلم عادةً، فإنّه قد يذكره غير ثقةٍ فينتشر، أو يشيعه عدوّ لها أوله، أو من طمع فيها فخاب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یصحّ القذف بمجرّد القرينة بأن يراها معه في خلوة، أو يراه يخرج من عندها؛ لأنّه ربما دخل لخوف أو سرقة أو طمع، بخلاف ما إذا اجتمع الأمران، أو انضمّ إليهما أو إلى الشياع قرائن أفادت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الأصحاب أطلقوا اشتراط المعاينة؛ نظراً إلى ظاهر النصوص</w:t>
      </w:r>
      <w:r>
        <w:rPr>
          <w:rFonts w:eastAsia="IRNazanin" w:cs="IRNazanin"/>
          <w:color w:val="111111"/>
          <w:sz w:val="28"/>
          <w:szCs w:val="28"/>
          <w:rtl w:val="true"/>
          <w:lang w:bidi="fa-IR"/>
        </w:rPr>
        <w:t>.</w:t>
      </w:r>
      <w:r>
        <w:rPr>
          <w:rStyle w:val="FootnoteAnchor"/>
          <w:rtl w:val="true"/>
        </w:rPr>
        <w:footnoteReference w:id="85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فيمكن استناده إلى البيّنة أو إقرارها، وذلك يسقط الحدّ عن الأجنبي؛ لسقوط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للقاذف بيّنة فعدل عنها إلى اللعان قال في الخلاف یصحّ، ومنع في المبسوط؛ التفاتاً إلى اشتراط عدم البيّنة في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الإحصان، وإن وجب التعزير للإيذاء بتجديد ذكر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العبارة أنّ الزوج ليس له إسقاطه باللعان لفقد شرطه وبه صرّح الشيخ</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العلّامة في التحرير، مقتصراً على نسبته إلى الشيخ</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اشتراط عدم البيّنة فلظاهر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لَّهُمْ شُهَدَاءُ إِلَّا أَنفُسُهُمْ</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فَإِنَّ مفهومه أنّه لو كان له بيّنةً لا يلاعن؛ لإمكان نفي الحدّ بإقامتها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للقاذف بيّنة فعدل عنها إلى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الأصحاب في أنّ اللعان هل هو مشروط بعدم البيّنة من قبل الزوج على الزنى أم لا؟ فذهب في الخلاف</w:t>
      </w:r>
      <w:r>
        <w:rPr>
          <w:rStyle w:val="FootnoteAnchor"/>
          <w:rtl w:val="true"/>
        </w:rPr>
        <w:footnoteReference w:id="859"/>
      </w:r>
      <w:r>
        <w:rPr>
          <w:rFonts w:ascii="IRNazanin" w:hAnsi="IRNazanin" w:eastAsia="IRNazanin"/>
          <w:color w:val="111111"/>
          <w:sz w:val="28"/>
          <w:sz w:val="28"/>
          <w:szCs w:val="28"/>
          <w:rtl w:val="true"/>
          <w:lang w:bidi="fa-IR"/>
        </w:rPr>
        <w:t>، والمختلف</w:t>
      </w:r>
      <w:r>
        <w:rPr>
          <w:rStyle w:val="FootnoteAnchor"/>
          <w:rtl w:val="true"/>
        </w:rPr>
        <w:footnoteReference w:id="860"/>
      </w:r>
      <w:r>
        <w:rPr>
          <w:rFonts w:ascii="Amiri" w:hAnsi="Amiri" w:eastAsia="Amiri" w:cs="Amiri"/>
          <w:color w:val="111111"/>
          <w:sz w:val="28"/>
          <w:sz w:val="28"/>
          <w:szCs w:val="28"/>
          <w:rtl w:val="true"/>
          <w:lang w:bidi="ar-SA"/>
        </w:rPr>
        <w:t>إلى عدم اشتراطه؛ للأصل، ولأنّ النبي صلّى الله عليه و آله و سلّم لاعن بين عويمر العجلاني وزوجته</w:t>
      </w:r>
      <w:r>
        <w:rPr>
          <w:rStyle w:val="FootnoteAnchor"/>
          <w:rtl w:val="true"/>
        </w:rPr>
        <w:footnoteReference w:id="861"/>
      </w:r>
      <w:r>
        <w:rPr>
          <w:rFonts w:ascii="Amiri" w:hAnsi="Amiri" w:eastAsia="Amiri" w:cs="Amiri"/>
          <w:color w:val="111111"/>
          <w:sz w:val="28"/>
          <w:sz w:val="28"/>
          <w:szCs w:val="28"/>
          <w:rtl w:val="true"/>
          <w:lang w:bidi="ar-SA"/>
        </w:rPr>
        <w:t>ولم يسألهما عن البيّنة، فلو كان عدمها شرطاً لسأل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وقوّى في المبسوط الاشتراط</w:t>
      </w:r>
      <w:r>
        <w:rPr>
          <w:rStyle w:val="FootnoteAnchor"/>
          <w:rtl w:val="true"/>
        </w:rPr>
        <w:footnoteReference w:id="862"/>
      </w:r>
      <w:r>
        <w:rPr>
          <w:rFonts w:ascii="Amiri" w:hAnsi="Amiri" w:eastAsia="Amiri" w:cs="Amiri"/>
          <w:color w:val="111111"/>
          <w:sz w:val="28"/>
          <w:sz w:val="28"/>
          <w:szCs w:val="28"/>
          <w:rtl w:val="true"/>
          <w:lang w:bidi="ar-SA"/>
        </w:rPr>
        <w:t>، واختاره المصنّف والأكثر؛ لاشتراط عدم الشهود في الآية</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حديث هلال أنّ النبيّ صلّى الله عليه وآله وسلّم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وإلّا حدّ في ظهرك</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ثمّ نزلت الآية</w:t>
      </w:r>
      <w:r>
        <w:rPr>
          <w:rStyle w:val="FootnoteAnchor"/>
          <w:rtl w:val="true"/>
        </w:rPr>
        <w:footnoteReference w:id="865"/>
      </w:r>
      <w:r>
        <w:rPr>
          <w:rFonts w:ascii="Amiri" w:hAnsi="Amiri" w:eastAsia="Amiri" w:cs="Amiri"/>
          <w:color w:val="111111"/>
          <w:sz w:val="28"/>
          <w:sz w:val="28"/>
          <w:szCs w:val="28"/>
          <w:rtl w:val="true"/>
          <w:lang w:bidi="ar-SA"/>
        </w:rPr>
        <w:t>فلاعن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إذا نكل عن اللعان يحدّ، فيلزم حينئذٍ حدّه مع وجود البيّنة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قذفها بزنئ أضافه إلى ما قبل النكاح فقد وجب الحدّ</w:t>
      </w:r>
    </w:p>
    <w:p>
      <w:pPr>
        <w:pStyle w:val="BookText"/>
        <w:rPr/>
      </w:pPr>
      <w:r>
        <w:rPr>
          <w:rFonts w:ascii="Amiri" w:hAnsi="Amiri" w:eastAsia="Amiri" w:cs="Amiri"/>
          <w:color w:val="111111"/>
          <w:sz w:val="28"/>
          <w:sz w:val="28"/>
          <w:szCs w:val="28"/>
          <w:rtl w:val="true"/>
          <w:lang w:bidi="ar-SA"/>
        </w:rPr>
        <w:t>وهل له إسقاطه باللعان ؟ قال فى الخلاف ليس له اللعان؛ اعتباراً بحالة الزنى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ذلك؛ اعتباراً بحالة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اللعان حجّة ضعيفة؛ لأنّه إمّا شهادة لنفسه أو يمين، فلا يعمل به مع الحجّة القويّة</w:t>
      </w:r>
    </w:p>
    <w:p>
      <w:pPr>
        <w:pStyle w:val="BookText"/>
        <w:rPr/>
      </w:pPr>
      <w:r>
        <w:rPr>
          <w:rFonts w:ascii="Amiri" w:hAnsi="Amiri" w:eastAsia="Amiri" w:cs="Amiri"/>
          <w:color w:val="111111"/>
          <w:sz w:val="28"/>
          <w:sz w:val="28"/>
          <w:szCs w:val="28"/>
          <w:rtl w:val="true"/>
          <w:lang w:bidi="ar-SA"/>
        </w:rPr>
        <w:t>وهي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وأجابوا عن الأوّل بأنّ هذه الأدلّة رفعت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علم النبيّ صلّى الله عليه  وآله وسلّم بالحال فلم يسأل عن البيّنة، فإنّ وقائع الأحوال إذا تطرّق إليها الاحتمال كساها ثوب الإجمال وسقط بها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حجّة الثاني أيضاً نظر؛ لأنّ عدم الشهداء في الآية خرج مخرج الوصف، ومفهومه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بناؤه على الأغلب أو على الواقع في الواقعة،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أَوْلَادَكُمْ خَشْيَةَ إِمْلَاقٍ</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وقوله صلّى الله عليه و آله وسلّم لهلال وقع لدفع حدّ القذف، ولا خلاف في أنّه لا يندفع بدون البيّنة إذا لم يلاعن، ولأنّها أيضاً واقعة مخصوصة لا تفيد انحصار الحكم في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تصريح بعدم وجود البيّنة، لكن ظاهرها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يحدّ إذا نكل عن اللعان إذا لم يمكنه دفع الحدّ بالبيّنة، كما لو أقامها ابتداءً بعد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نسلّم أنّ اللعان حجّة ضعيفة وإن كانت شهادةً لنفسه؛ لثبوتها بالنصّ</w:t>
      </w:r>
      <w:r>
        <w:rPr>
          <w:rStyle w:val="FootnoteAnchor"/>
          <w:rtl w:val="true"/>
        </w:rPr>
        <w:footnoteReference w:id="867"/>
      </w:r>
      <w:r>
        <w:rPr>
          <w:rFonts w:ascii="Amiri" w:hAnsi="Amiri" w:eastAsia="Amiri" w:cs="Amiri"/>
          <w:color w:val="111111"/>
          <w:sz w:val="28"/>
          <w:sz w:val="28"/>
          <w:szCs w:val="28"/>
          <w:rtl w:val="true"/>
          <w:lang w:bidi="ar-SA"/>
        </w:rPr>
        <w:t>، كما يثبت حكم البيّنة التي يجوز كذبها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فالأقوى اشتراط عدم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قذفها بزنى أضافه إلى ما قبل النكاح فقد وجب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قذف زوجته بزني، فإمّا أن يضيفه إلى زمان الزوجيّة أو إلى ما سبق عليها أو يطلق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قذفها مع الشبهة، ولا مع غلبة الظنّ وإن أخبره الثقة، أو شاع أن فلاناً زنى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 والأخير لا إشكال في ثبوت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الوسط ففيه قولان</w:t>
      </w:r>
      <w:r>
        <w:rPr>
          <w:rStyle w:val="FootnoteAnchor"/>
          <w:rtl w:val="true"/>
        </w:rPr>
        <w:footnoteReference w:id="868"/>
      </w:r>
      <w:r>
        <w:rPr>
          <w:rFonts w:ascii="Amiri" w:hAnsi="Amiri" w:eastAsia="Amiri" w:cs="Amiri"/>
          <w:color w:val="111111"/>
          <w:sz w:val="28"/>
          <w:sz w:val="28"/>
          <w:szCs w:val="28"/>
          <w:rtl w:val="true"/>
          <w:lang w:bidi="ar-SA"/>
        </w:rPr>
        <w:t>منشؤهما، عموم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يَرْمُونَ أَزْوَاجَهُمْ</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الشامل لجميع الأقسام، وخصوص الواقعة التي سبب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خصوص السبب لا يخصّص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اختاره المصنّف من ثبوته مطلقاً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التعليل باعتبار حال القذف أو الزنى فهو تعيين لمحلّ النزاع لا علّة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قذفها مع الشبهة، ولا مع غلبة الظن وإن أخبره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الزوج كالأجنبي في تحريم قذف الزوجة وفي أنّه يلزمه الحدّ، إلّا أنّ الزوج مختصّ بأنّه قد يباح له القذف وقد يجب، وبأنّ الأجنبي لا يتخلّص عن الحدّ إلّا ببيّنة تقوم على زنى</w:t>
      </w:r>
    </w:p>
    <w:p>
      <w:pPr>
        <w:pStyle w:val="BookText"/>
        <w:rPr/>
      </w:pPr>
      <w:r>
        <w:rPr>
          <w:rFonts w:ascii="Amiri" w:hAnsi="Amiri" w:eastAsia="Amiri" w:cs="Amiri"/>
          <w:color w:val="111111"/>
          <w:sz w:val="28"/>
          <w:sz w:val="28"/>
          <w:szCs w:val="28"/>
          <w:rtl w:val="true"/>
          <w:lang w:bidi="ar-SA"/>
        </w:rPr>
        <w:t>المقذوف أو بإقرار المقذوف، وللزوج طريق ثالث إلى الخلاص وهو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اختصاص الزوج، أنّها إذا لطخت فراشه اشتدّ غيظه عليها وعظمت عداوته واحتاج إلى الانتقام والتبرّد منها ، ولا يكاد تساعده البيّنة والإقرار فابيح له القذف، وشرّع له طريق الخلاص وله دفع العقوبة عن نفسه باللعان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جواز قذفه لها على هذا الوجه مشروط بتيقّن زناها بأن رآها بعينه تزني، لا بمجرّد الشبهة ولا بالظنّ ولا بالسماع من ثقة، سواء كان من أهل الشهادة أم لم يكن، ولا بالشياع بين الناس بزناها بمعيّن أو غير معيّن لجواز عدم مطابقة الخبر في ذلك، وعرض المؤمن کدمه؛ خلافاً لبعض العامّة حيث جوّز قذفها بجميع ذلك</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قذف في العدّة الرجعيّة كان له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ذلك في البائن، بل يثبت بالقذف الحدّ ولو أضافه إلى زمان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لم يكن هناك ولد فلا يجب على الزوج القذف، بل يجوز أن يستر عليها ويفارقها بغير طريق اللعان ولو أمسكها لم يحرم؛ لما روي أنّ رجلاً أتى رسول الله صلّى الله عليه و آله وسلّم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امرأة لا تردّ يد لامس، فقال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فأمسكها</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هناك ولد يتيقّن أنّه ليس منه وجب عليه نفيه؛ لأنّ ترك النفي يتضمّن الاستلحاق، ولا يجوز له استلحاق من ليس منه، كما لا يجوز نفي من هو منه، وقد روي أنّ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أدخلت على قوم من ليس منهم فليست من الله في شيء</w:t>
      </w:r>
      <w:r>
        <w:rPr>
          <w:rFonts w:eastAsia="Amiri" w:cs="Amiri" w:ascii="Amiri" w:hAnsi="Amiri"/>
          <w:color w:val="111111"/>
          <w:sz w:val="28"/>
          <w:szCs w:val="28"/>
          <w:rtl w:val="true"/>
          <w:lang w:bidi="ar-SA"/>
        </w:rPr>
        <w:t>»</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 على المرأة، ومعلوم أنّ الرجل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قذف في العدّة الرجعيّة كان له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قذف زوجته المطلّقة، فإن كانت الطلقة رجعيّةً وقذفها في العدّة أو قذفها ثمّ طلّقها كذلك فله أن يلاعنها، كما يجوز أن يطلّقها ويؤلي عنها ويظاهر؛ لأنّها بمنزلة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لعانه في الحال، ويترتّب عليه أحكامه من غير توقّف على الرجعة بخلاف ما إذا ظاهر عنها أو آلى، حيث يتوقّف أمرهما على الرجعة؛ لأنّ حكم الإيلاء منوط بالمضارّة ولا مضارّة مع طلاقها، والكفّارة في الظهار تتعلّق بالعود، وإنّما يحصل العود بالرجعة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اللعان فمداره على الفراش ولحوق النسب، والرجعيّة في ذلك كالمنكوحة، وفي التأخير خطر بالموت فلم يتوقّف أمره على الرجعة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الطلاق بائناً أو قذفها بعد العدّة الرجعيّة وإن أضافه إلى زمن الزوجيّة فلا لعان، بل يثبت الحدّ؛ لأنّها ليست زوجة حينئذٍ، والحكم مرتّب على رمي الزوجة، ولأنّها حينئذٍ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قذفها بالسحق لم يثبت اللعان ولو ادّعى المشاهدة، ويثبت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قذف زوجته المجنونة ثبت الحدّ، ولا يقام عليه إلّا بعد المطالبة، فإن أفاقت صحّ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لوليّها المطالبة بالحدّ ما دامت 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أجنبیّة فلا ضرورة إلى قذفها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كان هناك ولد يلحق به فله اللعان لنفيه؛ لمكان الحاجة إلى نفيه، كما في صلب النكاح، وسيأتى</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قذفها بالسحق لم يثبت اللعان ولو ادّعى المشاهدة، ويثبت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عدم ثبوت اللعان بذلك، لأنّه مشروط بالرمي بالزنى أو نفي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ثبوت الحدّ به؛ فلأنّه قذف بفاحشةٍ يوجب الحدّ كالزنى واللواط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باب الحدود حصر موجب الحدّ من القذف في الرمي بالزنى أو اللواط، وهو يقتضي عدم ثبوت الحدّ بالرمي بالسحق، بل التعزير خاصّةً، وبه صرّح أبو الصلاح</w:t>
      </w:r>
      <w:r>
        <w:rPr>
          <w:rStyle w:val="FootnoteAnchor"/>
          <w:rtl w:val="true"/>
        </w:rPr>
        <w:footnoteReference w:id="874"/>
      </w:r>
      <w:r>
        <w:rPr>
          <w:rFonts w:ascii="Amiri" w:hAnsi="Amiri" w:eastAsia="Amiri" w:cs="Amiri"/>
          <w:color w:val="111111"/>
          <w:sz w:val="28"/>
          <w:sz w:val="28"/>
          <w:szCs w:val="28"/>
          <w:rtl w:val="true"/>
          <w:lang w:bidi="ar-SA"/>
        </w:rPr>
        <w:t>وقرّبه في المختلف</w:t>
      </w:r>
      <w:r>
        <w:rPr>
          <w:rStyle w:val="FootnoteAnchor"/>
          <w:rtl w:val="true"/>
        </w:rPr>
        <w:footnoteReference w:id="875"/>
      </w:r>
      <w:r>
        <w:rPr>
          <w:rFonts w:ascii="Amiri" w:hAnsi="Amiri" w:eastAsia="Amiri" w:cs="Amiri"/>
          <w:color w:val="111111"/>
          <w:sz w:val="28"/>
          <w:sz w:val="28"/>
          <w:szCs w:val="28"/>
          <w:rtl w:val="true"/>
          <w:lang w:bidi="ar-SA"/>
        </w:rPr>
        <w:t>لأصالة البراءة من وجوب الحدّ كما لو قذفه بإتيان البهائم وهو متّجه؛ لأنّ النصّ لم يرد بالحدّ إلّا على الرمي بالزنى واللواط</w:t>
      </w:r>
      <w:r>
        <w:rPr>
          <w:rStyle w:val="FootnoteAnchor"/>
          <w:rtl w:val="true"/>
        </w:rPr>
        <w:footnoteReference w:id="876"/>
      </w:r>
      <w:r>
        <w:rPr>
          <w:rFonts w:ascii="Amiri" w:hAnsi="Amiri" w:eastAsia="Amiri" w:cs="Amiri"/>
          <w:color w:val="111111"/>
          <w:sz w:val="28"/>
          <w:sz w:val="28"/>
          <w:szCs w:val="28"/>
          <w:rtl w:val="true"/>
          <w:lang w:bidi="ar-SA"/>
        </w:rPr>
        <w:t>، كما سيأتي إن شاء الله تعالى في بابه</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قذف زوجته المجنونة ثبت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قذف المجنونة بالزنى، فإن أطلق أو نسبه إلى زمان إفاقتها وجب عليه الحدّ؛ لتحقّق القذف بالفاحشة المحرّمة، وإن نسبه إلى حال جنونها فلا حدّ؛ لانتفاء قذفها بالزنى المحرّم</w:t>
      </w:r>
    </w:p>
    <w:p>
      <w:pPr>
        <w:pStyle w:val="BookText"/>
        <w:rPr/>
      </w:pPr>
      <w:r>
        <w:rPr>
          <w:rFonts w:ascii="Amiri" w:hAnsi="Amiri" w:eastAsia="Amiri" w:cs="Amiri"/>
          <w:color w:val="111111"/>
          <w:sz w:val="28"/>
          <w:sz w:val="28"/>
          <w:szCs w:val="28"/>
          <w:rtl w:val="true"/>
          <w:lang w:bidi="ar-SA"/>
        </w:rPr>
        <w:t>منها حينئذٍ</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المقذوفة عاقلةً حال القذف ولكن أضافه إلى حالة جنونها، فإن علم أنّ لها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ليس للمولى مطالبة زوج أمته بالتعزير في قذفها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حالة جنونٍ أو احتمل فلا حدّ؛ لانتفاء الزنى المحرّم منها حينئذٍ، لكن يعزّر للإيذاء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علم استقامة عقلها فمقتضى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كذلك ؛ لتحقّق القذف الصريح، فتُلغى الإضافة إلى تلك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العدم؛ لأنّه نسبها إلى الزنى في تلك الحالة، وإذا علم انتفاؤها لم تكن زانیّةً، فيكون ما أتى به لغواً من الكلام ومحالاً، فأشبه 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زنيت وأنت رتقاء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الحدّ والتعزير يترتّبان على مطالبتها في حال الصحّة، فإن أفاقت وطالبت بالحدّ أو التعزير كان له أن يلا عن لإسقاطهما، وليس لوليّها المطالبة بهما ما دامت حيّةً؛ لأنّ طريق إسقاطه من جانب الزوج بالملاعنة، وهي لا تصحّ من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ليس للمولى مطالبة زوج أمته بالتعزير في قذفها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عدم استحقاق المولى حقّ التعزير الثابت بقذف أمته بين كون القاذف زوجها</w:t>
      </w:r>
    </w:p>
    <w:p>
      <w:pPr>
        <w:pStyle w:val="BookText"/>
        <w:rPr/>
      </w:pPr>
      <w:r>
        <w:rPr>
          <w:rFonts w:ascii="Amiri" w:hAnsi="Amiri" w:eastAsia="Amiri" w:cs="Amiri"/>
          <w:color w:val="111111"/>
          <w:sz w:val="28"/>
          <w:sz w:val="28"/>
          <w:szCs w:val="28"/>
          <w:rtl w:val="true"/>
          <w:lang w:bidi="ar-SA"/>
        </w:rPr>
        <w:t>وغيره، وإنّما خصّ الزوج؛ لأنّه محلّ البحث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حيّةً، أما إذا ماتت فهل ينتقل حقّه إلى المولى؟</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878"/>
      </w:r>
      <w:r>
        <w:rPr>
          <w:rFonts w:ascii="Amiri" w:hAnsi="Amiri" w:eastAsia="Amiri" w:cs="Amiri"/>
          <w:color w:val="111111"/>
          <w:sz w:val="28"/>
          <w:sz w:val="28"/>
          <w:szCs w:val="28"/>
          <w:rtl w:val="true"/>
          <w:lang w:bidi="ar-SA"/>
        </w:rPr>
        <w:t>، واستحسنه المصنّف؛ لأنّ المولى بالنسبة إلى المملوك بمنزلة الوارث، وحق الحدّ والتعزير يورث كالمال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استشكل ذلك من حيث إنّ انتقاله إلى المولى إن كان بحقّ الملك اقتضى ثبوته له</w:t>
      </w:r>
    </w:p>
    <w:p>
      <w:pPr>
        <w:pStyle w:val="BookText"/>
        <w:rPr/>
      </w:pPr>
      <w:r>
        <w:rPr>
          <w:rFonts w:ascii="Amiri" w:hAnsi="Amiri" w:eastAsia="Amiri" w:cs="Amiri"/>
          <w:color w:val="111111"/>
          <w:sz w:val="28"/>
          <w:sz w:val="28"/>
          <w:szCs w:val="28"/>
          <w:rtl w:val="true"/>
          <w:lang w:bidi="ar-SA"/>
        </w:rPr>
        <w:t>في حال الحياة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بحقّ الإرث فالمملوك لا يورث</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 بأنّه حقّ ثبت بالقذف فلا وجه لسقوطه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السيد أحقّ به لا على جهة الميراث بل لأنّه أولى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إنّما لا يورث عنه المال، أمّا غيره من الحقوق المختصّة به فإنّه يورث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الجواب نظر لا يخفى</w:t>
      </w:r>
      <w:r>
        <w:rPr>
          <w:rFonts w:eastAsia="Amiri" w:cs="Amiri" w:ascii="Amiri" w:hAnsi="Amiri"/>
          <w:color w:val="111111"/>
          <w:sz w:val="28"/>
          <w:szCs w:val="28"/>
          <w:rtl w:val="true"/>
          <w:lang w:bidi="ar-SA"/>
        </w:rPr>
        <w:t xml:space="preserve">. </w:t>
      </w:r>
      <w:bookmarkStart w:id="258" w:name="pg10270_80281"/>
    </w:p>
    <w:p>
      <w:pPr>
        <w:pStyle w:val="Heading5"/>
        <w:numPr>
          <w:ilvl w:val="4"/>
          <w:numId w:val="1"/>
        </w:numPr>
        <w:rPr/>
      </w:pPr>
      <w:bookmarkStart w:id="259" w:name="__RefHeading___Toc3860162_1067777946"/>
      <w:bookmarkStart w:id="260" w:name="_Toc95"/>
      <w:bookmarkEnd w:id="258"/>
      <w:bookmarkEnd w:id="259"/>
      <w:r>
        <w:rPr>
          <w:rtl w:val="true"/>
        </w:rPr>
        <w:t>السبب الثاني</w:t>
      </w:r>
      <w:r>
        <w:rPr>
          <w:rtl w:val="true"/>
        </w:rPr>
        <w:t xml:space="preserve">: </w:t>
      </w:r>
      <w:r>
        <w:rPr>
          <w:rtl w:val="true"/>
        </w:rPr>
        <w:t>إنكار الولد</w:t>
      </w:r>
      <w:bookmarkEnd w:id="2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الولد</w:t>
      </w:r>
    </w:p>
    <w:p>
      <w:pPr>
        <w:pStyle w:val="BookText"/>
        <w:rPr/>
      </w:pPr>
      <w:r>
        <w:rPr>
          <w:rFonts w:ascii="Amiri" w:hAnsi="Amiri" w:eastAsia="Amiri" w:cs="Amiri"/>
          <w:color w:val="111111"/>
          <w:sz w:val="28"/>
          <w:sz w:val="28"/>
          <w:szCs w:val="28"/>
          <w:rtl w:val="true"/>
          <w:lang w:bidi="ar-SA"/>
        </w:rPr>
        <w:t>ولا يثبت اللعان بإنكار الولد حتّى تضعه لستّة أشهر فصاعداً من حين وطئها، ما لم يتجاوز حملها أقصى مدّة الحمل، وتكون موطوءةً بالعقد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ولدته تامّاً لأقلّ من ستّة أشهرٍ لم يلحق به، وانتفى بغير 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ولدت الزوجة الدائمة ولداً، فإن أمكن كونه منه وجب عليه إلحاقه به وحرم عليه نفيه؛ لأنّ الولد لاحق شرعاً بالفراش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يجد ريبةً تخيّل إليه فساداً أو عدمه، ولا بين أن يشابه لونه وخلقه لون الأب وخلقه أو لون من يتّهمها به وخلقه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جحد ولده وهو ينظر إليه، احتجب الله منه، وفضحه على رؤوس الأوّلين والآخرين</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علم انتفاءه عنه وجب عليه نفيه، حذراً من لحوق من ليس منه بسكوته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علمه بانتفائه عنه، إمّا أن يعلم ذلك ظاهراً كما يعلمه الزوج، بأن تلده لأقلّ من ستّة أشهر من وقت العقد، أو بطول المسافة بينهما، بأن يتزوّج المشرقي مغربيّةً فأتت بولد في وقت لا يمكن نسبته إلى الزوج، فينتفي بغير لعانٍ، أو يحتمل كونه منه مع علمه بعدمه بأن ولدته على فراشه بعد مضيّ أقلّ مدّة الحمل من حيث التزويج، ولكن كان لوطئه لها أزيد من أقصى الحمل ، فهو لاحق به ظاهراً؛ لكونها فراشاً بحيث يمكن إلحاقه به، وهو يعلم انتفاءه عنه فيجب عليه حينئذٍ نفيه باللعان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يحصل الفرق بين ولادتها له لدون أقلّ الحمل ولأزيد من أقصاه حيث حكم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اختلفا بعد الدخول في زمان الحمل تلاعنا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بانتفائه في الأوّل بغير لعانٍ وسكت عن الآخر؛ لأنّه لا يعلم انتفاءه مطلقاً، بل قد يعلم كما لو غاب عنها مدّةً تزيد على ذلك بحيث لا يمكن وصوله إليها عادةً، وقد لا يعلم إذا أمكن وطؤه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عباراتهم في تأدية الحكم في هذه الصورة 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القواعد، أطلق انتفاء اللعان في الصورتين</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التحرير، حكم بانتفائه في الأُولى كما هنا وبثبوته في الثانیّة وأطلق</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بل الحقّ التفصيل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الكتاب سكت عن هذه الصورة في النشر، ويظهر منه في أوّلها عدم اللعان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اشتراط عدم نقصانه عن ستّة أشهر مختصّ بالولد التامّ، فلو وضعته لدونها غير تامّ اعتبر إمكان إلحاقه به عادةً ويختلف ذلك باختلاف 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انقضاء عدّتها بوضعه لو كان قد طلّقها، ثمّ أتت به في العدّة ولم يلاعن فيها، فإنّه يثبت نسبه مع إمكانه وتبين بوضعه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الطلاق ما يدل على وقت الإمكان</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اختلفا بعد الدخول في زمان الحمل تلاعنا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اختلفا في مدّة الحمل بعد الوطء، 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حين الدخول أقلّ من ستّة أشهر أو أكثر من أقصى الحمل فلا يمكن لحوقه به، وادبعت كونها بين الطرفين وأنّه لاحق به، واشتبه حال الصادق منهما كان انتسابه إليه ممكناً، وقد ولد على فراشه فلا ينتفى إلّا باللعان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الولد حتّى يكون الوطء ممكناً والزوج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دخل الصبيّ لدون تسع فولدت لم يلحق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عشر فما زاد لحق به؛ لإمكان البلوغ في حقّه ولو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أنكر الولد لم يلاعن؛ إذ لا حكم للعانه، ويؤخّر اللعان حتّى يبلغ ويرشد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قبل البلوغ أو بعده ولم ينكره أُلحق به، وورثته الزوجة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يلحق الولد حتّى يكون الوطء ممكناً والزوج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 شرط اللعان إمكان لحوق الولد به لولا اللعان، أمّا إذا لم يمكن فهو منفيّ بلا 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الإمكان صور قد تقدّم بعضها، ومنها أن لا يكون الزوج صالحاً للتولّد، وإن قدر على الإيلاج كابن التسع فما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المصنّف والعلّامة</w:t>
      </w:r>
      <w:r>
        <w:rPr>
          <w:rStyle w:val="FootnoteAnchor"/>
          <w:rtl w:val="true"/>
        </w:rPr>
        <w:footnoteReference w:id="883"/>
      </w:r>
      <w:r>
        <w:rPr>
          <w:rFonts w:ascii="Amiri" w:hAnsi="Amiri" w:eastAsia="Amiri" w:cs="Amiri"/>
          <w:color w:val="111111"/>
          <w:sz w:val="28"/>
          <w:sz w:val="28"/>
          <w:szCs w:val="28"/>
          <w:rtl w:val="true"/>
          <w:lang w:bidi="ar-SA"/>
        </w:rPr>
        <w:t>وقبلهما الشيخ</w:t>
      </w:r>
      <w:r>
        <w:rPr>
          <w:rStyle w:val="FootnoteAnchor"/>
          <w:rtl w:val="true"/>
        </w:rPr>
        <w:footnoteReference w:id="884"/>
      </w:r>
      <w:r>
        <w:rPr>
          <w:rFonts w:ascii="Amiri" w:hAnsi="Amiri" w:eastAsia="Amiri" w:cs="Amiri"/>
          <w:color w:val="111111"/>
          <w:sz w:val="28"/>
          <w:sz w:val="28"/>
          <w:szCs w:val="28"/>
          <w:rtl w:val="true"/>
          <w:lang w:bidi="ar-SA"/>
        </w:rPr>
        <w:t>أنّ الإمكان يحصل باستكمال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بالاكتفاء بالطعن فيها ولو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قاطع على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حكمنا بثبوت النسب لحصول الإمكان لا نحكم بسبب ذلك بالبلوغ؛ لأنّ النسب يثبت بالاحتمال، والبلوغ لا يكفي فيه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بالغ بالاحتلام فله اللعان؛ لأنّ ذلك ممّا يرجع إليه فيه، ولا يعلم إلّا من قبله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مات قبل البلوغ شرعاً لحقه الولد وإن كان قد أنكره صغيراً، وإن بلغ فإن اعترف به</w:t>
      </w:r>
    </w:p>
    <w:p>
      <w:pPr>
        <w:pStyle w:val="BookText"/>
        <w:rPr/>
      </w:pPr>
      <w:r>
        <w:rPr>
          <w:rFonts w:ascii="Amiri" w:hAnsi="Amiri" w:eastAsia="Amiri" w:cs="Amiri"/>
          <w:color w:val="111111"/>
          <w:sz w:val="28"/>
          <w:sz w:val="28"/>
          <w:szCs w:val="28"/>
          <w:rtl w:val="true"/>
          <w:lang w:bidi="ar-SA"/>
        </w:rPr>
        <w:t>أو لم ينكره ثبت نسبه، وإن أنكره عقيب البلوغ ولا عن انتفى عنه كغيره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ويفهم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 ولم ينكره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أنكره لم يلحق به بمجرّد إنكاره وليس ذلك بمراد؛ لأنّ دلالة المفهوم ضعيفة، بل المراد من العبارة ما دلّت عليه بمنطوقها، وهو أنّه إذا لم ينكره بعد البلوغ يلحق به، وأمّا حكم ما لو أنكره فمسكوت عنه، واللازم فيه أن يرجع إلى القواعد المقرّرة سابقاً من أنّه متى أمكن إلحاقه به لا ينتفي عنه بدون اللعان، فإنكاره بعد البلوغ أحد جزئي السبب الموجب لنفيه، لإتمامه كما يفهمه مفهوم العبارة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وطئ الزوج دبراً فحملت لحق به؛ لإمكان استرسال المنيّ في الفرج وإن كان الوطء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وفائدة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عبرة لإنكاره قبل البلوغ أصلاً، ولا يترتّب عليه لعان، وإنّما يترتّب على إنكاره بعده، فمتى لم ينكره بعده فالأمر على حاله، وإن أنكره ترتّب عليه باقي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وطئ الزوج دبراً فحملت لحق به؛ لإمكان استرسال المنيّ في الفرج وإن كان الوطء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الوطء في الدبر بمنزلة الوطء في القبل بالنسبة إلى كثير من أحكام الوطء</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إلحاق الولد فإنّه وإن لم يكن مجرى المنيّ الطبيعي إلى الرحم، لكن لقربه منه يمكن استرسال المنيّ في الفرج من غير شعور وإن كان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الاتّفاق على هذا الحكم، وإلّا فهو محلّ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وتحرير موضع الحكم فيه لا يخلو من خفاء؛ لأنّ ظاهر التعليل ما إذا وطئ دبراً وأنزل، ثمّ حملت على وجه يمكن تولّده من ذلك الوطء، فإنّه لا ينتفي عنه إلّا باللعان، بل لا يجوز له نفيه أيضاً بمجرّد ذلك؛ لإمكان استرسال المنيّ إلى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وطئ دبراً ولم ينزل لم يلحق به فيما بينه وبين الله تعالى، ووجب عليه نفيه كما لو لم يطأ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فيه أنّهم حكموا بأنّه لو وطئ في الفرج ولم ينزل، ثمّ أتت بولد يمكن تولّده من ذلك الوطء 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وعلّلوه بإمكان أن يسبقه منيّ ولا يشعر به، ومثل هذا يأتي مع الوطء في الدبر، إلّا أنّه على بُعدٍ؛ لأنّ الماء المسترسل من غير شعور المنزل يكون قليلاً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عادةً استرساله من الدبر إلى القبل على وجهٍ يتولّد منه، إلّا أنّ إلحاق الوطء في الدبر بالوطء في القبل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والتعليل المذكور مجرّد توجيه للإمكان، وليس هو مستند الحكم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فالاستبعاد في الجميع قائم والإمكان مشترك، وإن كانت مراتبه متفاوتة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ولد الخصيّ المجبوب 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ولد الخصيّ أو المجبوب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ينتفى ولد أحدهما إلّا باللعان؛ تنزيلاً على الاحتمال وإن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يلحق ولد الخصيّ المجبوب 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ولد الخصيّ أو المجبوب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يسلم ذكره وأُنثياء، فإمّا أن يفقدهما جميعاً، أو يفقد الذكر دون الأُنثيين،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يلحقه الولد في ظاهر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إلى اللعان؛ لأنّه لا ينزل، ولم تجر العادة بأن يخلق لمثله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بإلحاقه به؛ لأنّ معدن الماء الصلب وأنّه ينفذ في ثقبة إلى الظاهر، وهما باقيان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به قطعاً؛ لوجود أوعية المنيّ وما فيها من القوّة المحيلة للدم، والذكر آلة توصل الماء إلى الرحم بواسطة الإيلاج، وقد يفرض وصول الماء بغير إيلاجٍ، كالمساحقة مع عدم وصول الهواء إلى الماء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يلحقه أيضاً على ما اختاره الشيخ</w:t>
      </w:r>
      <w:r>
        <w:rPr>
          <w:rStyle w:val="FootnoteAnchor"/>
          <w:rtl w:val="true"/>
        </w:rPr>
        <w:footnoteReference w:id="886"/>
      </w:r>
      <w:r>
        <w:rPr>
          <w:rFonts w:ascii="Amiri" w:hAnsi="Amiri" w:eastAsia="Amiri" w:cs="Amiri"/>
          <w:color w:val="111111"/>
          <w:sz w:val="28"/>
          <w:sz w:val="28"/>
          <w:szCs w:val="28"/>
          <w:rtl w:val="true"/>
          <w:lang w:bidi="ar-SA"/>
        </w:rPr>
        <w:t>و المصنّف من غير تردّد؛ لأنّ آلة الجماع باقية، وقد يبالغ في الإيلاج فيلتذّ وينزل ماءً رقيقاً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وإدارة الحكم على الوطء وهو السبب الظاهر أولى من إدارته على الإنزال الخفيّ، ولأنّه سبب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هنا؛ لأنّ التولّد موقوف على تولّد المنيّ، ومحلّه الخصيتان</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الغالب، لكن لا ينفي الولد وإن بعد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تنزيلاً على الاحتمال وإن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لهذا القسم؛ لأنّه هو الفرض البعيد المختلف فيه، دون الخصيّ خاصّةً، وإن كان بحثه فيهما معاً؛ لأنّ ذلك لا إشكال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الزوج حاضراً وقت الولادة ولم ينكر الولد مع ارتفاع الأعذار لم يكن له إنكاره بعد ذلك، إلّا أن يؤخّر بما جرت العادة به كالسعي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له إنكاره ما لم يعترف به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أمسك عن نفى الحمل حتّى وضعت جاز له نفيه بعد الوضع على القولين؛ لاحتمال أن يكون التوقّف لتردّده بين أن يكون حملاً أو 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الزوج حاضراً وقت الولادة ولم ينكر الولد مع ارتفاع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أتت امرأته بولدٍ فإن أقرّ بنسبة لم يكن له النفي بعد ذلك؛ لأنّ للمولود حقّاً في النسب، فإذا أقرّ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التزم تلك الحقوق، ومن أقرّ بما يوجب عليه حقّاً من حقوق الآدمييّن لم يتمكّن من الرجوع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يقرّ بنسبه وأراد نفيه ففي كونه على الفور أو التراخي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النفي على الفور؛ لأنّه خيار يثبت لدفع ضررٍ متحقّق فيكون على الفور، كالردّ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الولد إذا كان منفيّاً عنه وجب إظهار نفيه؛ حذراً من استلحاق من ليس منه كما مرّ، وقد تعرض بالتأخير عوارض مانعة منه كالموت فجأة، فيفوت التدارك، وتختلط الأنساب، وذلك ضرر يجب التحرّز منه على الفور، ولأنّه لو لا اعتبار الفور أدّى إلى عدم استقرار الأنساب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 وقوعه على الفور؛ لأصالة عدم الاشتراط، ولوجود المقتضى للّعان وهو نفى الولد وانتفاء المانع؛ إذ ليس إلّا السكوت، وهو أعمّ من كونه إقراراً فلا يدلّ عليه، ولأنّ أمر النسب خطير وقد ورد الوعيد في نفي من هو منه وفي استلحاق من ليس منه</w:t>
      </w:r>
      <w:r>
        <w:rPr>
          <w:rStyle w:val="FootnoteAnchor"/>
          <w:rtl w:val="true"/>
        </w:rPr>
        <w:footnoteReference w:id="888"/>
      </w:r>
      <w:r>
        <w:rPr>
          <w:rFonts w:ascii="Amiri" w:hAnsi="Amiri" w:eastAsia="Amiri" w:cs="Amiri"/>
          <w:color w:val="111111"/>
          <w:sz w:val="28"/>
          <w:sz w:val="28"/>
          <w:szCs w:val="28"/>
          <w:rtl w:val="true"/>
          <w:lang w:bidi="ar-SA"/>
        </w:rPr>
        <w:t>، وقد يحتاج إلى نظر وتأمّل، فوجب أن يكون له مهلة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أقوى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المصنّف عدم التحديد بمدّة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يسقط إلّا بالاعتراف به أو بالإسقاط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قلنا بأنّه على الفور، فلو أخّره بلا عذرٍ سقط حقّه ولزمه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معذوراً، بأن لم يجد الحاكم أو تعذّر الوصول إليه أو بلغه الخبر ليلاً فأخّر حتّى يصبح، أو حضرته الصلاة فقدّمها أو أحرز ماله أوّلاً ، أو كان جائعاً أو عارياً فأكل أو لبس أوّلاً، أو كان محبوساً أو مريضاً أو ممرّضاً لم يبطل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عليه الإشهاد على النفي؟ وجهان وقد سبق له</w:t>
      </w:r>
    </w:p>
    <w:p>
      <w:pPr>
        <w:pStyle w:val="BookText"/>
        <w:rPr/>
      </w:pPr>
      <w:r>
        <w:rPr>
          <w:rFonts w:ascii="Amiri" w:hAnsi="Amiri" w:eastAsia="Amiri" w:cs="Amiri"/>
          <w:color w:val="111111"/>
          <w:sz w:val="28"/>
          <w:sz w:val="28"/>
          <w:szCs w:val="28"/>
          <w:rtl w:val="true"/>
          <w:lang w:bidi="ar-SA"/>
        </w:rPr>
        <w:t>نظائر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 المريض والممرّض أن يرسل إلى الحاكم ويعلمه بالحال، أو يستدعي منه أن يبعث إليه نائباً من عنده، فلم يفعل بطل حقّه ؛ لأنّ مثل هذا متيسّر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ملازم غريمه، ومن يلازمه غريمه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الغائب، فإن كان في الموضع الذي غاب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ونفى الولد عند وصول خبره إليه عنده 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التأخير إلى أن يرجع إلى بلده ففي جوازه وجهان، من منافاة الفوريّة اختياراً، ومن أنّ للتأخير غرضاً ظاهراً، وهو الانتقام منها بإشهار</w:t>
      </w:r>
      <w:r>
        <w:rPr>
          <w:rStyle w:val="FootnoteAnchor"/>
          <w:rtl w:val="true"/>
        </w:rPr>
        <w:footnoteReference w:id="889"/>
      </w:r>
      <w:r>
        <w:rPr>
          <w:rFonts w:ascii="Amiri" w:hAnsi="Amiri" w:eastAsia="Amiri" w:cs="Amiri"/>
          <w:color w:val="111111"/>
          <w:sz w:val="28"/>
          <w:sz w:val="28"/>
          <w:szCs w:val="28"/>
          <w:rtl w:val="true"/>
          <w:lang w:bidi="ar-SA"/>
        </w:rPr>
        <w:t>خبرها في بلدها وقومها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لم يمكنه المسير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لخوف الطريق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يشهد، وإن أمكنه فليأخذ في السير، فإن أخّر بطل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هناك قاض فالحكم كما لو كان وأراد التأخير إلى بلده وجوّزناه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الأعذار المسوّغة للتأخير على القول بالفوريّة ما لو ظهر حمل، فإنّه يجوز له أن يؤخّر نفيه إلى الوضع فإنّ المتوهّم حملاً قد يكون ريحاً فتنفش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صبر إلى أن انفصل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أخّرت إلى أن أتحقّق الحال فله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أنّه ولد ولكن أخّرت طمعاً في أن تجهض فلا أحتاج إلى كشف الأمر ورفع الستر، ففيه وجهان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يبطل حقّه؛ لتأخير النفي مع القدرة عليه ومعرفة الولد، فصار كما لو سكت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أقرّ بالولد صريحاً أو فحوىً لم يكن له إنكاره بعد ذلك، مثل أن يبشّر به فيجب بما يتضمّن الرضى كأن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في مولودك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 مجيباً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نفيه بعد انفصاله طمعاً في أن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النفي؛ لأنّ مثل هذا عذر واضح في العرف، ولأنّ الحمل لا يتيقّن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أثر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الأعذار ما لو أخّر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أعلم أنّها ولدت وكان غائباً أو حاضراً بحيث يمكن ذلك في حقّه، ويختلف ذلك بكونه في محلّة أُخرى أو في محلّتها أو في دارها أو في 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بالولادة ولكن لم أُصدّق المخبر نُظر وإن أخبره فاسق أو صبيّ صدّق</w:t>
      </w:r>
    </w:p>
    <w:p>
      <w:pPr>
        <w:pStyle w:val="BookText"/>
        <w:rPr/>
      </w:pPr>
      <w:r>
        <w:rPr>
          <w:rFonts w:ascii="Amiri" w:hAnsi="Amiri" w:eastAsia="Amiri" w:cs="Amiri"/>
          <w:color w:val="111111"/>
          <w:sz w:val="28"/>
          <w:sz w:val="28"/>
          <w:szCs w:val="28"/>
          <w:rtl w:val="true"/>
          <w:lang w:bidi="ar-SA"/>
        </w:rPr>
        <w:t>بيمينه وعذر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أخبره عدلان لم يعذر؛ لأنّهما مصدّقان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أخبره عدل، حرّ أو عبد، ذكر أو أُنثى، 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يُصدِّق ويعذر؛ لأنّه أخبره من لا يثبت بشهادته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يصدّق ويسقط حقّه؛ لأنّ روايته مقبولة، وهذا سبيله سبيل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الولادة ولم أكن أعلم أنّ لي حقّ النفي، فإن كان ممن لا يخفى عليه ذلك عادةً 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بأن كان حديث العهد بالإسلام، أو ناشئاً في بادية بعيدة عن أهل الشرع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العوام الناشئين في بلاد الإسلام فوجهان، أجودهما القبول بيمينه مع إمكان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أقرّ بالولد صريحاً أو فحوىً لم يكن له إنكاره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 الإقرار بالولد يوجب الالتزام به، ولا يجوز إنكاره بعده؛ لأنّه حقّ آدمي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الإقرار قد يكون صريحاً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فحوىً، مثل أن يهنّاً به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مولودك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متّعك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بالولد الذي رزقك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 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طلّق الرجل وأنكر الدخول، فادّعته وادّعت أنّها حامل منه فإن أقامت بيّنة أنّه أرخى ستراً لاعنها وحرمت عليه وكان عليه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تقم بيّنة كان عليه نصف المهر ولا لعان وعليها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اللعان ما لم يثبت الدخول وهو الوطء، ولا يكفى إرخاء الستر، ولا يتوجّه عليه الحدّ؛ لأنّه لم يقذف، ولا أنكر ولداً يلزمه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أشبه</w:t>
      </w:r>
    </w:p>
    <w:p>
      <w:pPr>
        <w:pStyle w:val="BookText"/>
        <w:rPr/>
      </w:pPr>
      <w:r>
        <w:rPr>
          <w:rFonts w:ascii="Amiri" w:hAnsi="Amiri" w:eastAsia="Amiri" w:cs="Amiri"/>
          <w:color w:val="111111"/>
          <w:sz w:val="28"/>
          <w:sz w:val="28"/>
          <w:szCs w:val="28"/>
          <w:rtl w:val="true"/>
          <w:lang w:bidi="ar-SA"/>
        </w:rPr>
        <w:t>ولداً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هنّئت به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 الله دعاك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أجاب بما لا يتضمّن الإقرار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بشّرك الله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أسمعك ما يسرّك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رزقك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يبطل حقّه من النفي؛ لأنّه لا يتضمّن الإقرار، بل الظاهر أنه قصد مكافاة الدعاء بالدعاء، خصوصاً الجواب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إقرار كالسابق</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طلّق الرجل وأنكر الدخول، فادّعته وادّعت أنّها حامل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 للشيخ في النهاية</w:t>
      </w: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ومستنده صحيحة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امرأته قبل أن يدخل بها فادّعت أنّها حامل،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أقامت البيّنة على أنّه أرخى ستراً ثمّ أنكر الولد لاعنها ثمّ بانت منه، وعليه المهر كملاً</w:t>
      </w:r>
      <w:r>
        <w:rPr>
          <w:rFonts w:eastAsia="IRNazanin" w:cs="IRNazanin"/>
          <w:color w:val="111111"/>
          <w:sz w:val="28"/>
          <w:szCs w:val="28"/>
          <w:rtl w:val="true"/>
          <w:lang w:bidi="fa-IR"/>
        </w:rPr>
        <w:t>»</w:t>
      </w:r>
      <w:r>
        <w:rPr>
          <w:rStyle w:val="FootnoteAnchor"/>
          <w:rtl w:val="true"/>
        </w:rPr>
        <w:footnoteReference w:id="89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دلّت هذه الرواية على أنه بتقدير إقامة البيّنة بإرخاء الستر يلزم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اللعان، والتحريم، ووجوب المهر؛ عملاً بظاهر حال الصحيح عند الخلوة بالحليلة وعدم المانع من الوطء، فيثبت المهر واللعان، ويترتّب عليه التحريم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قذف امرأته ونفى الولد وأقام بيّنةً سقط الحدّ، ولم ينتف الولد إلّا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عدم إرخاء الستر أثبت الشيخ ثلاثة 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نصف المهر، ونفي اللعان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لازمان لعدم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الحدّ عليها كملاً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يظهر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نظفر بمستنده</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علّل باعترافها بالوطء والحمل، وعدم ثبوت السبب المحلّل الذي ادّعته فهذا لا يستلزم كونه عن زنى؛ لأنّه أعم، ولا يلزم من انتفاء السبب الخاصّ المحلّل انتفاء غيره من الأسباب وإن لم 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 لابن إدريس</w:t>
      </w:r>
      <w:r>
        <w:rPr>
          <w:rStyle w:val="FootnoteAnchor"/>
          <w:rtl w:val="true"/>
        </w:rPr>
        <w:footnoteReference w:id="894"/>
      </w:r>
      <w:r>
        <w:rPr>
          <w:rFonts w:ascii="Amiri" w:hAnsi="Amiri" w:eastAsia="Amiri" w:cs="Amiri"/>
          <w:color w:val="111111"/>
          <w:sz w:val="28"/>
          <w:sz w:val="28"/>
          <w:szCs w:val="28"/>
          <w:rtl w:val="true"/>
          <w:lang w:bidi="ar-SA"/>
        </w:rPr>
        <w:t>، واختاره المصنّف والعلّامة</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ووجهه أنّ فائدة اللعان من الزوج إمّا نفي ولدٍ يحكم بلحوقه شرعاً، وهو موقوف على ثبوت الوطء لتصير فراشاً ولم يحصل، وإمّا لنفي حدّ القذف عنه ولم يقذف، وإمّا لإثبات حدّ على المرأة، وهو هنا منتفٍ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يلزمه ثبوت نصف المهر خاصّةً؛ لما تقدّم من أنّ</w:t>
      </w:r>
    </w:p>
    <w:p>
      <w:pPr>
        <w:pStyle w:val="BookText"/>
        <w:rPr/>
      </w:pPr>
      <w:r>
        <w:rPr>
          <w:rFonts w:ascii="Amiri" w:hAnsi="Amiri" w:eastAsia="Amiri" w:cs="Amiri"/>
          <w:color w:val="111111"/>
          <w:sz w:val="28"/>
          <w:sz w:val="28"/>
          <w:szCs w:val="28"/>
          <w:rtl w:val="true"/>
          <w:lang w:bidi="ar-SA"/>
        </w:rPr>
        <w:t>الخلوة لا توجب المهر 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متوجّه، إلّا أنّ الرواية صحيحة، فردّها مطلقاً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قذف امرأته ونفى الولد وأقام بيّنة سقط الحدّ، ولم ينتف الولد إلّا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قذف امرأته بالزنى ونفى ولدها فقد جمع بين السببين الموجبين للّعان، فيثبت عليه الحدّ للقذف وله إسقاطه باللعان، وأمّا الولد فلا ينتفي بدونه؛ لأنّ زنى الزوجة لا ينفي الولد عن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لاعن لهما سقط الحدّ وانتفى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لاعن لأحدهما خاصّةً ترتّب عليه حكمه وبقي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أقام بيّنة بزناها سقط عنه حدّ القذف؛ لسقوط إحصانها، ويعزّر</w:t>
      </w:r>
    </w:p>
    <w:p>
      <w:pPr>
        <w:pStyle w:val="BookText"/>
        <w:rPr/>
      </w:pPr>
      <w:r>
        <w:rPr>
          <w:rFonts w:ascii="Amiri" w:hAnsi="Amiri" w:eastAsia="Amiri" w:cs="Amiri"/>
          <w:color w:val="111111"/>
          <w:sz w:val="28"/>
          <w:sz w:val="28"/>
          <w:szCs w:val="28"/>
          <w:rtl w:val="true"/>
          <w:lang w:bidi="ar-SA"/>
        </w:rPr>
        <w:t>للإيذاء بتجديد ذكر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إسقاطه باللعان؟ فيه وجهان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يلاعن؛ دفعاً للعقوبة، ولقطع النكاح، ودفع العار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طلّقها بائناً، فأتت بولد يلحق به في الظاهر لم ينتف إلّا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تزوّجت وأتت بولد لدون ستّة أشهر من دخول الثاني، ولتسعة أشهر فما دون من فراق الأوّل لم ينتف عنه إلّا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وهو الذي اختاره الشيخ في المبسوط</w:t>
      </w:r>
      <w:r>
        <w:rPr>
          <w:rStyle w:val="FootnoteAnchor"/>
          <w:rtl w:val="true"/>
        </w:rPr>
        <w:footnoteReference w:id="896"/>
      </w:r>
      <w:r>
        <w:rPr>
          <w:rFonts w:ascii="Amiri" w:hAnsi="Amiri" w:eastAsia="Amiri" w:cs="Amiri"/>
          <w:color w:val="111111"/>
          <w:sz w:val="28"/>
          <w:sz w:val="28"/>
          <w:szCs w:val="28"/>
          <w:rtl w:val="true"/>
          <w:lang w:bidi="ar-SA"/>
        </w:rPr>
        <w:t>لأنّ اللعان لإظهار الصدق وإثبات الزنى، والصدق ظاهر، والزنى ثابت، فلا معنى 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التعزير هنا للسبّ والإيذاء، فأشبه قذف الصغيرة التي لا توطاً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ثبت زناها باعترافها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هنا عدم اللعان، فيعزّر ويلاعن لنفي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طلّقها بائناً، فأتت بولد يلحق به في الظاهر لم ينتف إلّا باللعان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تزوّجت وأتت بولد لدون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أحكام الأولاد</w:t>
      </w:r>
      <w:r>
        <w:rPr>
          <w:rStyle w:val="FootnoteAnchor"/>
          <w:rtl w:val="true"/>
        </w:rPr>
        <w:footnoteReference w:id="897"/>
      </w:r>
      <w:r>
        <w:rPr>
          <w:rFonts w:ascii="Amiri" w:hAnsi="Amiri" w:eastAsia="Amiri" w:cs="Amiri"/>
          <w:color w:val="111111"/>
          <w:sz w:val="28"/>
          <w:sz w:val="28"/>
          <w:szCs w:val="28"/>
          <w:rtl w:val="true"/>
          <w:lang w:bidi="ar-SA"/>
        </w:rPr>
        <w:t>أنّ ولد المطلّقة يلحق بالمطلّق متى أمكن كونه منه؛ لكونها فراشاً له وإن زال، إلّا أن يعارضه فراش جديد يمكن إلحاقه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ولدته لأقصى الحمل فما دون من وطء المطلّق ولم يكن تزوّجت أو تزوّجت ولم يمض لها أقلّ الحمل من وطء الثاني، أُلحق بالأوّل، و لم ينتف عنه إلّا باللعان، كما لو نفاه في صلب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فيه زوال الزوجيّة؛ إذ لا طريق إلى نفي الولد اللاحق به ظاهراً بدونه، بخلاف ما لو قذفها بعد البينونة، فإنّه يحدّ ولا لعان؛ عملاً بظاهر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يَرْمُونَ أَزْوَاجَهُمْ</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 وهى الآن ليست زوجةً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ولبعض العامّة قول بنفي اللعان في الحالين؛ لانتفاء الزوجيّة التي هي مناط اللعان</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وجه </w:t>
      </w:r>
      <w:bookmarkStart w:id="261" w:name="pg10270_80292"/>
    </w:p>
    <w:p>
      <w:pPr>
        <w:pStyle w:val="Heading4"/>
        <w:numPr>
          <w:ilvl w:val="3"/>
          <w:numId w:val="1"/>
        </w:numPr>
        <w:rPr/>
      </w:pPr>
      <w:bookmarkStart w:id="262" w:name="__RefHeading___Toc3860164_1067777946"/>
      <w:bookmarkStart w:id="263" w:name="_Toc96"/>
      <w:bookmarkEnd w:id="261"/>
      <w:bookmarkEnd w:id="262"/>
      <w:r>
        <w:rPr>
          <w:rtl w:val="true"/>
        </w:rPr>
        <w:t>الركن الثاني في الملاعن</w:t>
      </w:r>
      <w:bookmarkEnd w:id="263"/>
    </w:p>
    <w:p>
      <w:pPr>
        <w:pStyle w:val="Heading5"/>
        <w:numPr>
          <w:ilvl w:val="4"/>
          <w:numId w:val="1"/>
        </w:numPr>
        <w:rPr/>
      </w:pPr>
      <w:bookmarkStart w:id="264" w:name="__RefHeading___Toc3860166_1067777946"/>
      <w:bookmarkStart w:id="265" w:name="_Toc97"/>
      <w:bookmarkEnd w:id="264"/>
      <w:r>
        <w:rPr>
          <w:rtl w:val="true"/>
        </w:rPr>
        <w:t>شروط المتلاعن</w:t>
      </w:r>
      <w:bookmarkEnd w:id="2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ويعتبر كونه بالغاً عاقلاً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لعان الكافر روايتان، أشهرهما أنّه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القول في المملوك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الملاعن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ويعتبر كونه بالغاً عاقلاً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لعان الكافر روايتان أشهرهما أنه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القول في المملوك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إشكال في اعتبار بلوغ الملاعن وعقله؛ لأنّ عبارة الطفل والمجنون مسلوبة الاعتبار شرعاً؛ لرفع القلم عنهما</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اللعان إمّا شهادات أو أيمان، والطفل والمجنون ليسا من أهل الشهادة ولا اليمين، ولا يقتضي قذفهما اللعان بعد البلوغ والإفاقة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يعزّر المميّز على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الإسلام فنفاه الأكثر ، وجوّزوا لعان الكافر؛ لعموم آيات اللعان</w:t>
      </w:r>
      <w:r>
        <w:rPr>
          <w:rStyle w:val="FootnoteAnchor"/>
          <w:rtl w:val="true"/>
        </w:rPr>
        <w:footnoteReference w:id="901"/>
      </w:r>
      <w:r>
        <w:rPr>
          <w:rFonts w:ascii="Amiri" w:hAnsi="Amiri" w:eastAsia="Amiri" w:cs="Amiri"/>
          <w:color w:val="111111"/>
          <w:sz w:val="28"/>
          <w:sz w:val="28"/>
          <w:szCs w:val="28"/>
          <w:rtl w:val="true"/>
          <w:lang w:bidi="ar-SA"/>
        </w:rPr>
        <w:t>، وأصالة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ابن الجنيد فشرط إسلام المتلاعنين معاً</w:t>
      </w:r>
      <w:r>
        <w:rPr>
          <w:rStyle w:val="FootnoteAnchor"/>
          <w:rtl w:val="true"/>
        </w:rPr>
        <w:footnoteReference w:id="902"/>
      </w:r>
      <w:r>
        <w:rPr>
          <w:rFonts w:ascii="Amiri" w:hAnsi="Amiri" w:eastAsia="Amiri" w:cs="Amiri"/>
          <w:color w:val="111111"/>
          <w:sz w:val="28"/>
          <w:sz w:val="28"/>
          <w:szCs w:val="28"/>
          <w:rtl w:val="true"/>
          <w:lang w:bidi="ar-SA"/>
        </w:rPr>
        <w:t>نظراً إلى أنّه شهادات، والكافر ليس من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 بمنع كونه شهادات محضة، بل هو إلى الأيمان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لعان الكافر روايتين بالجواز والمنع، فلم نقف عليهما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حمله بعضهم على أنّ الروايتين في لعان الكافر مطلقاً الشامل للرجل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والمرأة، فإنّ الروايات المختلفة إنّما وردت في لعان الكافرة</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هنا في الملاعن دون الملاعنة، وسيأتي البحث فيها بخصوصها وفي شرائطها</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تجعل الأخبار الدالّة على صحّة لعان الكافرة وعدمه دالّاً على مثله في الزوج الكافر، من حيث إنّ وجه المنع كونه شهادة وهي مشتركة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ويتصوّر لعان الكافر فيما إذا كان الزوجان ذمّيين فترافعا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فرض الزوجة مسلمة والزوج كافراً فيما إذا أسلمت وأتت بولد يلحقه شرعاً، فأنكره</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منه أنّ في لعانه روايتين، وأنّ الأشهر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كذلك، بل فيه روايات بالصحّة، كصحيحة محمّد بن مسلم عن أحدهما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عبد قذف امرأته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يتلاعنان كما يتلاعن الأحرار</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جميل بن درّاج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الحرّ بينه وبين المملوكة لعان،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وبين المملوك والحرّة، وبين العبد وبين الأمة، وبين المسلم واليهوديّة والنصرانیّة</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فيه رواية بالمنع، ولا به قائل معلوم، وابن الجنيد المانع من لعان الكافر </w:t>
      </w:r>
      <w:bookmarkStart w:id="266" w:name="pg10270_80294"/>
    </w:p>
    <w:p>
      <w:pPr>
        <w:pStyle w:val="Heading5"/>
        <w:numPr>
          <w:ilvl w:val="4"/>
          <w:numId w:val="1"/>
        </w:numPr>
        <w:rPr/>
      </w:pPr>
      <w:bookmarkStart w:id="267" w:name="__RefHeading___Toc3860168_1067777946"/>
      <w:bookmarkStart w:id="268" w:name="_Toc98"/>
      <w:bookmarkEnd w:id="266"/>
      <w:bookmarkEnd w:id="267"/>
      <w:r>
        <w:rPr>
          <w:rtl w:val="true"/>
        </w:rPr>
        <w:t>یصحّ لعان الأخرس</w:t>
      </w:r>
      <w:bookmarkEnd w:id="2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لعان الأخرس إذا كان له إشارة معقولة، كما یصحّ طلاقه وإقراره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توقّف شاذّ منّا؛ نظراً إلى تعذّر العلم بالإشارة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ضعيف؛ إذ ليس حال اللعان بزائد عن حال الإقرار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اللعان مع عدم النطق وعدم الإشارة المعقولة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صرّح بعدم اشتراط الحرّيّة فيهما</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أن يريد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القول في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تشبيه الحكم بالصحّة من دون ان يشير إلى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ویصحّ لعان الأخرس إذا كان له إشارة معقولة، كما یصحّ طلاقه وإقراره، وربما توقّف شاذّ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الأخرس إن لم يكن له إشارة مفهومة ولا كتابة لم یصحّ قذفه ولا لعانه ولا سائر تصرّفاته</w:t>
      </w:r>
    </w:p>
    <w:p>
      <w:pPr>
        <w:pStyle w:val="BookText"/>
        <w:rPr/>
      </w:pPr>
      <w:r>
        <w:rPr>
          <w:rFonts w:ascii="Amiri" w:hAnsi="Amiri" w:eastAsia="Amiri" w:cs="Amiri"/>
          <w:color w:val="111111"/>
          <w:sz w:val="28"/>
          <w:sz w:val="28"/>
          <w:szCs w:val="28"/>
          <w:rtl w:val="true"/>
          <w:lang w:bidi="ar-SA"/>
        </w:rPr>
        <w:t>اتفاقاً؛ لتعذّر الوقوف على ما يريده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كان له إشارة فالمشهور صحّة قذفه ولعانه، كما یصحّ بيعه ونكاحه وطلاقه وغيرها، بل أولى؛ لأنّ اللعان ممّا تدعو إليه الضرورة، وليس كالشهادات حيث لا تقبل من الأخرس عند بعضهم</w:t>
      </w:r>
      <w:r>
        <w:rPr>
          <w:rStyle w:val="FootnoteAnchor"/>
          <w:rtl w:val="true"/>
        </w:rPr>
        <w:footnoteReference w:id="908"/>
      </w:r>
      <w:r>
        <w:rPr>
          <w:rFonts w:ascii="Amiri" w:hAnsi="Amiri" w:eastAsia="Amiri" w:cs="Amiri"/>
          <w:color w:val="111111"/>
          <w:sz w:val="28"/>
          <w:sz w:val="28"/>
          <w:szCs w:val="28"/>
          <w:rtl w:val="true"/>
          <w:lang w:bidi="ar-SA"/>
        </w:rPr>
        <w:t>لأنّ المغلّب في اللعان معنى الأيمان دون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الشهادة يقوم بها الناطقون فلا ضرورة إلى أن يتحمّلها الأخرس واللعان مختصّ بالأزواج، فإذا كان الزوج أخرس لم يكن بدّ من تصحيحه منه ليتأدّى به هذا الغرض المطلوب، بل الواجب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سيأتي من مذهب أصحابنا من قبول شهادة الأخرس</w:t>
      </w:r>
      <w:r>
        <w:rPr>
          <w:rStyle w:val="FootnoteAnchor"/>
          <w:rtl w:val="true"/>
        </w:rPr>
        <w:footnoteReference w:id="909"/>
      </w: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عليه الشيخ بعموم الآية وإجماع الفرقة وأخبارهم</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وخالف في ذلك ابن إدريس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أقدم على أنّ الأخرس المذكور یصحّ لعانه؛ لأنّ أحداً من أصحابنا غير من ذكرنا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وعنى به الشيخ في المبسوط والخلاف حيث أجازه</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يوردها في كتابه، و لا وقفت على خبر بذلك ولا إجماع عليه، والقائل بهذا غير معلوم، والتمسّك بالآية بعيد؛ لأنّه لا خلاف أنّه غير قاذفٍ ولا رامٍ على الحقيقة، فالنطق منه بالشهادات في حال اللعان متعذّر والأصل براءة الذمّة، واللعان حكم شرعي يحتاج في إثباته إلى دليلٍ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رجع عن اللعان عند من جوّزه له وجب عليه الحدّ، و الرسول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ادرؤا الحدود بالشبهات</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ومن المعلوم أنّ في إيمائه وإشارته بالقذف شبهة هل أراد به القذف أو غيره؟ وهو غير معلوم يقيناً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یصحّ منه اللعان كان قويّاً معتمداً؛ لأنّه یصحّ منه الإقرار والأيمان وأداء الشهادات وغير ذلك من الأحكام</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الكلام يدلّ على اضطرابه في الفتوى وتردّده فيها، ومن ثَمّ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توقّف فيه شاذّ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المصنّف إلى جوابه بأنّ إشارته مقبولة فيما هو أقوى من اللعان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كالإقرار بالقتل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فليكن في اللعان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إشارته مفهمة للمطلوب، وإلّا لسلّمنا 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فما استند إليه من عدم العلم بإشارته في القذف والشهادة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الفرض</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 الاتّفاق على أنّه غير قاذفٍ ولا رامٍ فاسدة؛ إذ القذف مرجعه إلى الرمي،فإنّ معناه لغةً الرمي</w:t>
      </w:r>
      <w:r>
        <w:rPr>
          <w:rStyle w:val="FootnoteAnchor"/>
          <w:rtl w:val="true"/>
        </w:rPr>
        <w:footnoteReference w:id="914"/>
      </w:r>
      <w:r>
        <w:rPr>
          <w:rFonts w:ascii="Amiri" w:hAnsi="Amiri" w:eastAsia="Amiri" w:cs="Amiri"/>
          <w:color w:val="111111"/>
          <w:sz w:val="28"/>
          <w:sz w:val="28"/>
          <w:szCs w:val="28"/>
          <w:rtl w:val="true"/>
          <w:lang w:bidi="ar-SA"/>
        </w:rPr>
        <w:t>، وهو غير مختصّ بلفظ، بل بما دلّ على الرمي بالزنى في معرض التعبير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يمكن أن يفرّق بين الإقرار وغيره من العقود والمعاملات من الأخرس وبين اللعان، من حيث إنّه يتعيّن فيه تأديه بلفظ الشهادة واللعن و الغضب، والإشارات لا ترشد إلى تفصيل الصيغ وإن أدّت معناها، وإنّما يتوجّه أن یصحّ منه ما لا يختصّ بصيغة، فلا يمنع إقامة الإشارة منه مقام العبارة المؤديّة له دون ما يختصّ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يظهر من اختصاص النكاح والبيع ونحوهما من العقود اللازمة بصيغ خاصّةً فليس المقصود منها إلّا ما دلّ على المطلوب صريحاً؛ إذ لا نصّ على الاختصاص، فإذا أفادت إشارة الأخرس ذلك كفت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الجواب بأنّه قد علم من الشارع الاكتفاء بإشارته فيما علم منه إرادة صيغة خاصّة، كتكبيرة الإحرام في الصلاة وقراءة الفاتحة ونحوهما من الأذكار المتعيّنة</w:t>
      </w:r>
      <w:r>
        <w:rPr>
          <w:rStyle w:val="FootnoteAnchor"/>
          <w:rtl w:val="true"/>
        </w:rPr>
        <w:footnoteReference w:id="915"/>
      </w:r>
      <w:r>
        <w:rPr>
          <w:rFonts w:ascii="Amiri" w:hAnsi="Amiri" w:eastAsia="Amiri" w:cs="Amiri"/>
          <w:color w:val="111111"/>
          <w:sz w:val="28"/>
          <w:sz w:val="28"/>
          <w:szCs w:val="28"/>
          <w:rtl w:val="true"/>
          <w:lang w:bidi="ar-SA"/>
        </w:rPr>
        <w:t>، فليكن هنا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الفرق بين الأمرين لائح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فالقول بوقوع اللعان من الأخرس هو المذهب، وإن كان الشكّ فيه منقدحاً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كما يمكن وقوع القذف واللعان معاً من الأخرس يمكن وقوع القذف منه صحيحاً ثمّ يعرض له الخرس قبل اللعان، ومعه يزول الإشكال الذي عرض لابن إدريس من عدم تحقّق القذف والرمي منه، ويبقى الكلام في اللعان خاصّةً، وهو منحصر في الشهادة أو اليمين، وكلاهما يقع من الأخرس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نفى ولد المجنونة لم ينتف إلّا باللعان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أفاقت فلاعنت صحّ، وإلّا كان النسب ثابتاً والزوجيّة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أنكر ولد الشبهة انتفى عنه، ولم يثبت اللعان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كان يُحسن الكتابة فهي من جملة إشاراته، بل ربما كانت أوضح، فإذا لا عن بالكتابة وأشار بما يدلّ على كان أكمل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وليكتب حينئذٍ كلمة الشهادة وكلمة اللعن والغضب، ويشير إليها أربعَ مرّاتٍ، ولا يکلّف أن يكتب أربع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قذف ولا عن بالإشارة ثمّ عاد نطقه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أُرد اللعان بإشارتي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قوله فيما عليه حتّى يلحقه النسب ويلزمه الحدّ، ولا يُقبل فيما له حتّى لا ترتفع الفرقة ولا التحريم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يلاعن في الحال لإسقاط الحدّ ولنفي النسب إذا لم يمض من الزمان ما يسقط فيه حدّ النفى،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أُرد القذف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قوله؛ لأنّ إشارته أثبتت حقّاً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نفى ولد المجنونة لم ينتف إلّا باللعان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أفاقت فلاعنت صحّ، وإلّا كان النسب ثابتاً والزوجيّة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حكم الولد أن يلحق بالفراش بالنصّ</w:t>
      </w:r>
      <w:r>
        <w:rPr>
          <w:rStyle w:val="FootnoteAnchor"/>
          <w:rtl w:val="true"/>
        </w:rPr>
        <w:footnoteReference w:id="916"/>
      </w:r>
      <w:r>
        <w:rPr>
          <w:rFonts w:ascii="Amiri" w:hAnsi="Amiri" w:eastAsia="Amiri" w:cs="Amiri"/>
          <w:color w:val="111111"/>
          <w:sz w:val="28"/>
          <w:sz w:val="28"/>
          <w:szCs w:val="28"/>
          <w:rtl w:val="true"/>
          <w:lang w:bidi="ar-SA"/>
        </w:rPr>
        <w:t>والإجماع إلى أن يدلّ دليل على انتفائه عنه لم يفرّق في ذلك بين ولد العاقلة والمجنونة؛ لاشتراكهما في المقتضي للإلحاق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اللعان مشروطاً بكمال الملاعن انتظر زوال المانع من جهتها، فإن أفاقت لاعنته وإلّا فلا سبيل إلى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عرض له الجنون بعد نفيه وقبل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أنكر ولد الشبهة انتفى عنه، ولم يثبت اللعان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الموطوءة بالشبهة لا تصير فراشاً للواطئ بحيث يلحق به الولد بمجرّده، بل يتوّقف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عرف انتفاء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لاختلال شروط الالتحاق أو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إنكار الولد واللعان؛ لئلّا يلتحق بنسبة من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إنكار الولد للشبهة، ولا للظنّ، ولا لمخالفة صفات الولد صفات الواطئ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لحوقه على اعترافه به، أو اعترافه بأنّه لم يطأها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الذي يمكن إلحاق الولد به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لأنّ ذلك يستلزم كونه منه أيضاً، وهو في قوّة الاعتراف به فيلحق به،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عرف انتفاء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لاختلال شروط الالتحاق أو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إنكار</w:t>
      </w:r>
    </w:p>
    <w:p>
      <w:pPr>
        <w:pStyle w:val="BookText"/>
        <w:rPr/>
      </w:pPr>
      <w:r>
        <w:rPr>
          <w:rFonts w:ascii="IRNazanin" w:hAnsi="IRNazanin" w:eastAsia="IRNazanin"/>
          <w:color w:val="111111"/>
          <w:sz w:val="28"/>
          <w:sz w:val="28"/>
          <w:szCs w:val="28"/>
          <w:rtl w:val="true"/>
          <w:lang w:bidi="fa-IR"/>
        </w:rPr>
        <w:t>الولد واللعان 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اختلال شروط إلحاق الولد قد يظهر للزوج وغيره بأن ولدته بعد تزويجه بها كاملا لأقلّ</w:t>
      </w:r>
    </w:p>
    <w:p>
      <w:pPr>
        <w:pStyle w:val="BookText"/>
        <w:rPr/>
      </w:pPr>
      <w:r>
        <w:rPr>
          <w:rFonts w:ascii="Amiri" w:hAnsi="Amiri" w:eastAsia="Amiri" w:cs="Amiri"/>
          <w:color w:val="111111"/>
          <w:sz w:val="28"/>
          <w:sz w:val="28"/>
          <w:szCs w:val="28"/>
          <w:rtl w:val="true"/>
          <w:lang w:bidi="ar-SA"/>
        </w:rPr>
        <w:t>من ستّة أشهر، فينتفي عنه حينئذٍ وإن لم ينفه، ولا يفتقر إلى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للزوج خاصّةً، كما لو ولدته لستّة أشهر فصاعداً من حين التزويج وخلوته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لم يدخل بها فيما بينه وبين الله تعالى في وقت يمكن إلحاقه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القسم يحكم بلحوقه به ظاهراً، ولا ينتفى عنه إلّا باللعان؛ لأنّها فراش والولد لاحق بالفراش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عليه في هذا القسم نفيه، ولعانها لأجل ذلك؛ حذراً من أن يلحق بنسبة من ليس منه ، ويترتّب عليه حكم الولد في الميراث والنكاح ونظر محارمه، وغير ذلك من المحذورات التي لا ترتفع إلّا بنفيه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بعدم وجوب نفيه</w:t>
      </w:r>
      <w:r>
        <w:rPr>
          <w:rStyle w:val="FootnoteAnchor"/>
          <w:rtl w:val="true"/>
        </w:rPr>
        <w:footnoteReference w:id="917"/>
      </w:r>
      <w:r>
        <w:rPr>
          <w:rFonts w:ascii="Amiri" w:hAnsi="Amiri" w:eastAsia="Amiri" w:cs="Amiri"/>
          <w:color w:val="111111"/>
          <w:sz w:val="28"/>
          <w:sz w:val="28"/>
          <w:szCs w:val="28"/>
          <w:rtl w:val="true"/>
          <w:lang w:bidi="ar-SA"/>
        </w:rPr>
        <w:t>، وإنّما يحرم التصريح باستلحاقه كذباً دون السكوت عن النفي، وذلك لأنّ في اقتحام اللعان شهرة وفضيحة يصعب احتمالها على ذوي المروءات، فيبعد إيجابه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بين أن يتيقّن مع ذلك أنّها زنت وعدمه، بأن جوّز كونه من زوج آخر قبله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وطء شبهة، وإن حرم قذفها في الثاني؛ لأنّ الغرض نفي الولد ورفع استلحاقه به، سواء كان لاحقاً بغيره في نفس الأمر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اجتمعت شروط الإلحاق، بأن ولدته في المدّة التي بين أقلّ الحمل وأكثره من حين وطئه لحق به ظاهراً، وحرم عليه نفيه وإن استراب به، بل وإن حقّق زناها، أو جاء الولد مخالفاً له في الخلق والخُلق، بل مشابهاً لمن اتّهمها به، أو حقّق زناه بها؛ لأنّ الولد شرعاً لاحق بالفراش، والعرق نزّاع، وقد روي أنّ رجلاً قال للنبيّ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امرأتي ولدت غلاماً أسود،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لك من 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فيها أورق</w:t>
      </w:r>
      <w:r>
        <w:rPr>
          <w:rStyle w:val="FootnoteAnchor"/>
          <w:rtl w:val="true"/>
        </w:rPr>
        <w:footnoteReference w:id="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ترى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نزعة عرق،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 هذا نزعة عرق</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عبد الله بن سنان عن بعض أصحابنا،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رجل من الأنصار إلى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ابنة عمّي وامرأتي لا أعلم إلّا خيراً، وقد أتتني بولد شديد السواد، منتشر المنخرين، جعد، قطط، أفطس الأنف، لا أعرف شبهه في أخوالي ولا في أجدادي، فقال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والذي بعثك بالحقّ نبيّاً ما أقعدت مقعده منّي منذ ملكني أحداً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فنکس رسول الله صلّی الله علیه و آله وسّلم رأسه مليّاً، ثم رفع بصره إلى السماء، ثم أقبل على الرجل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هذا، إنّه ليس من أحد إلّا بينه وبين آدم تسعة وتسعون عرقاً تضرب في النسب، فإذا وقعت النطفة اضطربت تلك العروق تسأل الله الشبه بها، فهذا من تلك العروق التي لم تدركها أجدادك، خذي إليك ابنك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فرّجت عنّي يا رسول الله</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bookmarkStart w:id="269" w:name="pg10270_80300"/>
    </w:p>
    <w:p>
      <w:pPr>
        <w:pStyle w:val="Heading4"/>
        <w:numPr>
          <w:ilvl w:val="3"/>
          <w:numId w:val="1"/>
        </w:numPr>
        <w:rPr/>
      </w:pPr>
      <w:bookmarkStart w:id="270" w:name="__RefHeading___Toc3860170_1067777946"/>
      <w:bookmarkStart w:id="271" w:name="_Toc99"/>
      <w:bookmarkEnd w:id="269"/>
      <w:bookmarkEnd w:id="270"/>
      <w:r>
        <w:rPr>
          <w:rtl w:val="true"/>
        </w:rPr>
        <w:t>الركن الثالث في الملاعنة</w:t>
      </w:r>
      <w:bookmarkEnd w:id="271"/>
    </w:p>
    <w:p>
      <w:pPr>
        <w:pStyle w:val="Heading5"/>
        <w:numPr>
          <w:ilvl w:val="4"/>
          <w:numId w:val="1"/>
        </w:numPr>
        <w:rPr/>
      </w:pPr>
      <w:bookmarkStart w:id="272" w:name="__RefHeading___Toc3860172_1067777946"/>
      <w:bookmarkStart w:id="273" w:name="_Toc100"/>
      <w:bookmarkEnd w:id="272"/>
      <w:r>
        <w:rPr>
          <w:rtl w:val="true"/>
        </w:rPr>
        <w:t>من شروط الملاعنة السلامة من الصمم والخرس</w:t>
      </w:r>
      <w:bookmarkEnd w:id="273"/>
    </w:p>
    <w:p>
      <w:pPr>
        <w:pStyle w:val="BookText"/>
        <w:rPr/>
      </w:pPr>
      <w:r>
        <w:rPr>
          <w:rFonts w:ascii="Amiri" w:hAnsi="Amiri" w:eastAsia="Amiri" w:cs="Amiri"/>
          <w:color w:val="111111"/>
          <w:sz w:val="28"/>
          <w:sz w:val="28"/>
          <w:szCs w:val="28"/>
          <w:rtl w:val="true"/>
          <w:lang w:bidi="ar-SA"/>
        </w:rPr>
        <w:t>ويعتبر فيها البلوغ وكمال العقل، والسلامة من الصمم والخرس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فيها البلوغ وكمال العقل والسلامة من الصمم والخرس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العبارة أنّ السلامة منهما معاً شرط فى صحّة لعانها مطلقاً، فلو كانت متّصفةً بأحدهما خاصّةً صحّ لعانها ؛ لأنّ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السلامة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باب التحريم من النكاح</w:t>
      </w:r>
      <w:r>
        <w:rPr>
          <w:rStyle w:val="FootnoteAnchor"/>
          <w:rtl w:val="true"/>
        </w:rPr>
        <w:footnoteReference w:id="921"/>
      </w:r>
      <w:r>
        <w:rPr>
          <w:rFonts w:ascii="Amiri" w:hAnsi="Amiri" w:eastAsia="Amiri" w:cs="Amiri"/>
          <w:color w:val="111111"/>
          <w:sz w:val="28"/>
          <w:sz w:val="28"/>
          <w:szCs w:val="28"/>
          <w:rtl w:val="true"/>
          <w:lang w:bidi="ar-SA"/>
        </w:rPr>
        <w:t>أنّ أحدهما كافٍ في تحريمها مع القذف، ففي الفتوى اختلاف في الموضعين، مع إمكان تكلّف الجمع بينهما بحمل هذه على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المختار في ذلك ثَمّ</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ومقتضى هذه العبارة أيضاً أنّه لا یصحّ لعانها للقذف ولا لنفي الولد؛ لأنّه جعل السلامة منهما معاً شرطاً في صحّة لعانها مطلقاً الشامل لذلك، وفيما تقدّم جعل قذفها موجباً لتحريمها بغير لعان</w:t>
      </w:r>
      <w:r>
        <w:rPr>
          <w:rStyle w:val="FootnoteAnchor"/>
          <w:rtl w:val="true"/>
        </w:rPr>
        <w:footnoteReference w:id="923"/>
      </w:r>
      <w:r>
        <w:rPr>
          <w:rFonts w:ascii="Amiri" w:hAnsi="Amiri" w:eastAsia="Amiri" w:cs="Amiri"/>
          <w:color w:val="111111"/>
          <w:sz w:val="28"/>
          <w:sz w:val="28"/>
          <w:szCs w:val="28"/>
          <w:rtl w:val="true"/>
          <w:lang w:bidi="ar-SA"/>
        </w:rPr>
        <w:t>، فنفي الولد غير داخل فيه؛ لأنّ للّعان سببين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Style w:val="FootnoteAnchor"/>
          <w:rtl w:val="true"/>
        </w:rPr>
        <w:footnoteReference w:id="92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القذف ونفي الولد، وأحدهما غير الآخر، وقد يجتمعان كما لو قذفها بالزنى ونفي ولدها، وقد ينفرد كلّ منهما عن الآخر، بأن يقذفها بالزنى ويعترف بولدها، أو ينفي ولدها ويبرئها من الزنى، بأن جعله ولد شبهة أو نكاح صحيح سابق حيث يمكن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والموجود في النصوص تحريمها بالقذف بدون اللعان، وأنّه يحدّ للقذف، ففي صحيحة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رجل قذف امرأته بالزنى وهي خرساء أو صمّاء لا تسمع،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لها بيّنة تشهد لها عند الإمام جلده الحدّ وفرّق بينهما، ثم لا تحلّ له أبداً، وإن لم يكن لها بيّنة فهي حرام عليه ما أقام معها ولا إثم عليها منه</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اختصاص الحكم بالقذف؛ وقوفاً فيما خالف الأصل على محلّ الوفاق، ولعموم الآية</w:t>
      </w:r>
      <w:r>
        <w:rPr>
          <w:rStyle w:val="FootnoteAnchor"/>
          <w:rtl w:val="true"/>
        </w:rPr>
        <w:footnoteReference w:id="926"/>
      </w:r>
      <w:r>
        <w:rPr>
          <w:rFonts w:ascii="Amiri" w:hAnsi="Amiri" w:eastAsia="Amiri" w:cs="Amiri"/>
          <w:color w:val="111111"/>
          <w:sz w:val="28"/>
          <w:sz w:val="28"/>
          <w:szCs w:val="28"/>
          <w:rtl w:val="true"/>
          <w:lang w:bidi="ar-SA"/>
        </w:rPr>
        <w:t xml:space="preserve">الشامل للزوجة مطلقاً، خرج منه المقذوفة فيبقى الباقي، ولأنّه على تقدير علمه بانتفاء الولد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فحرمت عليه بدون لعان إن انتفى الولد بذلك لزم انتفاء ولد الزوجة الملحق به ظاهراً بمجرّد النفي وهو باطل إجماعاً، وإن لم ينتف عنه ولم يجعل له طريق إليه لزم الحرج والضرر به المنفيّان شرعاً</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نعم، في رواية إسماعيل بن أبي زياد السكوني عن أبي عبد الله علیه السلام ، أنّ علياً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بين خمس من النساء وأزواجهنّ ملاعنة وعدّ منها الخرساء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اللعان باللسان</w:t>
      </w:r>
      <w:r>
        <w:rPr>
          <w:rFonts w:eastAsia="IRNazanin" w:cs="IRNazanin"/>
          <w:color w:val="111111"/>
          <w:sz w:val="28"/>
          <w:szCs w:val="28"/>
          <w:rtl w:val="true"/>
          <w:lang w:bidi="fa-IR"/>
        </w:rPr>
        <w:t>»</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تقتضي نفي اللعان للأمرين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قاصرة عن إفادة المطلوب؛ لضعف سندها، فلا تقاوم ما ثبت بعموم الآية</w:t>
      </w:r>
      <w:r>
        <w:rPr>
          <w:rStyle w:val="FootnoteAnchor"/>
          <w:rtl w:val="true"/>
        </w:rPr>
        <w:footnoteReference w:id="929"/>
      </w:r>
      <w:r>
        <w:rPr>
          <w:rFonts w:ascii="Amiri" w:hAnsi="Amiri" w:eastAsia="Amiri" w:cs="Amiri"/>
          <w:color w:val="111111"/>
          <w:sz w:val="28"/>
          <w:sz w:val="28"/>
          <w:szCs w:val="28"/>
          <w:rtl w:val="true"/>
          <w:lang w:bidi="ar-SA"/>
        </w:rPr>
        <w:t>والرواية</w:t>
      </w:r>
      <w:r>
        <w:rPr>
          <w:rStyle w:val="FootnoteAnchor"/>
          <w:rtl w:val="true"/>
        </w:rPr>
        <w:footnoteReference w:id="930"/>
      </w:r>
      <w:r>
        <w:rPr>
          <w:rFonts w:ascii="Amiri" w:hAnsi="Amiri" w:eastAsia="Amiri" w:cs="Amiri"/>
          <w:color w:val="111111"/>
          <w:sz w:val="28"/>
          <w:sz w:val="28"/>
          <w:szCs w:val="28"/>
          <w:rtl w:val="true"/>
          <w:lang w:bidi="ar-SA"/>
        </w:rPr>
        <w:t>بل الإجماع، وإنّما يقتصر فيه على ما ذكرناه من محلّ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فإنّه أومأ إلى العلّة يكون اللعان إنّما يكون باللسان، المقتضية لنفي لعان الأخرس بالإشارة، وقد تقدّم ما يدلّ على خلافه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فيلاعنها لنفيه بالإشارة كما مرّ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ويحدّ للقذف إن لم يقم عليها البيّنة وتحرم بغير 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أقام بيّنة سقط الحدّ، وحرمت </w:t>
      </w:r>
      <w:bookmarkStart w:id="274" w:name="pg10270_80302"/>
    </w:p>
    <w:p>
      <w:pPr>
        <w:pStyle w:val="Heading5"/>
        <w:numPr>
          <w:ilvl w:val="4"/>
          <w:numId w:val="1"/>
        </w:numPr>
        <w:rPr/>
      </w:pPr>
      <w:bookmarkStart w:id="275" w:name="__RefHeading___Toc3860174_1067777946"/>
      <w:bookmarkStart w:id="276" w:name="_Toc101"/>
      <w:bookmarkEnd w:id="274"/>
      <w:bookmarkEnd w:id="275"/>
      <w:r>
        <w:rPr>
          <w:rtl w:val="true"/>
        </w:rPr>
        <w:t>يشترط أن تكون منكوحةً بالعقد الدائم</w:t>
      </w:r>
      <w:bookmarkEnd w:id="2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منكوحةً بالعقد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كما دلّت عليه الرواية السابقة</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قيل بأنّها لا تحرم حينئذٍ؛ لعدم قذفها بما يوجب اللعان، ويثبت عليها الحدّ بالبيّنة، ولا ينتفي عنها بلعانها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تنافي ذلك وهي معتبرة الإسناد، لكن في الاكتفاء بها في إثبات هذا الحكم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الأصحاب في باب التحريم مصرّحة باشتراط قذفها بما يوجب اللعان لو لا الآفة المذكورة، فيخرج منها ما لو أقام البيّنة وما لو لم يدّع المشاهدة، وإطلاق هذه الرواية وغيرها</w:t>
      </w:r>
      <w:r>
        <w:rPr>
          <w:rStyle w:val="FootnoteAnchor"/>
          <w:rtl w:val="true"/>
        </w:rPr>
        <w:footnoteReference w:id="933"/>
      </w:r>
      <w:r>
        <w:rPr>
          <w:rFonts w:ascii="Amiri" w:hAnsi="Amiri" w:eastAsia="Amiri" w:cs="Amiri"/>
          <w:color w:val="111111"/>
          <w:sz w:val="28"/>
          <w:sz w:val="28"/>
          <w:szCs w:val="28"/>
          <w:rtl w:val="true"/>
          <w:lang w:bidi="ar-SA"/>
        </w:rPr>
        <w:t>يتناول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الرجوع في كلّ موضع يحصل فيه الاشتباه إلى الحكم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تكون منكوحةً بالعقد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دوام العقد في صحّة اللعان بالنسبة إلى نفي الولد موضع وفاق، ولأنّ ولد المتمتّع</w:t>
      </w:r>
    </w:p>
    <w:p>
      <w:pPr>
        <w:pStyle w:val="BookText"/>
        <w:rPr/>
      </w:pPr>
      <w:r>
        <w:rPr>
          <w:rFonts w:ascii="Amiri" w:hAnsi="Amiri" w:eastAsia="Amiri" w:cs="Amiri"/>
          <w:color w:val="111111"/>
          <w:sz w:val="28"/>
          <w:sz w:val="28"/>
          <w:szCs w:val="28"/>
          <w:rtl w:val="true"/>
          <w:lang w:bidi="ar-SA"/>
        </w:rPr>
        <w:t>بها ينتفى بغير لعان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اشتراطه مع القذف فهو المشهور بين الأصحاب، ذهب إليه أكثر المتقدّمين وجميع المتأخّرين، حتّى لم ينقل المصنّف هنا فيه خلافاً وكذلك العلّامة، وقد سبق نقله الخلاف في النكاح المنقطع</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وحجّة المشهور صحيحة عبد الله بن أبي يعفور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يلاعن الرجل المرأة التي يتمتّع بها</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اعتبار الدخول بها خلاف، المرويّ أنّه لا 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بثبوته بالقذف دون نفي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وصحيحة ابن سنان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يلاعن الحرّ الأمة ولا الذمّيّة ولا التي يتمتّع بها</w:t>
      </w:r>
      <w:r>
        <w:rPr>
          <w:rFonts w:eastAsia="IRNazanin" w:cs="IRNazanin"/>
          <w:color w:val="111111"/>
          <w:sz w:val="28"/>
          <w:szCs w:val="28"/>
          <w:rtl w:val="true"/>
          <w:lang w:bidi="fa-IR"/>
        </w:rPr>
        <w:t>»</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رواية علي بن جعفر عن أخيه موسى علیه السلام</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المفيد</w:t>
      </w:r>
      <w:r>
        <w:rPr>
          <w:rStyle w:val="FootnoteAnchor"/>
          <w:rtl w:val="true"/>
        </w:rPr>
        <w:footnoteReference w:id="938"/>
      </w:r>
      <w:r>
        <w:rPr>
          <w:rFonts w:ascii="IRNazanin" w:hAnsi="IRNazanin" w:eastAsia="IRNazanin"/>
          <w:color w:val="111111"/>
          <w:sz w:val="28"/>
          <w:sz w:val="28"/>
          <w:szCs w:val="28"/>
          <w:rtl w:val="true"/>
          <w:lang w:bidi="fa-IR"/>
        </w:rPr>
        <w:t>والمرتضى</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بها؛ لعموم الآية</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ورودها في الدائم؛ لأنّ خصوص السبب لا يخصّص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Style w:val="FootnoteAnchor"/>
          <w:rtl w:val="true"/>
        </w:rPr>
        <w:footnoteReference w:id="941"/>
      </w:r>
      <w:r>
        <w:rPr>
          <w:rFonts w:ascii="Amiri" w:hAnsi="Amiri" w:eastAsia="Amiri" w:cs="Amiri"/>
          <w:color w:val="111111"/>
          <w:sz w:val="28"/>
          <w:sz w:val="28"/>
          <w:szCs w:val="28"/>
          <w:rtl w:val="true"/>
          <w:lang w:bidi="ar-SA"/>
        </w:rPr>
        <w:t>بأنّ عمومها مخصوص بالرواية الصحيحة، بناءً على أنّ خبر الواحد يخصّص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المقدّمات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هذه المسألة في النكاح</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اعتبار الدخول بها خلاف، المرويّ أنّه لا 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بثبوته بالقذف دون نفي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هذا الشرط كالذي قبله، فإنّ الولد قبل الدخول لا يتوقّف نفيه على اللعان إجماعاً، بل هو منتفٍ عنه؛ لعدم وجود شرائط الإلحاق، فلا إشكال في انتفاء لعانها</w:t>
      </w:r>
    </w:p>
    <w:p>
      <w:pPr>
        <w:pStyle w:val="BookText"/>
        <w:rPr/>
      </w:pPr>
      <w:r>
        <w:rPr>
          <w:rFonts w:ascii="IRNazanin" w:hAnsi="IRNazanin" w:eastAsia="IRNazanin"/>
          <w:color w:val="111111"/>
          <w:sz w:val="28"/>
          <w:sz w:val="28"/>
          <w:szCs w:val="28"/>
          <w:rtl w:val="true"/>
          <w:lang w:bidi="fa-IR"/>
        </w:rPr>
        <w:t>بهذا السبب</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لعانها بالقذف فقد اختلفوا في اشتراط الدخول فيه وعدمه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فذهب الشيخ</w:t>
      </w:r>
      <w:r>
        <w:rPr>
          <w:rStyle w:val="FootnoteAnchor"/>
          <w:rtl w:val="true"/>
        </w:rPr>
        <w:footnoteReference w:id="943"/>
      </w:r>
      <w:r>
        <w:rPr>
          <w:rFonts w:ascii="IRNazanin" w:hAnsi="IRNazanin" w:eastAsia="IRNazanin"/>
          <w:color w:val="111111"/>
          <w:sz w:val="28"/>
          <w:sz w:val="28"/>
          <w:szCs w:val="28"/>
          <w:rtl w:val="true"/>
          <w:lang w:bidi="fa-IR"/>
        </w:rPr>
        <w:t>، وأتباعه</w:t>
      </w:r>
      <w:r>
        <w:rPr>
          <w:rStyle w:val="FootnoteAnchor"/>
          <w:rtl w:val="true"/>
        </w:rPr>
        <w:footnoteReference w:id="944"/>
      </w:r>
      <w:r>
        <w:rPr>
          <w:rFonts w:ascii="Amiri" w:hAnsi="Amiri" w:eastAsia="Amiri" w:cs="Amiri"/>
          <w:color w:val="111111"/>
          <w:sz w:val="28"/>
          <w:sz w:val="28"/>
          <w:szCs w:val="28"/>
          <w:rtl w:val="true"/>
          <w:lang w:bidi="ar-SA"/>
        </w:rPr>
        <w:t>، وابن الجنيد</w:t>
      </w:r>
      <w:r>
        <w:rPr>
          <w:rStyle w:val="FootnoteAnchor"/>
          <w:rtl w:val="true"/>
        </w:rPr>
        <w:footnoteReference w:id="945"/>
      </w:r>
      <w:r>
        <w:rPr>
          <w:rFonts w:ascii="IRNazanin" w:hAnsi="IRNazanin" w:eastAsia="IRNazanin"/>
          <w:color w:val="111111"/>
          <w:sz w:val="28"/>
          <w:sz w:val="28"/>
          <w:szCs w:val="28"/>
          <w:rtl w:val="true"/>
          <w:lang w:bidi="fa-IR"/>
        </w:rPr>
        <w:t xml:space="preserve">إلى اشتراط الدخول؛ لرواية أبي بصير عن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يقع اللعان حتّى يدخل الرجل بامرأته، ولا يكون لعان إلّا بنفي الولد</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ولرواية أخرى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يقع اللعان حتّى يدخل الرجل بأهله</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محمد بن مصادف قال، 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لاعن امرأته قبل أن يدخل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ملاعناً حتى يدخل بها، يضرب حدّاً وهي امرأته، ويكون قاذفاً</w:t>
      </w:r>
      <w:r>
        <w:rPr>
          <w:rFonts w:eastAsia="IRNazanin" w:cs="IRNazanin"/>
          <w:color w:val="111111"/>
          <w:sz w:val="28"/>
          <w:szCs w:val="28"/>
          <w:rtl w:val="true"/>
          <w:lang w:bidi="fa-IR"/>
        </w:rPr>
        <w:t>»</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 الروايتين ضعف</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ابن إدريس إلى عدم اشتراطه</w:t>
      </w:r>
      <w:r>
        <w:rPr>
          <w:rStyle w:val="FootnoteAnchor"/>
          <w:rtl w:val="true"/>
        </w:rPr>
        <w:footnoteReference w:id="950"/>
      </w:r>
      <w:r>
        <w:rPr>
          <w:rFonts w:ascii="Amiri" w:hAnsi="Amiri" w:eastAsia="Amiri" w:cs="Amiri"/>
          <w:color w:val="111111"/>
          <w:sz w:val="28"/>
          <w:sz w:val="28"/>
          <w:szCs w:val="28"/>
          <w:rtl w:val="true"/>
          <w:lang w:bidi="ar-SA"/>
        </w:rPr>
        <w:t>لعموم الآية</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إّلا أنّه جعل التفصيل باشتراطه بالدخول لنفي الولد وعدمه للقذف، جامعاً بين الأدلّة والأقوال، بمعنى حمل ما دلّ على اشتراط الدخول على ما إذا كان لنفي الولد و الآخر على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لأنّ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استدلّ بها مشترط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صريح في أنّه بسبب القذف لا نفي الولد والأقوال تابعة للأدلّة</w:t>
      </w:r>
      <w:r>
        <w:rPr>
          <w:rFonts w:eastAsia="Amiri" w:cs="Amiri" w:ascii="Amiri" w:hAnsi="Amiri"/>
          <w:color w:val="111111"/>
          <w:sz w:val="28"/>
          <w:szCs w:val="28"/>
          <w:rtl w:val="true"/>
          <w:lang w:bidi="ar-SA"/>
        </w:rPr>
        <w:t xml:space="preserve">. </w:t>
      </w:r>
      <w:bookmarkStart w:id="277" w:name="pg10270_80305"/>
    </w:p>
    <w:p>
      <w:pPr>
        <w:pStyle w:val="Heading5"/>
        <w:numPr>
          <w:ilvl w:val="4"/>
          <w:numId w:val="1"/>
        </w:numPr>
        <w:rPr/>
      </w:pPr>
      <w:bookmarkStart w:id="278" w:name="__RefHeading___Toc3860176_1067777946"/>
      <w:bookmarkStart w:id="279" w:name="_Toc102"/>
      <w:bookmarkEnd w:id="277"/>
      <w:bookmarkEnd w:id="278"/>
      <w:r>
        <w:rPr>
          <w:rtl w:val="true"/>
        </w:rPr>
        <w:t>يثبت اللعان بين الحرّ والمملوكة</w:t>
      </w:r>
      <w:bookmarkEnd w:id="2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اللعان بين الحرّ والمملوكة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رواية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بثبوته بنفي الولد دون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المصنّف وغيره</w:t>
      </w:r>
      <w:r>
        <w:rPr>
          <w:rStyle w:val="FootnoteAnchor"/>
          <w:rtl w:val="true"/>
        </w:rPr>
        <w:footnoteReference w:id="952"/>
      </w:r>
      <w:r>
        <w:rPr>
          <w:rFonts w:ascii="Amiri" w:hAnsi="Amiri" w:eastAsia="Amiri" w:cs="Amiri"/>
          <w:color w:val="111111"/>
          <w:sz w:val="28"/>
          <w:sz w:val="28"/>
          <w:szCs w:val="28"/>
          <w:rtl w:val="true"/>
          <w:lang w:bidi="ar-SA"/>
        </w:rPr>
        <w:t>أنّ من الأصحاب من قال بعدم اشتراط الدخول في اللعان بالسببين؛ لأنّه جعل التفصيل قولاً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وقائله غير معروف، وهو غير موجّه؛ لما عرفت من أنّ الدخول شرط لحوق الولد، فلا يتوقّف انتفاؤه على اللعان على تقدير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رجوع الخلاف إلى قولين، الاشتراط فيهما،و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ويثبت اللعان بين الحرّ والمملوكة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رواية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الزوجان إمّا أن يكونا حرّين أو مملوكين أو الزوجة حرّة والزوج عبداً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والثلاثة الأوّل لا خلاف في ثبوت اللعان بينهما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الخلاف في الرابع، فجوّزه الأكثر، كالشيخ</w:t>
      </w:r>
      <w:r>
        <w:rPr>
          <w:rStyle w:val="FootnoteAnchor"/>
          <w:rtl w:val="true"/>
        </w:rPr>
        <w:footnoteReference w:id="953"/>
      </w:r>
      <w:r>
        <w:rPr>
          <w:rFonts w:ascii="IRNazanin" w:hAnsi="IRNazanin" w:eastAsia="IRNazanin"/>
          <w:color w:val="111111"/>
          <w:sz w:val="28"/>
          <w:sz w:val="28"/>
          <w:szCs w:val="28"/>
          <w:rtl w:val="true"/>
          <w:lang w:bidi="fa-IR"/>
        </w:rPr>
        <w:t>وأتباعه</w:t>
      </w:r>
      <w:r>
        <w:rPr>
          <w:rStyle w:val="FootnoteAnchor"/>
          <w:rtl w:val="true"/>
        </w:rPr>
        <w:footnoteReference w:id="954"/>
      </w:r>
      <w:r>
        <w:rPr>
          <w:rFonts w:ascii="Amiri" w:hAnsi="Amiri" w:eastAsia="Amiri" w:cs="Amiri"/>
          <w:color w:val="111111"/>
          <w:sz w:val="28"/>
          <w:sz w:val="28"/>
          <w:szCs w:val="28"/>
          <w:rtl w:val="true"/>
          <w:lang w:bidi="ar-SA"/>
        </w:rPr>
        <w:t>والمصنّف وتلميذه العلّامة</w:t>
      </w:r>
      <w:r>
        <w:rPr>
          <w:rStyle w:val="FootnoteAnchor"/>
          <w:rtl w:val="true"/>
        </w:rPr>
        <w:footnoteReference w:id="955"/>
      </w:r>
      <w:r>
        <w:rPr>
          <w:rFonts w:ascii="Amiri" w:hAnsi="Amiri" w:eastAsia="Amiri" w:cs="Amiri"/>
          <w:color w:val="111111"/>
          <w:sz w:val="28"/>
          <w:sz w:val="28"/>
          <w:szCs w:val="28"/>
          <w:rtl w:val="true"/>
          <w:lang w:bidi="ar-SA"/>
        </w:rPr>
        <w:t>والمتأخّرين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المفيد</w:t>
      </w:r>
      <w:r>
        <w:rPr>
          <w:rStyle w:val="FootnoteAnchor"/>
          <w:rtl w:val="true"/>
        </w:rPr>
        <w:footnoteReference w:id="956"/>
      </w:r>
      <w:r>
        <w:rPr>
          <w:rFonts w:ascii="Amiri" w:hAnsi="Amiri" w:eastAsia="Amiri" w:cs="Amiri"/>
          <w:color w:val="111111"/>
          <w:sz w:val="28"/>
          <w:sz w:val="28"/>
          <w:szCs w:val="28"/>
          <w:rtl w:val="true"/>
          <w:lang w:bidi="ar-SA"/>
        </w:rPr>
        <w:t>وسلّار</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التفصيل بصحّته في نفي الولد دون القذف لابن إدريس</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الأولين عموم الآية</w:t>
      </w:r>
      <w:r>
        <w:rPr>
          <w:rStyle w:val="FootnoteAnchor"/>
          <w:rtl w:val="true"/>
        </w:rPr>
        <w:footnoteReference w:id="959"/>
      </w:r>
      <w:r>
        <w:rPr>
          <w:rFonts w:ascii="IRNazanin" w:hAnsi="IRNazanin" w:eastAsia="IRNazanin"/>
          <w:color w:val="111111"/>
          <w:sz w:val="28"/>
          <w:sz w:val="28"/>
          <w:szCs w:val="28"/>
          <w:rtl w:val="true"/>
          <w:lang w:bidi="fa-IR"/>
        </w:rPr>
        <w:t>، وخصوص الرواية، كحسنة جميل بن درّاج عن الصادق علیه السلام أنّه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يكون بين الحرّ والمملوكة لعان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وبين المملوك والحرّة، وبين العبد والأمة، وبين المسلم واليهوديّة والنصرانیّة</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وحجّة المانع عموم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لَهُمْ شُهَدَاءُ إِلَّا أَنْفُسُهُمْ فَشَهَادَةُ أَحَدِهِمْ أَرْبَعُ شَهَادَاتٍ بِاللَّهِ</w:t>
      </w:r>
      <w:r>
        <w:rPr>
          <w:rFonts w:eastAsia="Amiri" w:cs="Amiri" w:ascii="Amiri" w:hAnsi="Amiri"/>
          <w:color w:val="111111"/>
          <w:sz w:val="28"/>
          <w:szCs w:val="28"/>
          <w:rtl w:val="true"/>
          <w:lang w:bidi="ar-SA"/>
        </w:rPr>
        <w:t>»</w:t>
      </w:r>
      <w:r>
        <w:rPr>
          <w:rStyle w:val="FootnoteAnchor"/>
          <w:rtl w:val="true"/>
        </w:rPr>
        <w:footnoteReference w:id="961"/>
      </w:r>
      <w:r>
        <w:rPr>
          <w:rFonts w:ascii="IRNazanin" w:hAnsi="IRNazanin" w:eastAsia="IRNazanin"/>
          <w:color w:val="111111"/>
          <w:sz w:val="28"/>
          <w:sz w:val="28"/>
          <w:szCs w:val="28"/>
          <w:rtl w:val="true"/>
          <w:lang w:bidi="fa-IR"/>
        </w:rPr>
        <w:t>، والمملوكة ليست من أهل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 صحيحة ابن سنان أنّ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يلاعن الحرّ الأمة ولا الذمّيّة</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 شهادة، بل هو يمين كما سيأتي</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لزم اشتراط حرّيّتهما معاً ولا قائل به، وإنّما الخلاف فى المملوكة إذا كان زوجها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ذلك</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ونمنع من صحّة الرواية، فإن ابن سنان مشترك بين عبد الله ومحمّد، والأوّل ثقة</w:t>
      </w:r>
      <w:r>
        <w:rPr>
          <w:rStyle w:val="FootnoteAnchor"/>
          <w:rtl w:val="true"/>
        </w:rPr>
        <w:footnoteReference w:id="965"/>
      </w:r>
      <w:r>
        <w:rPr>
          <w:rFonts w:ascii="Amiri" w:hAnsi="Amiri" w:eastAsia="Amiri" w:cs="Amiri"/>
          <w:color w:val="111111"/>
          <w:sz w:val="28"/>
          <w:sz w:val="28"/>
          <w:szCs w:val="28"/>
          <w:rtl w:val="true"/>
          <w:lang w:bidi="ar-SA"/>
        </w:rPr>
        <w:t>، والثاني ضعيف</w:t>
      </w:r>
      <w:r>
        <w:rPr>
          <w:rStyle w:val="FootnoteAnchor"/>
          <w:rtl w:val="true"/>
        </w:rPr>
        <w:footnoteReference w:id="966"/>
      </w:r>
      <w:r>
        <w:rPr>
          <w:rFonts w:ascii="Amiri" w:hAnsi="Amiri" w:eastAsia="Amiri" w:cs="Amiri"/>
          <w:color w:val="111111"/>
          <w:sz w:val="28"/>
          <w:sz w:val="28"/>
          <w:szCs w:val="28"/>
          <w:rtl w:val="true"/>
          <w:lang w:bidi="ar-SA"/>
        </w:rPr>
        <w:t>، وليس في الرواية ما يدلّ على أنّه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جماعة الحكم بصحّتها نظراً إلى ثقة من عدا ابن سنان فهي صحّة إضافيّة كما قرّرناه مراراً، وقد يغفل عنه من لا يتفطّن للأصول فتزّل 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والصدوق حملها على الأمة الموطوءة بملك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محمّد بن مسلم روى عن أبي جعفر علیه السلام أنّه سأله عن الحرّ يلاعن المملوكة؟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كان مولاها زوّجه إيّاها</w:t>
      </w:r>
      <w:r>
        <w:rPr>
          <w:rFonts w:eastAsia="IRNazanin" w:cs="IRNazanin"/>
          <w:color w:val="111111"/>
          <w:sz w:val="28"/>
          <w:szCs w:val="28"/>
          <w:rtl w:val="true"/>
          <w:lang w:bidi="fa-IR"/>
        </w:rPr>
        <w:t>»</w:t>
      </w:r>
      <w:r>
        <w:rPr>
          <w:rStyle w:val="FootnoteAnchor"/>
          <w:rtl w:val="true"/>
        </w:rPr>
        <w:footnoteReference w:id="967"/>
      </w:r>
      <w:r>
        <w:rPr>
          <w:rFonts w:ascii="Amiri" w:hAnsi="Amiri" w:eastAsia="Amiri" w:cs="Amiri"/>
          <w:color w:val="111111"/>
          <w:sz w:val="28"/>
          <w:sz w:val="28"/>
          <w:szCs w:val="28"/>
          <w:rtl w:val="true"/>
          <w:lang w:bidi="ar-SA"/>
        </w:rPr>
        <w:t>، والحديث المفسّر يُحكم على المطلق</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وحملها العلّامة على ما إذا لم يكن زوّجه إيّاها مولاها</w:t>
      </w:r>
      <w:r>
        <w:rPr>
          <w:rStyle w:val="FootnoteAnchor"/>
          <w:rtl w:val="true"/>
        </w:rPr>
        <w:footnoteReference w:id="969"/>
      </w:r>
      <w:r>
        <w:rPr>
          <w:rFonts w:ascii="Amiri" w:hAnsi="Amiri" w:eastAsia="Amiri" w:cs="Amiri"/>
          <w:color w:val="111111"/>
          <w:sz w:val="28"/>
          <w:sz w:val="28"/>
          <w:szCs w:val="28"/>
          <w:rtl w:val="true"/>
          <w:lang w:bidi="ar-SA"/>
        </w:rPr>
        <w:t>؛ لمفهوم الرواية</w:t>
      </w:r>
      <w:r>
        <w:rPr>
          <w:rFonts w:eastAsia="Amiri" w:cs="Amiri" w:ascii="Amiri" w:hAnsi="Amiri"/>
          <w:color w:val="111111"/>
          <w:sz w:val="28"/>
          <w:szCs w:val="28"/>
          <w:rtl w:val="true"/>
          <w:lang w:bidi="ar-SA"/>
        </w:rPr>
        <w:t xml:space="preserve">. </w:t>
      </w:r>
      <w:bookmarkStart w:id="280" w:name="pg10270_80307"/>
    </w:p>
    <w:p>
      <w:pPr>
        <w:pStyle w:val="Heading5"/>
        <w:numPr>
          <w:ilvl w:val="4"/>
          <w:numId w:val="1"/>
        </w:numPr>
        <w:rPr/>
      </w:pPr>
      <w:bookmarkStart w:id="281" w:name="__RefHeading___Toc3860178_1067777946"/>
      <w:bookmarkStart w:id="282" w:name="_Toc103"/>
      <w:bookmarkEnd w:id="280"/>
      <w:bookmarkEnd w:id="281"/>
      <w:r>
        <w:rPr>
          <w:rtl w:val="true"/>
        </w:rPr>
        <w:t>یصحّ لعان الحامل</w:t>
      </w:r>
      <w:bookmarkEnd w:id="2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لعان الحامل، لكن لا يقام عليها الحدّ إلّا بعد الوضع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واحتجّ ابن إدريس بأنّ قذف المملوكة لا يوجب الحدّ، فلا يتوقّف نفيه على اللعان،بخلاف نفي ولدها إذا كانت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اللعان حكم شرعي فيقتصر فيه على المتيقّن، والباقي باقٍ على الأصل</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يَرْمُونَ أَزْوَاجَهُمْ</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أخرجه عن حكم الأصل، مضافاً إلى النصوص</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جاز اللعان لنفي الحدّ جاز لنفي التعزير؛ إذ ليس في الآية اشتراط كونه للحدّ وإن كان السبب موجباً له؛ لأنّ العبرة بعموم اللفظ كما مرّ وقد ظهر أنّ مختار المصنّف والأكثر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من جملة الشروط المختلف فيها بالنسبة إلى الملاعنة كونها مسلمةً، فقد ذهب جماعة</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ابن الجنيد</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اشتراط إسلامها، فلا يلاعن المسلم 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وحجّتهم تظهر من حجّة مشترط الحرّيّة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يشترط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إدريس على تفصيله</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الجميع تظهر من حجّة اشتراط الحرّيّة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نبّه على الخلاف في الملاعن الكافر وأهمل ذكره في الملاعنة، وكان العكس أولى؛ لظهور الخلاف فيها واختلاف الروايات، وقد أشرنا إليه في رواية جميل وابن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ممّا قرّرناه قوّة القول بعدم اشتراط إسلامها بتقريب 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ویصحّ لعان الحامل، لكن لا يقام عليها الحدّ إلّا بعد الوضع</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العلماء في جواز لعان الحامل إذا قذفها أو نفى ولدها قبل الوضع فذهب الأكثر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جوازه؛ لعموم الآية</w:t>
      </w:r>
      <w:r>
        <w:rPr>
          <w:rStyle w:val="FootnoteAnchor"/>
          <w:rtl w:val="true"/>
        </w:rPr>
        <w:footnoteReference w:id="976"/>
      </w:r>
      <w:r>
        <w:rPr>
          <w:rFonts w:ascii="IRNazanin" w:hAnsi="IRNazanin" w:eastAsia="IRNazanin"/>
          <w:color w:val="111111"/>
          <w:sz w:val="28"/>
          <w:sz w:val="28"/>
          <w:szCs w:val="28"/>
          <w:rtl w:val="true"/>
          <w:lang w:bidi="fa-IR"/>
        </w:rPr>
        <w:t xml:space="preserve">، ووجود المقتضي وانتفاء المانع؛ إذ ليس إلّا كونها حاملاً وهو لا يصلح للمانعيّة؛ لأنّ شهادة الحامل ويمينها حال الحمل غير منافٍ له، والحمل غير مسوّغ لتأخير ما يتوجّه عليها منها في غيره، ولأن النبيّ صلّی الله علیه و آله و سلّم لاعن بين هلال بن أُميّة وزوجته وكانت حاملاً ونفى هلال الحمل، ولمّا ولدته جاء على صفات من قذفها به، فقال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الأيمان لكان لي ولها شأن</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الحلبي عن أبي عبد الله علیه السلام في رجل لاعن امرأته وهي حبلى، ثمّ ادّعى ولدها بعد ما ولدت وزعم أنّه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 إليه الولد ولا يجلد؛ لأنّه قد مضى التلاعن</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ثمّ إن تمَّ اللعان منهما 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نكلت عنه أو اعترفت فتوجّه عليها الحدّ لم تحدّ إلى أن تضع كغيرها ممن يثبت عليها الحدّ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المفيد</w:t>
      </w:r>
      <w:r>
        <w:rPr>
          <w:rStyle w:val="FootnoteAnchor"/>
          <w:rtl w:val="true"/>
        </w:rPr>
        <w:footnoteReference w:id="979"/>
      </w:r>
      <w:r>
        <w:rPr>
          <w:rFonts w:ascii="Amiri" w:hAnsi="Amiri" w:eastAsia="Amiri" w:cs="Amiri"/>
          <w:color w:val="111111"/>
          <w:sz w:val="28"/>
          <w:sz w:val="28"/>
          <w:szCs w:val="28"/>
          <w:rtl w:val="true"/>
          <w:lang w:bidi="ar-SA"/>
        </w:rPr>
        <w:t>، وسلّار</w:t>
      </w:r>
      <w:r>
        <w:rPr>
          <w:rStyle w:val="FootnoteAnchor"/>
          <w:rtl w:val="true"/>
        </w:rPr>
        <w:footnoteReference w:id="980"/>
      </w:r>
      <w:r>
        <w:rPr>
          <w:rFonts w:ascii="IRNazanin" w:hAnsi="IRNazanin" w:eastAsia="IRNazanin"/>
          <w:color w:val="111111"/>
          <w:sz w:val="28"/>
          <w:sz w:val="28"/>
          <w:szCs w:val="28"/>
          <w:rtl w:val="true"/>
          <w:lang w:bidi="fa-IR"/>
        </w:rPr>
        <w:t>وأبو الصلاح</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تلاعن الحامل حتى تضع 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لرواية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تلاعن على کلّ حال إلّا أن تكون حاملاً</w:t>
      </w:r>
      <w:r>
        <w:rPr>
          <w:rStyle w:val="FootnoteAnchor"/>
          <w:rtl w:val="true"/>
        </w:rPr>
        <w:footnoteReference w:id="98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ضعف السند، وحمل على نفى ما يجب باللعان من الحدّ على تقدير نكولها، أو على أنّ الحمل لا ينتفي، واللعان حجّة ضروريّة فيشترط فيه نفي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الجواز</w:t>
      </w:r>
      <w:r>
        <w:rPr>
          <w:rFonts w:eastAsia="Amiri" w:cs="Amiri" w:ascii="Amiri" w:hAnsi="Amiri"/>
          <w:color w:val="111111"/>
          <w:sz w:val="28"/>
          <w:szCs w:val="28"/>
          <w:rtl w:val="true"/>
          <w:lang w:bidi="ar-SA"/>
        </w:rPr>
        <w:t xml:space="preserve">. </w:t>
      </w:r>
      <w:bookmarkStart w:id="283" w:name="pg10270_80309"/>
    </w:p>
    <w:p>
      <w:pPr>
        <w:pStyle w:val="Heading5"/>
        <w:numPr>
          <w:ilvl w:val="4"/>
          <w:numId w:val="1"/>
        </w:numPr>
        <w:rPr/>
      </w:pPr>
      <w:bookmarkStart w:id="284" w:name="__RefHeading___Toc3860180_1067777946"/>
      <w:bookmarkStart w:id="285" w:name="_Toc104"/>
      <w:bookmarkEnd w:id="283"/>
      <w:bookmarkEnd w:id="284"/>
      <w:r>
        <w:rPr>
          <w:rtl w:val="true"/>
        </w:rPr>
        <w:t>هل تصير  الأمة بالوطء فراشاً؟</w:t>
      </w:r>
      <w:bookmarkEnd w:id="2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تصير الأمة فراشاً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تصير فراشاً بالوطء فيه روايتان، أظهرهما أنّها ليست فراشاً ولا يلحق ولدها إلّا بإقراره ولو اعترف بوطئها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نفاه لم يفتقر إلى 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تصير الأمة فراشاً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تصير فراشاً بالوطء؟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الأمة لا تصير فراشاً بالملك حتّى يلحقه الولد الذي تأتي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حلّت له</w:t>
      </w:r>
      <w:r>
        <w:rPr>
          <w:rStyle w:val="FootnoteAnchor"/>
          <w:rtl w:val="true"/>
        </w:rPr>
        <w:footnoteReference w:id="983"/>
      </w:r>
      <w:r>
        <w:rPr>
          <w:rFonts w:ascii="Amiri" w:hAnsi="Amiri" w:eastAsia="Amiri" w:cs="Amiri"/>
          <w:color w:val="111111"/>
          <w:sz w:val="28"/>
          <w:sz w:val="28"/>
          <w:szCs w:val="28"/>
          <w:rtl w:val="true"/>
          <w:lang w:bidi="ar-SA"/>
        </w:rPr>
        <w:t xml:space="preserve">وخلا بها وأمكن أن يكون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النكاح، حيث يلحق الولد بمجرّد الإمكان؛ لأنّ مقصود النكاح هو الاستمتاع والولد، وملك اليمين قد يقصد به ذلك، وقد يقصد به التجارة والاستخدام؛ ولهذا لا يتزوّج من لا تحلّ له ويملك بملك اليمين من لا تحلّ له، وإذا كان المقصود في النكاح ذلك اكتفي فيه بمجرّد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تصير الأمة فراشاً بالوطء؟ فيه قولان، منشؤهما اختلاف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الشيخ في المبسوط</w:t>
      </w:r>
      <w:r>
        <w:rPr>
          <w:rStyle w:val="FootnoteAnchor"/>
          <w:rtl w:val="true"/>
        </w:rPr>
        <w:footnoteReference w:id="984"/>
      </w:r>
      <w:r>
        <w:rPr>
          <w:rFonts w:ascii="Amiri" w:hAnsi="Amiri" w:eastAsia="Amiri" w:cs="Amiri"/>
          <w:color w:val="111111"/>
          <w:sz w:val="28"/>
          <w:sz w:val="28"/>
          <w:szCs w:val="28"/>
          <w:rtl w:val="true"/>
          <w:lang w:bidi="ar-SA"/>
        </w:rPr>
        <w:t>، والمصنّف والعلّامة</w:t>
      </w:r>
      <w:r>
        <w:rPr>
          <w:rStyle w:val="FootnoteAnchor"/>
          <w:rtl w:val="true"/>
        </w:rPr>
        <w:footnoteReference w:id="985"/>
      </w:r>
      <w:r>
        <w:rPr>
          <w:rFonts w:ascii="Amiri" w:hAnsi="Amiri" w:eastAsia="Amiri" w:cs="Amiri"/>
          <w:color w:val="111111"/>
          <w:sz w:val="28"/>
          <w:sz w:val="28"/>
          <w:szCs w:val="28"/>
          <w:rtl w:val="true"/>
          <w:lang w:bidi="ar-SA"/>
        </w:rPr>
        <w:t>وسائر المتأخّرين</w:t>
      </w:r>
      <w:r>
        <w:rPr>
          <w:rStyle w:val="FootnoteAnchor"/>
          <w:rtl w:val="true"/>
        </w:rPr>
        <w:footnoteReference w:id="986"/>
      </w:r>
      <w:r>
        <w:rPr>
          <w:rFonts w:ascii="Amiri" w:hAnsi="Amiri" w:eastAsia="Amiri" w:cs="Amiri"/>
          <w:color w:val="111111"/>
          <w:sz w:val="28"/>
          <w:sz w:val="28"/>
          <w:szCs w:val="28"/>
          <w:rtl w:val="true"/>
          <w:lang w:bidi="ar-SA"/>
        </w:rPr>
        <w:t>إلى أنّ الأمة لا تصير فراشاً مطلقاً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واستندوا في ذلك إلى صحيحة عبد الله بن سنان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الأنصار أتى أبا عبد الله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ابتليت بأمر عظيم، إنّ لي جارية كنت أطؤها، فوطئتها يوماً وخرجت في حاجة لي بعد ما اغتسلت منها، ونسيت نفقةً لي فرجعت إلى المنزل لآخذها، فوجدت غلاماً لي على بطنها، فعددت لها من يومي ذلك تسعة أشهر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فولدت جاريةٌ،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لك أن تقربها، ولا تبيعها، ولكن أنفق عليها مالك ما دمت حيّاً، ثمّ أوص لها عند موتك من مالك حتّى يجعل الله عزّ وجلّ لها مخرجاً</w:t>
      </w:r>
      <w:r>
        <w:rPr>
          <w:rFonts w:eastAsia="IRNazanin" w:cs="IRNazanin"/>
          <w:color w:val="111111"/>
          <w:sz w:val="28"/>
          <w:szCs w:val="28"/>
          <w:rtl w:val="true"/>
          <w:lang w:bidi="fa-IR"/>
        </w:rPr>
        <w:t>»</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أخبار</w:t>
      </w:r>
      <w:r>
        <w:rPr>
          <w:rStyle w:val="FootnoteAnchor"/>
          <w:rtl w:val="true"/>
        </w:rPr>
        <w:footnoteReference w:id="988"/>
      </w:r>
      <w:r>
        <w:rPr>
          <w:rFonts w:ascii="Amiri" w:hAnsi="Amiri" w:eastAsia="Amiri" w:cs="Amiri"/>
          <w:color w:val="111111"/>
          <w:sz w:val="28"/>
          <w:sz w:val="28"/>
          <w:szCs w:val="28"/>
          <w:rtl w:val="true"/>
          <w:lang w:bidi="ar-SA"/>
        </w:rPr>
        <w:t>أُخر لا تساويها في صحّة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صيرورتها فراشاً بالوطء، فيدلّ عليه ما روي عن النبيّ صلّى الله عليه وآله وسلّم لمّا تنازع إليه سعد وعبد بن 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ولد وليدة زَمعة وكان زَمعة قد مات،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أخي كان قد عهد إليّ فيه، وذكر لي أنّه ألمّ بها في الجاهليّة، وقال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أخي، وابن وليدة أبي، ولد على فراشه،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بن زَمعة، هو لك، الولد للفراش وللعاهر الحجر</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الاستدلال أنّه أثبت الفراش لزمعة وألحق الولد به من غير أن يستلحقه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طريق الخاصّة رواية سعيد بن يسار</w:t>
      </w:r>
      <w:r>
        <w:rPr>
          <w:rStyle w:val="FootnoteAnchor"/>
          <w:rtl w:val="true"/>
        </w:rPr>
        <w:footnoteReference w:id="9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وقع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جارية له تذهب وتجيء، ولقد عزل عنها، ما تقول في الولد؟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أرى أن لا يباع هذا الولد يا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أبا الحسن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تهمة ظاهرة فلا،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فيتّهمها 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شيء ظاهر فلا،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تستطيع أن لا يلزمك الولد؟</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xml:space="preserve">وروى سعيد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الجارية تكون للرجل يطيف بها وهي تخرج فتعلق،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يتّهمها الرجل أو يتّهمها أهله؟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ظاهرةً ،فلا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لزمه الولد</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روى سعيد الأعرج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رجلين وقعا على جارية في طهرٍ واحدٍ لمن يكون الولد؟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اللّذي عنده؛ لقول 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معناها رواية الحسن الصيقل عنه علیه السلام، والطريق إلى الحسن صحيح، 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للّذي عنده الجارية وليصبر؛ لقول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994"/>
      </w:r>
      <w:bookmarkStart w:id="286" w:name="pg10270_80312"/>
    </w:p>
    <w:p>
      <w:pPr>
        <w:pStyle w:val="BookText"/>
        <w:rPr/>
      </w:pPr>
      <w:bookmarkEnd w:id="28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صريحة في أنّ الأمة تصير فراشاً للمولى بالوطء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غيرها</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الحال أنّها مرجّحة على السابق؛ لصحّة السند والكثرة</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3860182_1067777946"/>
      <w:bookmarkStart w:id="288" w:name="_Toc105"/>
      <w:bookmarkEnd w:id="287"/>
      <w:r>
        <w:rPr>
          <w:rtl w:val="true"/>
        </w:rPr>
        <w:t>أحکام تترتّب علی کون الموطوءة فراشاً</w:t>
      </w:r>
      <w:bookmarkEnd w:id="288"/>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يترتّب على كون الموطوءة فراشاً أنّ ولدها الذي يمكن تولّده من الواطئ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تلده لستّة أشهر فما زاد من حين وطئه إلى أقصى مدّة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به، ولا يتوقّف على اعترافه به، بل لا يجوز له نفيه فيما بينه وبين الله تعالى وإن ظنّ أنّه ليس منه لتهمة أمّه بالفجور؛ لأنّ الله تعالى جعل الولد للفراش، فإذا كان الفراش زوجةً دائمةً تحقّق فراشها من حين العقد وإمكان وصوله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لها بالنسبة إلى الولد 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الأمر، وهو أنّه يُحكم بإلحاق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تلده بعد العقد وإمكان الوصول إليها فيما بين أقلّ الحمل وأكثره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بالزوج، وإن لم يعترف به ولم يعلم وطؤه لها، وسواء كان من أهل الاعتراف كالبالغ العاقل، أم لا كالمجنون والصبيّ الذي يمكن تولّده منه كابن العشر قبل أن يحكم ببلوغه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علمنا انتفاءه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غائباً عنها غيبةً لا يمكن وصوله إليها سرّاً ولا جهراً في المدّة التي يمكن تولّده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حكمنا بانتفائه عنه وإن لم ينفه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 وبين الله تعالى، فإذا وطئها وطاً يمكن تولّده منه، ثمّ ولدته في وقت إمكان كونه منه وجب عليه إلحاقه به وإن احتمل أو ظنّ خلاف ذلك كما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انتفاءه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ولدته لدون ستّة أشهرٍ من حين وطئه، أو لأكثر من أقصى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نفيه كما قدّمناه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ظاهر الحال محكوماً بإلحاقه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قريباً منها يمكنه إصابتها ، فإذا توقّف نفيه على اللعان وجب عليه ذلك من باب مقدّمة الواجب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أمكن إقامة البيّنة على ما يوجب انتفاءه عنه حكم بموجبها من غير لعان إذا شهدت بذلك على وجهٍ منضبط، بأن لازمته ليلاً ونهاراً بحيث علمت انتفاء مجامعته لها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الأمة فقد عرفت أنّها لا تكون فراشاً بمجرّد الملك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وطئها وحكمنا بكونها تصير فراشاً به فحكمه في لحوق ولدها في الحالين كما</w:t>
      </w:r>
    </w:p>
    <w:p>
      <w:pPr>
        <w:pStyle w:val="BookText"/>
        <w:rPr/>
      </w:pPr>
      <w:r>
        <w:rPr>
          <w:rFonts w:ascii="Amiri" w:hAnsi="Amiri" w:eastAsia="Amiri" w:cs="Amiri"/>
          <w:color w:val="111111"/>
          <w:sz w:val="28"/>
          <w:sz w:val="28"/>
          <w:szCs w:val="28"/>
          <w:rtl w:val="true"/>
          <w:lang w:bidi="ar-SA"/>
        </w:rPr>
        <w:t>سبق، لكنّه يفارق ولد الزوجة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أنه لا يحكم بلحوقه به إلّا مع ثبوت وطئه لها، إمّا بإقراره به أو بالبيّنة، بخلاف</w:t>
      </w:r>
    </w:p>
    <w:p>
      <w:pPr>
        <w:pStyle w:val="BookText"/>
        <w:rPr/>
      </w:pPr>
      <w:r>
        <w:rPr>
          <w:rFonts w:ascii="Amiri" w:hAnsi="Amiri" w:eastAsia="Amiri" w:cs="Amiri"/>
          <w:color w:val="111111"/>
          <w:sz w:val="28"/>
          <w:sz w:val="28"/>
          <w:szCs w:val="28"/>
          <w:rtl w:val="true"/>
          <w:lang w:bidi="ar-SA"/>
        </w:rPr>
        <w:t>ولد الزوجة فإنّه يكفي إمكان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أنّ المعتبر فيهما ثبوت الفراش؛ ولمّا كان فى الزوجة متحقّقاً بالعقد وإمكان وصوله إليها كان المعتبر ثبوت ذلك، ولمّا كانت فراشيّة الأمة لا تتحقّق إلّا بالوطء اعتبر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الأمر فيهما إلى شيءٍ واحدٍ وهو ثبوت الفراش، إلّا أنّه في الزوجة يظهر غالباً لغير الزوج بحضور العقد والعلم بإمكان وصوله إليها، وفى الأمة لا يظهر غالباً إلّا منه؛ لأنّ الوطء من الأمور الخفيّة فاعتبر إقراره به إن لم يتّفق الاطّلاع عليه بالبيّنة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ولد الزوجة إذا كان محكوماً به للزوج ظاهراً لا ينتفي عنه بنفيه إلّا باللعان،</w:t>
      </w:r>
    </w:p>
    <w:p>
      <w:pPr>
        <w:pStyle w:val="BookText"/>
        <w:rPr/>
      </w:pPr>
      <w:r>
        <w:rPr>
          <w:rFonts w:ascii="Amiri" w:hAnsi="Amiri" w:eastAsia="Amiri" w:cs="Amiri"/>
          <w:color w:val="111111"/>
          <w:sz w:val="28"/>
          <w:sz w:val="28"/>
          <w:szCs w:val="28"/>
          <w:rtl w:val="true"/>
          <w:lang w:bidi="ar-SA"/>
        </w:rPr>
        <w:t>وولد الأمة ينتفي بغير لعانٍ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فيه أنّ الولد الذي يظهر للزوج كونه منفيّاً عنه يليق بالحكمة أن يجعل له الشارع طريقاً إلى نفيه؛ ليخرج عنه من ليس منه، ولمّا نصب لولد الزوجة طريقاً إلى النفي باللعان وخصّه بالزوجين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يَرْمُونَ أَزْوَاجَهُمْ</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 فلا بدّ من طريق آخر لنفى ولد الأمة حيث يقتضي الحال نفيه، فإذا لم يمكن باللعان وبقي على أصل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تعذّر اللعان حيث يشرّع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أن يكون ولد الأمة أقوى اتّصالاً وأحسن حالاً من ولد الزوجة الدائمة،فشرّع لذلك انتفاؤه بمجرّد النفي بغير لعان؛ إذ ليس هناك طريق آخر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والعامّة لمّا وافقوا على أنّ ولد ملك اليمين لا ينتفي باللعان اختلفوا في طريق نفيه إن علم انتفاؤه، فمنهم من سدّ الطريق عن نفيه؛ نظراً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طريق إلى النفي</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جوّز نفيه باللعان للضرورة؛ حذراً من أن يكون أقوى من ولد الزوجة</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نفاه بيمينه</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على تقدير صيرورتها فراشاً بالوطء، هل يستمرّ كذلك ما دامت على ملكه، أم يختصّ الحكم بالولد الذي يمكن تولّده من ذلك الوطء خاصّةً، حتّى لو أتت بولدٍ بعد أقصى الحمل من الوطء الذي ثبت بإقراره أو البيّنة لا يلحق به بدون الاعتراف به؟ وجهان، من حصول شرط الفراش وهو الوطء، فنزّل منزلة العقد الدائم على الحرّة؛ لأنّ وطء الأمة إمّا تمام السبب للفراشيّة أو شرط فيها، وعلى التقديرين حصل الفراش به كالعقد، فيستمرّ الحكم حينئذٍ كما استمرّ حكم الفراش بالعقد ولم يشترط بعد ذلك ظهور وطءٍ يلحق به الولد، ومن ضعف فراشيّة الأمة، ودلالة تلك النصوص الموجبة لإلحاق الولد به على كونه مولوداً في وقت يمكن تخلّقه من ذلك الوطء</w:t>
      </w:r>
      <w:r>
        <w:rPr>
          <w:rStyle w:val="FootnoteAnchor"/>
          <w:rtl w:val="true"/>
        </w:rPr>
        <w:footnoteReference w:id="1000"/>
      </w:r>
      <w:r>
        <w:rPr>
          <w:rFonts w:ascii="Amiri" w:hAnsi="Amiri" w:eastAsia="Amiri" w:cs="Amiri"/>
          <w:color w:val="111111"/>
          <w:sz w:val="28"/>
          <w:sz w:val="28"/>
          <w:szCs w:val="28"/>
          <w:rtl w:val="true"/>
          <w:lang w:bidi="ar-SA"/>
        </w:rPr>
        <w:t>، فيبقى غيره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انتفائه عنه بنفيه، إنّما تظهر الفائدة لو لم ينفه، فهل يلحق به ظاهراً بمجرّد الوطء السابق أم يتوقّف على الإقرار به؟ يبنى على الوجهين، والأظهر الثاني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يحكم بكونها فراشاً فمقتضى كلام المصنّف والشيخ</w:t>
      </w:r>
      <w:r>
        <w:rPr>
          <w:rStyle w:val="FootnoteAnchor"/>
          <w:rtl w:val="true"/>
        </w:rPr>
        <w:footnoteReference w:id="1001"/>
      </w:r>
      <w:r>
        <w:rPr>
          <w:rFonts w:ascii="Amiri" w:hAnsi="Amiri" w:eastAsia="Amiri" w:cs="Amiri"/>
          <w:color w:val="111111"/>
          <w:sz w:val="28"/>
          <w:sz w:val="28"/>
          <w:szCs w:val="28"/>
          <w:rtl w:val="true"/>
          <w:lang w:bidi="ar-SA"/>
        </w:rPr>
        <w:t>و العلّامة</w:t>
      </w:r>
      <w:r>
        <w:rPr>
          <w:rStyle w:val="FootnoteAnchor"/>
          <w:rtl w:val="true"/>
        </w:rPr>
        <w:footnoteReference w:id="1002"/>
      </w:r>
      <w:r>
        <w:rPr>
          <w:rFonts w:ascii="Amiri" w:hAnsi="Amiri" w:eastAsia="Amiri" w:cs="Amiri"/>
          <w:color w:val="111111"/>
          <w:sz w:val="28"/>
          <w:sz w:val="28"/>
          <w:szCs w:val="28"/>
          <w:rtl w:val="true"/>
          <w:lang w:bidi="ar-SA"/>
        </w:rPr>
        <w:t>وغيرهم</w:t>
      </w:r>
      <w:r>
        <w:rPr>
          <w:rStyle w:val="FootnoteAnchor"/>
          <w:rtl w:val="true"/>
        </w:rPr>
        <w:footnoteReference w:id="1003"/>
      </w:r>
      <w:r>
        <w:rPr>
          <w:rFonts w:ascii="Amiri" w:hAnsi="Amiri" w:eastAsia="Amiri" w:cs="Amiri"/>
          <w:color w:val="111111"/>
          <w:sz w:val="28"/>
          <w:sz w:val="28"/>
          <w:szCs w:val="28"/>
          <w:rtl w:val="true"/>
          <w:lang w:bidi="ar-SA"/>
        </w:rPr>
        <w:t>أنّه لا يلحق ولدها به إلّا بإقراره به وإن أقرّ بوطئها أو ثبت بغيرالإقرار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الذي يناسب الحكم بعدم الفراش؛ لأنّ الأصل عدم انتسابه إليه بدون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فخر الدين في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معنى كونها ليست فراشاً أنّه لا يلحق ولدها به إلّا بإقراره به أو بوطئها وإمكان الحوقه به</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حاول بذلك الجمع بين حكم الأصحاب بكونها ليست فراشاً مطلقاً، وبين حكمهم في باب إلحاق الأولاد بلحوق ولد الأمة بالمولى الواطئ، وأنّه يلزمه الإقرار به حيث يمكن كونه منه ، وأنّه لو وطئها غيره أُلحق به دون الغير من غير تقييدٍ بإقراره به، فجعل مستند ذلك</w:t>
      </w:r>
    </w:p>
    <w:p>
      <w:pPr>
        <w:pStyle w:val="BookText"/>
        <w:rPr/>
      </w:pPr>
      <w:r>
        <w:rPr>
          <w:rFonts w:ascii="Amiri" w:hAnsi="Amiri" w:eastAsia="Amiri" w:cs="Amiri"/>
          <w:color w:val="111111"/>
          <w:sz w:val="28"/>
          <w:sz w:val="28"/>
          <w:szCs w:val="28"/>
          <w:rtl w:val="true"/>
          <w:lang w:bidi="ar-SA"/>
        </w:rPr>
        <w:t>الوطء الواقع من المولى وأقامه مقام الإقرار به من غير أن يعلم بكونه واطئاً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إلحاقه به مع وطئه لها من لوازم الفراش كما سبق، فلو جعل مترتّباً على عدمه لم يبق فرق بين الفراش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يجعل الوطء الموجب للفراش كافياً في إلحاق الولد بعد ذلك، وإن لم يمكن استناده إلى ذلك الوطء الشخصي الثابت، كما هو أحد الاحتمالين في المسألة، ويجعل هذا الوطء القائم مقام الإقرار هو الوطء الذي يمكن استناد الولد إليه، ومع ذلك ففيه مخالفة لما ذكره الجميع في معنى الفراش، فإنّهم أطبقوا على أنّ فائدته لحوق الولد به مع إمكانه وإن لم يعترف به، وعدم لحوقه بمن ليست فراشاً إلّا بإقراره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أنّ الاكتفاء بالوطء في هذا القسم ليس في محلّه، وإنّما محلّه على تقدير كونها فراشاً؛ لأنّ الوطء حينئذٍ لا بدّ من العلم به ليتحقّق به كون الأمة فراشاً كما قد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ذكروه في باب إلحاق الأولاد فهو منزّل على أنّ ذلك الحكم الذي يلزم المولى فيما بينه وبين الله تعالى، بمعنى أنّه إذا وطئ الأمة وطءاً يمكن إلحاق الولد به يجب عليه الاعتراف به واستلحاقه، ولا يجوز له نفيه عنه بتهمة أمّه إلّا على تلك الرواية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الشاذّة</w:t>
      </w:r>
      <w:r>
        <w:rPr>
          <w:rStyle w:val="FootnoteAnchor"/>
          <w:rtl w:val="true"/>
        </w:rPr>
        <w:footnoteReference w:id="1005"/>
      </w:r>
      <w:r>
        <w:rPr>
          <w:rFonts w:ascii="Amiri" w:hAnsi="Amiri" w:eastAsia="Amiri" w:cs="Amiri"/>
          <w:color w:val="111111"/>
          <w:sz w:val="28"/>
          <w:sz w:val="28"/>
          <w:szCs w:val="28"/>
          <w:rtl w:val="true"/>
          <w:lang w:bidi="ar-SA"/>
        </w:rPr>
        <w:t>، وأمّا بالنسبة إلينا فلا نحكم بإلحاقه به ما لم يعترف به حيث لا نجعلها 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القول فيما لو وطئها المولى وغيره، فإنّه يحكم به للمولى دون الغير إذا كان وطؤه فجوراً، ولكن بالنسبة إلينا لا نحكم به له إلّا باعترافه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القول في ولد المتعة، فإنّهم حكموا بكونها ليست فراشاً مع حكمهم أيضاً بلحوق الولد به وورود النصوص بذلك، كصحيحة محمّد بن مسلم عن أبي عبد الله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رأيت إن حملت؟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ولده</w:t>
      </w:r>
      <w:r>
        <w:rPr>
          <w:rFonts w:eastAsia="IRNazanin" w:cs="IRNazanin"/>
          <w:color w:val="111111"/>
          <w:sz w:val="28"/>
          <w:szCs w:val="28"/>
          <w:rtl w:val="true"/>
          <w:lang w:bidi="fa-IR"/>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يتزوّج المرأة متعةً ويشترط عليها أن لا تطلب ولدها، فتأتي بعد ذلك بولدٍ فينكر الولد، فشدّد في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إعظاماً لذلك،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اتّهمها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لك أن تتزوّج إلّا مأمونةً، إنّ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لَا يَنكِحُ إِلَّا زَانِيَةً أَوْ مُشْرِكَةً وَالزَّانِيَةُ لَا يَنكِحُهَا إِلَّا زَانٍ أَوْ مُشْرِكٌ وَحُرِّمَ ذَلِكَ عَلَى الْمُؤْمِنِينَ</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الحكم بلحوق الولد به على التقديرين بين كونه قد عزل عنها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فيه</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حسنة ابن أبي عمير وغيره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ماء الرجل يضعه حيث يشاء، إلّا أنّه إن جاء بولد لم ينكره، وشدّد في إنكار الولد</w:t>
      </w:r>
      <w:r>
        <w:rPr>
          <w:rFonts w:eastAsia="Amiri" w:cs="Amiri" w:ascii="Amiri" w:hAnsi="Amiri"/>
          <w:color w:val="111111"/>
          <w:sz w:val="28"/>
          <w:szCs w:val="28"/>
          <w:rtl w:val="true"/>
          <w:lang w:bidi="ar-SA"/>
        </w:rPr>
        <w:t>»</w:t>
      </w:r>
      <w:r>
        <w:rPr>
          <w:rStyle w:val="FootnoteAnchor"/>
          <w:rtl w:val="true"/>
        </w:rPr>
        <w:footnoteReference w:id="1009"/>
      </w:r>
      <w:bookmarkStart w:id="289" w:name="pg10270_80317"/>
    </w:p>
    <w:p>
      <w:pPr>
        <w:pStyle w:val="Heading4"/>
        <w:numPr>
          <w:ilvl w:val="3"/>
          <w:numId w:val="1"/>
        </w:numPr>
        <w:rPr/>
      </w:pPr>
      <w:bookmarkStart w:id="290" w:name="__RefHeading___Toc3860184_1067777946"/>
      <w:bookmarkStart w:id="291" w:name="_Toc106"/>
      <w:bookmarkEnd w:id="289"/>
      <w:bookmarkEnd w:id="290"/>
      <w:r>
        <w:rPr>
          <w:rtl w:val="true"/>
        </w:rPr>
        <w:t>الركن الرابع في كيفيّة اللعان</w:t>
      </w:r>
      <w:bookmarkEnd w:id="291"/>
    </w:p>
    <w:p>
      <w:pPr>
        <w:pStyle w:val="Heading5"/>
        <w:numPr>
          <w:ilvl w:val="4"/>
          <w:numId w:val="1"/>
        </w:numPr>
        <w:rPr/>
      </w:pPr>
      <w:bookmarkStart w:id="292" w:name="__RefHeading___Toc3860186_1067777946"/>
      <w:bookmarkStart w:id="293" w:name="_Toc107"/>
      <w:bookmarkEnd w:id="292"/>
      <w:r>
        <w:rPr>
          <w:rtl w:val="true"/>
        </w:rPr>
        <w:t>اشارة</w:t>
      </w:r>
      <w:bookmarkEnd w:id="2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إلّا عند الحاكم، أو من ينصبه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تراضيا برجل من العامّة فلا عن بينهما 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ويثبت حكم اللعان بنفس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رضاهما بعد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یصحّ إلّا عند الحاكم، أو من ينصبه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بالحاكم هو الإمام، وبمنصوبه من نصبه للحكم عموماً أو للّعان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منصوبه ما يشترط في غيره ممّن ينصبه الإمام للحكم بين الناس؛ لأنّ اللعان ضرب من الحكم، بل هو من أقوى أفراده؛ لافتقاره إلى سماع الشهادة أو اليمين والحكم بالحدّ، ودفعه بالشهادة بعد ذلك أو اليمين، وحكمه بنفي الولد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يفرّق بينه، وبين الفرقة بغيره، كالطلاق حيث لا يتوقّف على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بالرجل العامّي الذي يتراضى به الزوجان الفقيه المجتهد حال حضور الإمام لكنّه غير منصوب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 عاميّاً بالإضافة إلى المنصوب، فإنّه خاصّ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في جواز اللعان به نظراً إلى أنّ حكمه يتوقّف على التراضي والحكم هنا لا يختصّ بالزوجين المتراضيين بل يتعلّق بالولد أيضاً، فلا يؤثّر رضاهما في حقّه، إلّا أن يكون بالغاً ويرضى بحكمه، خصوصاً لو اعتبرنا تراضيهما بعد الحكم؛ لأنّ اللعان لا يقع موقوفاً على التراضي ؛ لأنّه لازم بتمامه لزوماً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الصحّة ولزوم حكمه من غير أن يعتبر رضاهما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والقولان للشيخ في المبسوط</w:t>
      </w:r>
      <w:r>
        <w:rPr>
          <w:rStyle w:val="FootnoteAnchor"/>
          <w:rtl w:val="true"/>
        </w:rPr>
        <w:footnoteReference w:id="1010"/>
      </w:r>
      <w:r>
        <w:rPr>
          <w:rFonts w:ascii="IRNazanin" w:hAnsi="IRNazanin" w:eastAsia="IRNazanin"/>
          <w:color w:val="111111"/>
          <w:sz w:val="28"/>
          <w:sz w:val="28"/>
          <w:szCs w:val="28"/>
          <w:rtl w:val="true"/>
          <w:lang w:bidi="fa-IR"/>
        </w:rPr>
        <w:t>والخلاف</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تحقيقه في كتاب القضاء إن شاء الله تعالى</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bookmarkStart w:id="294" w:name="pg10270_80318"/>
    </w:p>
    <w:p>
      <w:pPr>
        <w:pStyle w:val="Heading5"/>
        <w:numPr>
          <w:ilvl w:val="4"/>
          <w:numId w:val="1"/>
        </w:numPr>
        <w:rPr/>
      </w:pPr>
      <w:bookmarkStart w:id="295" w:name="__RefHeading___Toc3860188_1067777946"/>
      <w:bookmarkStart w:id="296" w:name="_Toc108"/>
      <w:bookmarkEnd w:id="294"/>
      <w:bookmarkEnd w:id="295"/>
      <w:r>
        <w:rPr>
          <w:rtl w:val="true"/>
        </w:rPr>
        <w:t>صورة اللعان</w:t>
      </w:r>
      <w:bookmarkEnd w:id="2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الرجل بالله أربع مرّات إنّه لمن الصادقين فيما رماها به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لعنة الله إن كان من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تشهد المرأة بالله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لمن الكاذبين فيما رماها به،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غضب الله عليها إن كان 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ويشتمل اللعان على واجبٍ وندبٍ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کلّه في حال حضور الإمام كما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حال الغيبة، فينفذ فيه حكم الفقيه الجامع لشرائط الفتوى ؛ لأنّه منصوب من قبل الإمام على العموم كما يتولّى غيره من الأحكام، ولا يتوقّف على تراضيهما بعده ؛ لأنّ ذلك مختصّ بقضاء التحكيم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وصورة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الرجل بالله أربع مرّات إنّه لمن الصادقين فيما رماها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اللعان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يقول الزوج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إنّي لمن الصادقين فيما رميت به زوجتي من الزنى ويميّزها، ثمّ يقول في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لعنة الله عليه إن كان من الكاذبين فيما رماها به من الزني، ويعرّفها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هناك ولد ينفيه يتعرّض إليه في الكلمات الخمس،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الولد الذي ولدته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هذا الولد إن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الزنى،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منّي، ولو جمع بينهما كان أولى، لرفع احتمال الإرادة بكونه ليس منه المشابهة في الخلق والخُلق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المرأة أربع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بالله إنّه لمن الكاذبين فيما رماني به من الزنى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الخامسة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عليها إن كان من الصادقين فيما رماها به من الزنى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تحتاج هى إلى ذكر الولد؛ لأنّ لعانها لا يؤثّر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تعرّضت له لم يضرّ،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الولد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ليستوي اللعانان ويتقابلا</w:t>
      </w:r>
      <w:r>
        <w:rPr>
          <w:rFonts w:eastAsia="Amiri" w:cs="Amiri" w:ascii="Amiri" w:hAnsi="Amiri"/>
          <w:color w:val="111111"/>
          <w:sz w:val="28"/>
          <w:szCs w:val="28"/>
          <w:rtl w:val="true"/>
          <w:lang w:bidi="ar-SA"/>
        </w:rPr>
        <w:t xml:space="preserve">. </w:t>
      </w:r>
      <w:bookmarkStart w:id="297" w:name="pg10270_80319"/>
    </w:p>
    <w:p>
      <w:pPr>
        <w:pStyle w:val="Heading5"/>
        <w:numPr>
          <w:ilvl w:val="4"/>
          <w:numId w:val="1"/>
        </w:numPr>
        <w:rPr/>
      </w:pPr>
      <w:bookmarkStart w:id="298" w:name="__RefHeading___Toc3860190_1067777946"/>
      <w:bookmarkStart w:id="299" w:name="_Toc109"/>
      <w:bookmarkEnd w:id="297"/>
      <w:bookmarkEnd w:id="298"/>
      <w:r>
        <w:rPr>
          <w:rtl w:val="true"/>
        </w:rPr>
        <w:t>الواجب في اللعان</w:t>
      </w:r>
      <w:bookmarkEnd w:id="2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التلفّظ بالشهادة على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الرجل قائماً عند التلفّظ وكذا المرأة،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جميعاً قائمين بين يدي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يبدأ الرجل أوّلاً بالتلفّظ على الترتيب المذكور وبعده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يعيّنها بما يزيل الاحتمال، كذكر اسمها واسم أبيها أو صفاتها المميّزة لها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النطق بالعربيّة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بغيرها مع التعدّر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الحاكم غير عارف بتلك اللغة افتقر إلى حضور مترجمين ولا يكفي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البداءة بالشهادات ثمّ باللعن، وفي المرأة تبدأ بالشهادات ثمّ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غضب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أحدهما 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بالله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شاكله لم 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 التلفّظ بالشهادة على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شاكله لم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اللعان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التلفّظ بالشهادة على الوجه الذي ذكرناه، فلو أبدل صيغة الشهادة بغيرها،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أبدل لفظ الجلالة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لم يقع؛ لأنّه خلاف المنقول شرعاً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أبدل كلمة الصدق والكذب بغيرها وإن كان بمعناها،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الصادقين بغير لام التوكيد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زنت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أبدل اللعن بالإبعاد أو الطرد أو لفظ الغضب بالسخط أو أحدهما بالآخر، وإن كان الغضب أشدّ من اللعن؛ ولذلك خُصّ بجانب المرأة؛ لأنّ جريمة الزنى منها أقبح من جناية القذف منه، ولأنّ كلّ مغضوبٍ عليه ملعون ولا ينعكس والوجه في الجميع اتّباع المنصوص</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كلّ منهما عند لفظه، على ما اختاره المصنّف وقبله الصدوق</w:t>
      </w:r>
      <w:r>
        <w:rPr>
          <w:rStyle w:val="FootnoteAnchor"/>
          <w:rtl w:val="true"/>
        </w:rPr>
        <w:footnoteReference w:id="1014"/>
      </w:r>
      <w:r>
        <w:rPr>
          <w:rFonts w:ascii="Amiri" w:hAnsi="Amiri" w:eastAsia="Amiri" w:cs="Amiri"/>
          <w:color w:val="111111"/>
          <w:sz w:val="28"/>
          <w:sz w:val="28"/>
          <w:szCs w:val="28"/>
          <w:rtl w:val="true"/>
          <w:lang w:bidi="ar-SA"/>
        </w:rPr>
        <w:t>والشيخ في المبسوط</w:t>
      </w:r>
      <w:r>
        <w:rPr>
          <w:rStyle w:val="FootnoteAnchor"/>
          <w:rtl w:val="true"/>
        </w:rPr>
        <w:footnoteReference w:id="1015"/>
      </w:r>
      <w:r>
        <w:rPr>
          <w:rFonts w:ascii="IRNazanin" w:hAnsi="IRNazanin" w:eastAsia="IRNazanin"/>
          <w:color w:val="111111"/>
          <w:sz w:val="28"/>
          <w:sz w:val="28"/>
          <w:szCs w:val="28"/>
          <w:rtl w:val="true"/>
          <w:lang w:bidi="fa-IR"/>
        </w:rPr>
        <w:t>، ورواه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البزنطى أبا الحسن الرضا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كيف الملاعنة؟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يقعد الإمام ويجعل ظهره إلى القبلة ويجعل الرجل عن يمينه، والمرأة والصبيّ عن يساره</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يقوم الرجل فيحلف أربع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تقوم المرأة فتحلف أربع مرّات</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الشيخ في النهاية</w:t>
      </w:r>
      <w:r>
        <w:rPr>
          <w:rStyle w:val="FootnoteAnchor"/>
          <w:rtl w:val="true"/>
        </w:rPr>
        <w:footnoteReference w:id="1018"/>
      </w:r>
      <w:r>
        <w:rPr>
          <w:rFonts w:ascii="Amiri" w:hAnsi="Amiri" w:eastAsia="Amiri" w:cs="Amiri"/>
          <w:color w:val="111111"/>
          <w:sz w:val="28"/>
          <w:sz w:val="28"/>
          <w:szCs w:val="28"/>
          <w:rtl w:val="true"/>
          <w:lang w:bidi="ar-SA"/>
        </w:rPr>
        <w:t>والمفيد</w:t>
      </w:r>
      <w:r>
        <w:rPr>
          <w:rStyle w:val="FootnoteAnchor"/>
          <w:rtl w:val="true"/>
        </w:rPr>
        <w:footnoteReference w:id="1019"/>
      </w:r>
      <w:r>
        <w:rPr>
          <w:rFonts w:ascii="IRNazanin" w:hAnsi="IRNazanin" w:eastAsia="IRNazanin"/>
          <w:color w:val="111111"/>
          <w:sz w:val="28"/>
          <w:sz w:val="28"/>
          <w:szCs w:val="28"/>
          <w:rtl w:val="true"/>
          <w:lang w:bidi="fa-IR"/>
        </w:rPr>
        <w:t>وأتباعهما</w:t>
      </w:r>
      <w:r>
        <w:rPr>
          <w:rStyle w:val="FootnoteAnchor"/>
          <w:rtl w:val="true"/>
        </w:rPr>
        <w:footnoteReference w:id="1020"/>
      </w:r>
      <w:r>
        <w:rPr>
          <w:rFonts w:ascii="IRNazanin" w:hAnsi="IRNazanin" w:eastAsia="IRNazanin"/>
          <w:color w:val="111111"/>
          <w:sz w:val="28"/>
          <w:sz w:val="28"/>
          <w:szCs w:val="28"/>
          <w:rtl w:val="true"/>
          <w:lang w:bidi="fa-IR"/>
        </w:rPr>
        <w:t xml:space="preserve">و و أکثر النتأخّرین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أنّهما قائمین عند التلفّظ کلّ منهما؛ لصحیحة عبد الرحمن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عبّاد البصري سأل أبا عبد الله علیه السلام و أنا حاضر کیف يلاعن الرجل المرأة؟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قصّة الرجل الذي جاء النبیّ صلّی الله علیه وآله وسلّم و  أخبره عن أهله 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فأوقفهما رسول الله صلّی الله علیه وآله وسلّم ثمّ قال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أربع شهادات</w:t>
      </w:r>
      <w:r>
        <w:rPr>
          <w:rFonts w:eastAsia="IRNazanin" w:cs="IRNazanin"/>
          <w:color w:val="111111"/>
          <w:sz w:val="28"/>
          <w:szCs w:val="28"/>
          <w:rtl w:val="true"/>
          <w:lang w:bidi="fa-IR"/>
        </w:rPr>
        <w:t>»</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وحسنة محمّد بن مسلم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الملاعن والملاعنة كيف يصنعان؟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 الإمام مستدبر القبلة فيقيمهما بين يديه مستقبلاً بحذائه، ويبدأ بالرجل ثمّ بالمرأة</w:t>
      </w:r>
      <w:r>
        <w:rPr>
          <w:rFonts w:eastAsia="IRNazanin" w:cs="IRNazanin"/>
          <w:color w:val="111111"/>
          <w:sz w:val="28"/>
          <w:szCs w:val="28"/>
          <w:rtl w:val="true"/>
          <w:lang w:bidi="fa-IR"/>
        </w:rPr>
        <w:t>»</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أصحّ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 الرجل أوّلاً بالشهادة، ثمّ باللعن على الترتيب المذكور، ثمّ المرأة مقدّمة للشهادة ثمّ الغضب؛ للاتّباع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بدأت المرأة باللعان لغا؛ ولأنّ لعانها لإسقاط الحدّ، وإنّما يجب الحدّ عليها بلعان الزوج، فلا حاجة بها إلى أن تلاعن قبله، خلافاً لبعض العامّة حيث جوّز تقدّم كلّ منهما</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لو قدّم اللعن على الشهادة أو قدّمت الغضب عليها؛ لما ذكر، ولأنّ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الكاذبين في الشهادات الأربع فاعتبر تقدّمها، خلافاً لبعض العامّة</w:t>
      </w:r>
      <w:r>
        <w:rPr>
          <w:rStyle w:val="FootnoteAnchor"/>
          <w:rtl w:val="true"/>
        </w:rPr>
        <w:footnoteReference w:id="1024"/>
      </w:r>
      <w:r>
        <w:rPr>
          <w:rFonts w:ascii="IRNazanin" w:hAnsi="IRNazanin" w:eastAsia="IRNazanin"/>
          <w:color w:val="111111"/>
          <w:sz w:val="28"/>
          <w:sz w:val="28"/>
          <w:szCs w:val="28"/>
          <w:rtl w:val="true"/>
          <w:lang w:bidi="fa-IR"/>
        </w:rPr>
        <w:t>، استناداً إلى عدم اختلاف المعنى، وهو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يعيّنها بما يزيل الاحتمال باسمها، رافعاً نسبها قدر ما يحصل به التميّز، إن كان له زوجتان فصاعداً، وإلّا اكتفى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حاضرةً تخيّر بين ذلك وبين الإشارة إليها، ولو جمع بين الإشارة والتسمية كان أولى؛ لأنّ اللعان مبنيّ على التغليظ والاحتياط، فتؤكّد الإشارة بالتسمية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في تعريفها له غائباً وشاهداً كالعكس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النطق في جميع ذلك باللفظ العربي بالعربيّة مع القدرة؛ لأنّ الشرع</w:t>
      </w:r>
    </w:p>
    <w:p>
      <w:pPr>
        <w:pStyle w:val="BookText"/>
        <w:rPr/>
      </w:pPr>
      <w:r>
        <w:rPr>
          <w:rFonts w:ascii="Amiri" w:hAnsi="Amiri" w:eastAsia="Amiri" w:cs="Amiri"/>
          <w:color w:val="111111"/>
          <w:sz w:val="28"/>
          <w:sz w:val="28"/>
          <w:szCs w:val="28"/>
          <w:rtl w:val="true"/>
          <w:lang w:bidi="ar-SA"/>
        </w:rPr>
        <w:t>ورد بها فلا عدول عنها عند القدرة، وبدونها يأتي بالممكن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جميع ذلك لاعن بأيّ لسان شاء؛ لحصول الغرض من الشهادة واليمين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كان الحاكم يُحسن تلك اللغة فلا حاجة إلى المترجم وإلّا افتقر إلى مترجمين، و لا يكفي الواحد؛ لأنّها شهادة ولا يفتقر إلى الزائد، أمّا في جانب المرأة؛ فلأنّها تلاعن لنفي الزنى لا لإثباته، وأما في جانب الرجل فلأنّهما ليسا شاهدين بالزني وإنّما يشهدان على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يبتدئ بالشهادات ثمّ يعقّبها باللعن، ثمّ تبتدئ المرأة بالشهادات ثمّ بالغضب؛ للاتّباع</w:t>
      </w:r>
      <w:r>
        <w:rPr>
          <w:rFonts w:eastAsia="Amiri" w:cs="Amiri" w:ascii="Amiri" w:hAnsi="Amiri"/>
          <w:color w:val="111111"/>
          <w:sz w:val="28"/>
          <w:szCs w:val="28"/>
          <w:rtl w:val="true"/>
          <w:lang w:bidi="ar-SA"/>
        </w:rPr>
        <w:t xml:space="preserve">. </w:t>
      </w:r>
      <w:bookmarkStart w:id="300" w:name="pg10270_80322"/>
    </w:p>
    <w:p>
      <w:pPr>
        <w:pStyle w:val="Heading5"/>
        <w:numPr>
          <w:ilvl w:val="4"/>
          <w:numId w:val="1"/>
        </w:numPr>
        <w:rPr/>
      </w:pPr>
      <w:bookmarkStart w:id="301" w:name="__RefHeading___Toc3860192_1067777946"/>
      <w:bookmarkStart w:id="302" w:name="_Toc110"/>
      <w:bookmarkEnd w:id="300"/>
      <w:bookmarkEnd w:id="301"/>
      <w:r>
        <w:rPr>
          <w:rtl w:val="true"/>
        </w:rPr>
        <w:t>المندوب في اللعان</w:t>
      </w:r>
      <w:bookmarkEnd w:id="3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والندب أن يجلس الحاكم مستدبر القبلة، وأن يقف الرجل عن يمينه، والمرأة عن يمين الرجل، وأن يحضر من يسمع اللعان، وأن يعظه الحاكم ويخوّفه بعد الشهادات قبل ذكر اللعن، وكذا في المرأة قبل ذكر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 البداءة بالشهادات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مستدرك؛ للاستغناء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 التلفّظ بالشهادة على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يبدأ الرجل بالتلفّظ على الترتيب المذكور وبعده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وجه لإعادة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 أحدهما عوض أُشهد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لدخوله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 عطفه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لجاز كونه تفصيلاً بعد الإجمال، أمّا مع عطفه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لإعادته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والندب أن يجلس الحاكم مستدبر القبلة، وأن يقف الرجل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من سنن اللعان وهي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الحاكم مستدبراً للقبلة ليكون وجههما إليها، كجلوسه لغيره من مواضع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الرجل مقابل وجهه عن يمينه، وتقف المرأة عن يمين الرجل إن اعتبرنا وقوفهما، وإلّا كانت على يمينه إلى أن يفرغ ثمّ يقوم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دلّ على هذين رواية أحمد بن أبي نصر عن أبي الحسن علیه السلام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كيف الملاعنة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يقعد الإمام، ويجعل ظهره إلى القبلة، ويجعل الرجل عن يمينه، والمرأة عن يساره</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الرواية أنّ الزوجين يستقبلان، وكذلك أطلق المصنّف وجماعة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يحضر جماعة من أعيان البلد وصلحائه، فإنّ ذلك أعظم للأمر وللاتّباع، فقد حضر اللعان على عهد رسول الله صلّى الله عليه وآله وسلّم جماعة من الصحابة منهم ابن عبّاس وابن عمر </w:t>
      </w:r>
      <w:bookmarkStart w:id="303" w:name="pg10270_80323"/>
    </w:p>
    <w:p>
      <w:pPr>
        <w:pStyle w:val="Heading5"/>
        <w:numPr>
          <w:ilvl w:val="4"/>
          <w:numId w:val="1"/>
        </w:numPr>
        <w:rPr/>
      </w:pPr>
      <w:bookmarkStart w:id="304" w:name="__RefHeading___Toc3860194_1067777946"/>
      <w:bookmarkStart w:id="305" w:name="_Toc111"/>
      <w:bookmarkEnd w:id="303"/>
      <w:bookmarkEnd w:id="304"/>
      <w:r>
        <w:rPr>
          <w:rtl w:val="true"/>
        </w:rPr>
        <w:t>تغليظ اللعان بالقول والمكان والزمان</w:t>
      </w:r>
      <w:bookmarkEnd w:id="3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يغلّظ اللعان بالقول والمكان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اللعان في المساجد والجوامع، إذا لم يكن هناك مانع من الكون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وسهل بن سعد، وهم من أحداث الصحابة</w:t>
      </w:r>
      <w:r>
        <w:rPr>
          <w:rStyle w:val="FootnoteAnchor"/>
          <w:rtl w:val="true"/>
        </w:rPr>
        <w:footnoteReference w:id="1026"/>
      </w:r>
      <w:r>
        <w:rPr>
          <w:rFonts w:ascii="Amiri" w:hAnsi="Amiri" w:eastAsia="Amiri" w:cs="Amiri"/>
          <w:color w:val="111111"/>
          <w:sz w:val="28"/>
          <w:sz w:val="28"/>
          <w:szCs w:val="28"/>
          <w:rtl w:val="true"/>
          <w:lang w:bidi="ar-SA"/>
        </w:rPr>
        <w:t>، فاستدلّ به على أنّه حضر جمع كثير، فإنّ العادة أنّ الصغار لا يحضرون وحدهم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ما تتأدّى به الوظيفة أربعةُ نفر، فإنّ الزنى يثبت بهذا العدد، فيحضرون لإثباته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يعظه الحاكم بعد الشهادات ويخوّفه بالله تعالى، ويخبره أنّ عذاب الآخرة أشدّ من عذاب الدنيا، ويقرأ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يَشْتَرُونَ بِعَهْدِ اللَّهِ وَأَيْمَانِهِمْ ثَمَنًا قَلِيلاً</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ويروى أنّه صلّی الله علیه وآله وسلّم قال للمتلاعنين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حسابكما على الله، أحدكما كاذب، فهل منكما تائب؟</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أنّه صلّی الله علیه وآله وسلّم قال للرجل لما 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فإنّ لعنة الله شديدة،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الخامسة</w:t>
      </w:r>
      <w:r>
        <w:rPr>
          <w:rFonts w:eastAsia="IRNazanin" w:cs="IRNazanin"/>
          <w:color w:val="111111"/>
          <w:sz w:val="28"/>
          <w:szCs w:val="28"/>
          <w:rtl w:val="true"/>
          <w:lang w:bidi="fa-IR"/>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يُفعل بالمرأة قبل ذكر الغضب، وفي الرواية أنّه صلّی الله علیه وآله وسلّم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اتّقي الله فإنّ غضب الله شديد،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اشهدي الخامسة</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يغلّظ اللعان بالقول والمكان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تغليظ اللعان بهذه الأُمور مشروع في الجملة، أعمّ من كونه واجباً أو مندوباً أو جائزاً بالمعنى الأخصّ، وليس في عبارة المصنّف ما يدلّ على واحد منها 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اتّفقت المرأة حائضاً أنفذ الحاكم إليها من يستوفي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غير برزة لم يكلّفها الخروج عن منزلها، وجاز استيفاء الشهادات عليها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غيره</w:t>
      </w:r>
      <w:r>
        <w:rPr>
          <w:rStyle w:val="FootnoteAnchor"/>
          <w:rtl w:val="true"/>
        </w:rPr>
        <w:footnoteReference w:id="1031"/>
      </w:r>
      <w:r>
        <w:rPr>
          <w:rFonts w:ascii="Amiri" w:hAnsi="Amiri" w:eastAsia="Amiri" w:cs="Amiri"/>
          <w:color w:val="111111"/>
          <w:sz w:val="28"/>
          <w:sz w:val="28"/>
          <w:szCs w:val="28"/>
          <w:rtl w:val="true"/>
          <w:lang w:bidi="ar-SA"/>
        </w:rPr>
        <w:t>بالاستحباب، وأطلق كثير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 التغليظ بالمكان والزمان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التغليظ بالقول، فإن فسّر بأنّه تكرار الشهادات أربع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فسّره به في التحرير</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وجوبه، بل هو ركن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فسّر بذكر ما يناسب من أسماء الله تعالى المؤذنة بالانتقام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يمين الدعاوي</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مستحبّ، ولا يخلّ بالموالاة؛ لأنّه من متعلّقاته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بالتغليظ بالمكان أن يجري اللعان في أشرف المواضع من البلد، كبَين الركن والمقام إن كان بمكّة، وهو المسمّى بالحطيم، وفي الروضة وهي ما بين قبر النبي صلّى الله عليه و آله وسلّم ومنبره إن كان بالمدينة، وفي المسجد الأقصى عند الصخرة إن كان ببيت المقدس، وفي سائر البلاد في المسجد الجامع عند المنبر أو المشاهد المشرفة إن اتّفق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ويلاعن بين أهل الذمّة إذا ترافعوا إلينا في الموضع الذي يعظّمونه كالكنيسة لليهود،والبيعة للنصارى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يلاعن بين المجوس في بيت النار ؟ وجهان، من أنّه ليس له حرمة وشرف، بخلاف البيعة والكنيسة، ومن أنّ المقصود تعظيم الواقعة وزجر الكاذب عن القذف، واليمين في الموضع الذي يعظّمه الحالف أغلظ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يراعى اعتقادهم بشبهة الكتاب، كما روعي</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قبول الجزية</w:t>
      </w:r>
      <w:r>
        <w:rPr>
          <w:rFonts w:eastAsia="Amiri" w:cs="Amiri" w:ascii="Amiri" w:hAnsi="Amiri"/>
          <w:color w:val="111111"/>
          <w:sz w:val="28"/>
          <w:szCs w:val="28"/>
          <w:rtl w:val="true"/>
          <w:lang w:bidi="ar-SA"/>
        </w:rPr>
        <w:t xml:space="preserve">. </w:t>
      </w:r>
      <w:bookmarkStart w:id="306" w:name="pg10270_80325"/>
    </w:p>
    <w:p>
      <w:pPr>
        <w:pStyle w:val="Heading5"/>
        <w:numPr>
          <w:ilvl w:val="4"/>
          <w:numId w:val="1"/>
        </w:numPr>
        <w:rPr/>
      </w:pPr>
      <w:bookmarkStart w:id="307" w:name="__RefHeading___Toc3860196_1067777946"/>
      <w:bookmarkStart w:id="308" w:name="_Toc112"/>
      <w:bookmarkEnd w:id="306"/>
      <w:bookmarkEnd w:id="307"/>
      <w:r>
        <w:rPr>
          <w:rtl w:val="true"/>
        </w:rPr>
        <w:t>هل اللعان أيمان أو شهادات؟</w:t>
      </w:r>
      <w:bookmarkEnd w:id="3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اللعان أيمان وليست 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نظر إلى اللفظ، فإنّه بصورة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بيت الأصنام فلا عبرة به في لعان الوثنيين مطلقاً؛ لأنّه لا أصل له في الحرمة عند الله تعالى بخلاف السابق، واعتقادهم غير مرعيّ بمجرّده، فيلاعن بينهم في مجلس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الزوج مسلماً والمرأة ذميّةً لاعن كلّ واحد منهما في الموضع الذي يعظّمه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والتغليظ بالزمان إيقاعه في وقتٍ شريف كيوم الجمعة وبعد العصر، فإنّ اليمين الآثمة حينئذٍ أغلظ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تَحْبِسُونَهُمَا مِن بَعْدِ الصَّلَوَةِ فَيُقْسِمَانِ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بعد صلاة العصر</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النبي صلّى الله عليه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يكلّمهم الله ولا ينظر إليهم ولهم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حلف یمیناً على مال مسلمٍ فاقتطعه، ورجل حلف على يمين بعد صلاة العصر فقد أعطى سلعته أكثر ممّا أعطى وهو كاذب، ورجل منع فضل الماء</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يغلّظ في المساجد حيث لا يكون هناك مانع يمنع منها، كما لو كانت المرأة حائضاً أو مريضةً أو غير برزة، فيبعث إليها نائباً ليستوفي منها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فيه الاجتهاد، كما لا يشترط فيمن يرسله لتحليفها في الدعاوي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أحضر الحائض إلى باب المسجد ولا عنها كان أقرب إلى التغليظ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بغير البرزة من لا تعتاد الخروج إلى مجامع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اللعان أيمان وليست 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العلماء في اللعان، هل هو شهادات أو أيمان؟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ابن الجنيد إلى الأوّل</w:t>
      </w:r>
      <w:r>
        <w:rPr>
          <w:rStyle w:val="FootnoteAnchor"/>
          <w:rtl w:val="true"/>
        </w:rPr>
        <w:footnoteReference w:id="1037"/>
      </w:r>
      <w:r>
        <w:rPr>
          <w:rFonts w:ascii="Amiri" w:hAnsi="Amiri" w:eastAsia="Amiri" w:cs="Amiri"/>
          <w:color w:val="111111"/>
          <w:sz w:val="28"/>
          <w:sz w:val="28"/>
          <w:szCs w:val="28"/>
          <w:rtl w:val="true"/>
          <w:lang w:bidi="ar-SA"/>
        </w:rPr>
        <w:t>، وهو الظاهر من مذهب المصنّف؛ لكثرة إطلاقه عليه الشهادة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ونسبة القول بكونه يميناً إلى الشيخ</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العلّامة في القواعد</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الشيخ</w:t>
      </w:r>
      <w:r>
        <w:rPr>
          <w:rStyle w:val="FootnoteAnchor"/>
          <w:rtl w:val="true"/>
        </w:rPr>
        <w:footnoteReference w:id="1040"/>
      </w:r>
      <w:r>
        <w:rPr>
          <w:rFonts w:ascii="Amiri" w:hAnsi="Amiri" w:eastAsia="Amiri" w:cs="Amiri"/>
          <w:color w:val="111111"/>
          <w:sz w:val="28"/>
          <w:sz w:val="28"/>
          <w:szCs w:val="28"/>
          <w:rtl w:val="true"/>
          <w:lang w:bidi="ar-SA"/>
        </w:rPr>
        <w:t>، والعلّامة في المختلف</w:t>
      </w:r>
      <w:r>
        <w:rPr>
          <w:rStyle w:val="FootnoteAnchor"/>
          <w:rtl w:val="true"/>
        </w:rPr>
        <w:footnoteReference w:id="1041"/>
      </w:r>
      <w:r>
        <w:rPr>
          <w:rFonts w:ascii="Amiri" w:hAnsi="Amiri" w:eastAsia="Amiri" w:cs="Amiri"/>
          <w:color w:val="111111"/>
          <w:sz w:val="28"/>
          <w:sz w:val="28"/>
          <w:szCs w:val="28"/>
          <w:rtl w:val="true"/>
          <w:lang w:bidi="ar-SA"/>
        </w:rPr>
        <w:t>، وجماعة أُخرى</w:t>
      </w:r>
      <w:r>
        <w:rPr>
          <w:rStyle w:val="FootnoteAnchor"/>
          <w:rtl w:val="true"/>
        </w:rPr>
        <w:footnoteReference w:id="1042"/>
      </w:r>
      <w:r>
        <w:rPr>
          <w:rFonts w:ascii="Amiri" w:hAnsi="Amiri" w:eastAsia="Amiri" w:cs="Amiri"/>
          <w:color w:val="111111"/>
          <w:sz w:val="28"/>
          <w:sz w:val="28"/>
          <w:szCs w:val="28"/>
          <w:rtl w:val="true"/>
          <w:lang w:bidi="ar-SA"/>
        </w:rPr>
        <w:t>إلى أنّه 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للأوّل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لَهُمْ شُهَدَاءُ إِلَّا أَنْفُسُهُمْ فَشَهَادَةُ أَحَدِهِمْ أَرْبَعُ شَهَادَاتٍ</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الآيات، فقد أطلق عليه لفظ الشهادة في خمسة مواضع وكنّى عنها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النبي صلّى الله عليه و آله وسلّم للرجل الذي لاعن بينه وبين 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أربع شهاداتٍ بالله إنّك لمن الصادقين، إلى أن 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اشهدى أربع شهادات بالله إنّ زوجك لمن الكاذبين</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وقول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خمس نساء وأزواجهنّ 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والمجلود في القرية؛ لأنّ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تَقْبَلُوا لَهُمْ شَهَادَةً أَبَدًا</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وبأنّه يعتبر فيه التصريح بلفظ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وبأنّه يدرأ به الحدّ عنه ويثبت به عليها كالبيّنة بخلاف اليمين؛ فإنّها لا تدخل في الحدود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وبأنّه إذا امتنع من اللعان ثمّ رغب فيه يُمكّن منه، كمن يمتنع من إقامة البيّنة ثمّ أراد إقامتها، والناكل عن اليمين لا يعود إليها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للثاني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إِنَّهُ 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إِنَّهُ لَمِنَ الْكَاذِبِينَ</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 xml:space="preserve">بياء القسم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المقسم به، ولفظ الشهادة لا يتوقّف على جعلها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 النبي صلّى الله عليه و آله و سلّم لهلال بن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احلف بالله الذي لا إله إلّا هو إنّك لصادق</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لمّا أتت المرأة بالولد على النعت المكروه،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الأيمان لكان لي ولها شأن</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وبأنّه یصحّ من الفاسق والكافر، وشهادتهما غير مقبولة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ويستوي فيه الذكر والأُنثى، وليسا في الشهادة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اللعان يؤتى به في معرض الخصومة، ويلاعن الملاعن لنفسه، وشهادة الإنسان لنفسه غير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في المختلف عن تسميته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الله تعالى قد سمّى اليمين شهادةً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نَشْهَدُ إِنَّكَ لَرَسُولُ اللَّهِ</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 لأنّ الواقع من المنافقين شهادة مؤكّدة باليمين بقرينة اللام الموطّئة للقسم،</w:t>
      </w:r>
    </w:p>
    <w:p>
      <w:pPr>
        <w:pStyle w:val="BookText"/>
        <w:rPr/>
      </w:pPr>
      <w:r>
        <w:rPr>
          <w:rFonts w:ascii="Amiri" w:hAnsi="Amiri" w:eastAsia="Amiri" w:cs="Amiri"/>
          <w:color w:val="111111"/>
          <w:sz w:val="28"/>
          <w:sz w:val="28"/>
          <w:szCs w:val="28"/>
          <w:rtl w:val="true"/>
          <w:lang w:bidi="ar-SA"/>
        </w:rPr>
        <w:t>وذلك لا يخرجها عن الشهادة، والأصل في الاستعمال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يمين فيه شائبة الشهادة، بدليل ما ذكرناه من الخواصّ المنافية لكونه شهادة محضة مع تسميته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يجمع بين الأدلّة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ويتفرّع على القولين لعان الكافر والمملوك على الوجه الذي لا يقبل فيه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المرأة فلعانها مقبول وإن كانت شهادتها في مثل ذلك غير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جعلناه أيماناً </w:t>
      </w:r>
      <w:bookmarkStart w:id="309" w:name="pg10270_80328"/>
    </w:p>
    <w:p>
      <w:pPr>
        <w:pStyle w:val="Heading3"/>
        <w:numPr>
          <w:ilvl w:val="2"/>
          <w:numId w:val="1"/>
        </w:numPr>
        <w:rPr/>
      </w:pPr>
      <w:bookmarkStart w:id="310" w:name="__RefHeading___Toc3860198_1067777946"/>
      <w:bookmarkStart w:id="311" w:name="_Toc113"/>
      <w:bookmarkEnd w:id="309"/>
      <w:bookmarkEnd w:id="310"/>
      <w:r>
        <w:rPr>
          <w:rtl w:val="true"/>
        </w:rPr>
        <w:t>النظر في الأحکام</w:t>
      </w:r>
      <w:bookmarkEnd w:id="311"/>
    </w:p>
    <w:p>
      <w:pPr>
        <w:pStyle w:val="Heading4"/>
        <w:numPr>
          <w:ilvl w:val="3"/>
          <w:numId w:val="1"/>
        </w:numPr>
        <w:rPr/>
      </w:pPr>
      <w:bookmarkStart w:id="312" w:name="__RefHeading___Toc3860200_1067777946"/>
      <w:bookmarkStart w:id="313" w:name="_Toc114"/>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وأمّا أحكامه</w:t>
      </w:r>
    </w:p>
    <w:p>
      <w:pPr>
        <w:pStyle w:val="BookText"/>
        <w:rPr/>
      </w:pPr>
      <w:r>
        <w:rPr>
          <w:rFonts w:ascii="IRNazanin" w:hAnsi="IRNazanin" w:eastAsia="IRNazanin"/>
          <w:color w:val="111111"/>
          <w:sz w:val="28"/>
          <w:sz w:val="28"/>
          <w:szCs w:val="28"/>
          <w:rtl w:val="true"/>
          <w:lang w:bidi="fa-IR"/>
        </w:rPr>
        <w:t>فتشتمل على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يتعلّق بالقذف وجوب الحدّ في حقّ الرجل، وبلعانه سقوط الحدّ في حقّه ووجوب الحدّ في حقّ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لعانهما ثبوت أحكامٍ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الحدّين، وانتفاء الولد عن الرجل دون المرأة، وزوال الفراش، والتحريم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و إلّا كان خارجاً بالنصّ، كما قبلت شهادتها في الوصيّة بالمال ونظائرها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يتعلّق بالقذف وجوب الحدّ في حقّ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يفتتح به أحكام اللعان أنّ الزوج غير محمولٍ على اللعان بعد القذف، بل إذا امتنع حُدّ كالأجنبي إذا قذف ولم يقم البيّنة، لكنّه يمكّن من اللعان؛ للضرورة الداعية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المرأة غير محمولةٍ على اللعان بعد لعان الرجل، فإن تركته حُدّت؛ لقيام شهاداته</w:t>
      </w:r>
    </w:p>
    <w:p>
      <w:pPr>
        <w:pStyle w:val="BookText"/>
        <w:rPr/>
      </w:pPr>
      <w:r>
        <w:rPr>
          <w:rFonts w:ascii="Amiri" w:hAnsi="Amiri" w:eastAsia="Amiri" w:cs="Amiri"/>
          <w:color w:val="111111"/>
          <w:sz w:val="28"/>
          <w:sz w:val="28"/>
          <w:szCs w:val="28"/>
          <w:rtl w:val="true"/>
          <w:lang w:bidi="ar-SA"/>
        </w:rPr>
        <w:t>الأربع مقام أربعة شهودٍ عليها بالزني، وإن لاعنته سقط عنها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بعض العامّة</w:t>
      </w:r>
      <w:r>
        <w:rPr>
          <w:rStyle w:val="FootnoteAnchor"/>
          <w:rtl w:val="true"/>
        </w:rPr>
        <w:footnoteReference w:id="1050"/>
      </w:r>
      <w:r>
        <w:rPr>
          <w:rFonts w:ascii="Amiri" w:hAnsi="Amiri" w:eastAsia="Amiri" w:cs="Amiri"/>
          <w:color w:val="111111"/>
          <w:sz w:val="28"/>
          <w:sz w:val="28"/>
          <w:szCs w:val="28"/>
          <w:rtl w:val="true"/>
          <w:lang w:bidi="ar-SA"/>
        </w:rPr>
        <w:t>أنّ قذف الزوج لا يوجب الحدّ عليه، لكنّه يوجب اللعان، فإن امتنع حبس حتّى يلاعن، واللعان عقوبة القذف دون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لاعن الرجل لا تحدّ المرأة، بل تحبس إلى أن تلاعن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 عموم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يَرْمُونَ الْمُحْصَنَاتِ ثُمَّ لَمْ يَأْتُوا بِأَرْبَعَةِ شُهَدَاءَ فَاجْلِدُوهُمْ ثَمَانِينَ جَلْدَةً</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وَيَدْرَأُ عَنْهَا الْعَذَابَ أَنْ تَشْهَدَ أَرْبَعَ شَهَادَاتٍ بِاللَّهِ</w:t>
      </w:r>
      <w:r>
        <w:rPr>
          <w:rFonts w:eastAsia="Amiri" w:cs="Amiri" w:ascii="Amiri" w:hAnsi="Amiri"/>
          <w:color w:val="111111"/>
          <w:sz w:val="28"/>
          <w:szCs w:val="28"/>
          <w:rtl w:val="true"/>
          <w:lang w:bidi="ar-SA"/>
        </w:rPr>
        <w:t>»</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عذاب عليها بدون الشهادة سوى الحدّ، والحبس لا يسمّى عذاباً، بل لا دليل </w:t>
      </w:r>
      <w:bookmarkStart w:id="314" w:name="pg10270_80329"/>
    </w:p>
    <w:p>
      <w:pPr>
        <w:pStyle w:val="BookText"/>
        <w:rPr/>
      </w:pPr>
      <w:bookmarkEnd w:id="31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بخلاف الحدّ، فإنّ شهادته عليها بمنزلة إقامة الشهود على الزني، ومن ثَمّ اندفع به عنه الحدّ، فكان قرينةً لكون العذاب هو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النبي صلّى الله عليه و آله و سلّم لهلال بن أُميّة لما قذف زوجته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البيّنة أو حدّ في ظهرك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بعثك بالحقّ إنّي لصادق ولينزلنّ الله ما يبرئ ظهري من الحدّ، فنزلت الآيات فأرسل إليها، فجاء هلال فشهد والنبيّ صلّى الله عليه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يعلم أنّ أحدكما كاذب، فهل منكما تائب؟ ثمّ قامت فشهدت، فلمّا كان عند الخامسة وقفوها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موجبة، فتلكّأت ونكصت حتّى ظننّا أنّها ترجع،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أفضح قومي سائر اليوم فمضت،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الأيمان لكان لى ولها شأن</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3860202_1067777946"/>
      <w:bookmarkStart w:id="316" w:name="_Toc115"/>
      <w:bookmarkEnd w:id="315"/>
      <w:r>
        <w:rPr>
          <w:rtl w:val="true"/>
        </w:rPr>
        <w:t>الأحکام التي یتعلّق بلعانهما معاً</w:t>
      </w:r>
      <w:bookmarkEnd w:id="316"/>
    </w:p>
    <w:p>
      <w:pPr>
        <w:pStyle w:val="BookText"/>
        <w:rPr/>
      </w:pPr>
      <w:r>
        <w:rPr>
          <w:rFonts w:ascii="Amiri" w:hAnsi="Amiri" w:eastAsia="Amiri" w:cs="Amiri"/>
          <w:color w:val="111111"/>
          <w:sz w:val="28"/>
          <w:sz w:val="28"/>
          <w:szCs w:val="28"/>
          <w:rtl w:val="true"/>
          <w:lang w:bidi="ar-SA"/>
        </w:rPr>
        <w:t>ثم يتعلّق بلعانهما معاً أربعة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الحدّين كما عرفت</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الولد عن الرجل دون المرأة إن كان اللعان لنفيه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حديث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وآله و سلّم لمّا لاعن بين هلال وامرأته فرّق بينهما، وقضى أن  لا يدعى ولدها لأب ولا يرمى ولدها، ومن رماها أو رمى ولدها فعليه الحدّ</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بعد ذلك أميراً على مصر وما يدعى لأب</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الفراش</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المؤبّد</w:t>
      </w:r>
      <w:r>
        <w:rPr>
          <w:rFonts w:eastAsia="Amiri" w:cs="Amiri" w:ascii="Amiri" w:hAnsi="Amiri"/>
          <w:color w:val="111111"/>
          <w:sz w:val="28"/>
          <w:szCs w:val="28"/>
          <w:rtl w:val="true"/>
          <w:lang w:bidi="ar-SA"/>
        </w:rPr>
        <w:t xml:space="preserve">. </w:t>
      </w:r>
      <w:bookmarkStart w:id="317" w:name="pg10270_80330"/>
    </w:p>
    <w:p>
      <w:pPr>
        <w:pStyle w:val="Heading4"/>
        <w:numPr>
          <w:ilvl w:val="3"/>
          <w:numId w:val="1"/>
        </w:numPr>
        <w:rPr/>
      </w:pPr>
      <w:bookmarkStart w:id="318" w:name="__RefHeading___Toc3860204_1067777946"/>
      <w:bookmarkStart w:id="319" w:name="_Toc116"/>
      <w:bookmarkEnd w:id="317"/>
      <w:bookmarkEnd w:id="318"/>
      <w:r>
        <w:rPr>
          <w:rtl w:val="true"/>
        </w:rPr>
        <w:t>لو أكذب الزوج نفسه في أثناء اللعان</w:t>
      </w:r>
      <w:r>
        <w:rPr>
          <w:rtl w:val="true"/>
        </w:rPr>
        <w:t xml:space="preserve">... </w:t>
      </w:r>
      <w:r>
        <w:rPr>
          <w:rtl w:val="true"/>
        </w:rPr>
        <w:t>أو نكلت الزوجة</w:t>
      </w:r>
      <w:bookmarkEnd w:id="3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أكذب نفسه في أثناء اللعان أو نكل ثبت عليه الحدّ، ولم تثبت عليه الأحكام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نكلت هي أو أقرّت رجمت وسقط الحدّ عنه ولم يزل الفراش، ولا يثبت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عليهما قول النبي صلّى الله عليه و آله وسلّم في ذلك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رسول الله صلّى الله عليه و آله وسلّم بينهما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يجتمعان أبداً</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 العامّة نفى تأبّد التحريم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أكذب نفسه كان له أن يجدّد نكاحها</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الصحيح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تردّ هذه الأحكام إلى ثلاثة؛ لأنّ زوال الفراش يدخل في التحريم المؤبّد، وإنّما جمع بينهما لأنّ التحريم المؤبّد قد يجامع الفراش كالمفضاة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الفرقة تحصل ظاهراً وباطناً، سواء كان الزوج صادقاً أم هي صادقةً، خلافاً لبعض العامّة حيث حكم بأنّه مع صدقها لا يحصل باطناً</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أكذب نفسه في أثناء اللعان أو نكل ثبت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ثبوت هذه الأحكام مترتّباً على اللعان الذى لا يتحقّق إلّا بإكماله فبدونه لا يثبت شيئاً منها؛ عملاً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أكذب نفسه أو نكل قبل إكماله ولو بكلمة واحدة ثبت عليه حدّ القذف، وبقيت الزوجيّة والولد وإن أقرّت هي أو نكلت فكذلك وحدّها الرجم؛ لأنّها محصنة، لكن بشرط أن يكون اللعان لقذفها بالزنى، فلو نفي الولد ولم يقذفها بل جوّز كونه لشبهة لم يلزمها الحدّ إلا أن تقرّ بموجبه</w:t>
      </w:r>
      <w:r>
        <w:rPr>
          <w:rFonts w:eastAsia="Amiri" w:cs="Amiri" w:ascii="Amiri" w:hAnsi="Amiri"/>
          <w:color w:val="111111"/>
          <w:sz w:val="28"/>
          <w:szCs w:val="28"/>
          <w:rtl w:val="true"/>
          <w:lang w:bidi="ar-SA"/>
        </w:rPr>
        <w:t xml:space="preserve">. </w:t>
      </w:r>
      <w:bookmarkStart w:id="320" w:name="pg10270_80331"/>
    </w:p>
    <w:p>
      <w:pPr>
        <w:pStyle w:val="Heading4"/>
        <w:numPr>
          <w:ilvl w:val="3"/>
          <w:numId w:val="1"/>
        </w:numPr>
        <w:rPr/>
      </w:pPr>
      <w:bookmarkStart w:id="321" w:name="__RefHeading___Toc3860206_1067777946"/>
      <w:bookmarkStart w:id="322" w:name="_Toc117"/>
      <w:bookmarkEnd w:id="320"/>
      <w:bookmarkEnd w:id="321"/>
      <w:r>
        <w:rPr>
          <w:rtl w:val="true"/>
        </w:rPr>
        <w:t>و لو أكذب نفسه بعد اللعان،وهل يثبت عليه الحدّبذالك؟</w:t>
      </w:r>
      <w:bookmarkEnd w:id="3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أكذب نفسه بعد اللعان لحق به الولد، لكن يرثه الولد ولا يرثه الأب ولا من يتقرّب به، وترثه الأمّ ومن يتقرّب بها ولم يعد الفراش ولم يزل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عليه الحدّ؟ فيه روايتان، أظهرهما أنّه لا 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ما ذكر من الحكم حسنة الحلبي عن أبي عبد الله علیه السلام 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أقرّ على نفسه قبل الملاعنة جلد حدّاً، وهي امرأته</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لا عن امرأته فحلف أربع شهادات، ثمّ نكل عن الخامسة،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نكل عن الخامسة فهي امرأته ويجلد، وإن نكلت المرأة عن ذلك إذا كان ا ليمين عليها فعليها مثل ذلك</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أنّه يكفي في ثبوت الحدّ عليه نكوله أو إقراره ولو مرّةً واحدةً قبل إكمال اللعان؛ لأنّ موجب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 أمّا نكولها أو إقرارها، فإن كان بعد لعانه كفى فيه المرّة أيضاً؛ لأنّ لعانه كإقامة البيّنة عليها، فلا يحتاج إلى مجامعة إقرارها، وإنّما لعانها يسقط الحدّ عنها، فبدونه يبقى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أقرّت قبل لعانه اعتبر كونه أربع مرّاتٍ كغيره من الأقارير بالزني إذا لم يثبت عليها بعد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أكذب نفسه بعد اللعان لحق به الولد لكن يرثه الولد ولا يرثه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تلاعنا وأكذب نفسه بعد اللعان لم يتغيّر الحكم المترتّب على اللعان من التحريم المؤبّد وانتفاء الإرث، إلّا أنّه بمقتضى إقراره يرثه الولد من غير عكس، ولا يرث أقرباء الأب ولا يرثونه، إلّا مع تصديقهم في قول؛ لأنّ الإقرار لا يتعدّى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الحدّ هل يثبت عليه بذلك أم لا؟ بسبب اختلاف الرواية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فروى الحلبي عن الصادق علیه السلام في رجل لاعن امرأته وهي حبلى، ثمّ ادّعى ولدها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ولدت وزعم أنّه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إليه الولد ولا تحلّ له؛ لأنّه قد مضى التلاعن</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 فلو كان الحدّ باقياً لذكره، وإلّا لتأخّر البيان عن وقت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وعليها عمل الشيخ</w:t>
      </w:r>
      <w:r>
        <w:rPr>
          <w:rStyle w:val="FootnoteAnchor"/>
          <w:rtl w:val="true"/>
        </w:rPr>
        <w:footnoteReference w:id="1064"/>
      </w:r>
      <w:r>
        <w:rPr>
          <w:rFonts w:ascii="Amiri" w:hAnsi="Amiri" w:eastAsia="Amiri" w:cs="Amiri"/>
          <w:color w:val="111111"/>
          <w:sz w:val="28"/>
          <w:sz w:val="28"/>
          <w:szCs w:val="28"/>
          <w:rtl w:val="true"/>
          <w:lang w:bidi="ar-SA"/>
        </w:rPr>
        <w:t>والمصنّف والعلّامة في أحد قوليه</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ويؤيّدها أنّ الحدّ سقط باللعان بحكم الشارع، ولم يتجدّد قذف، فلا وجه لوجوبه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محمّد بن الفضيل عن الكاظم علیه السلام أنّه سأل عن رجل لاعن امرأته وانتفى من ولدها ثمّ أكذب نفسه، هل يردّ عليه ولدها؟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أكذب نفسه جلد الحدّ، وردّ عليه ابنه، ولا ترجع إليه امرأته أبداً</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وبها أخذ المفيد</w:t>
      </w:r>
      <w:r>
        <w:rPr>
          <w:rStyle w:val="FootnoteAnchor"/>
          <w:rtl w:val="true"/>
        </w:rPr>
        <w:footnoteReference w:id="1067"/>
      </w:r>
      <w:r>
        <w:rPr>
          <w:rFonts w:ascii="Amiri" w:hAnsi="Amiri" w:eastAsia="Amiri" w:cs="Amiri"/>
          <w:color w:val="111111"/>
          <w:sz w:val="28"/>
          <w:sz w:val="28"/>
          <w:szCs w:val="28"/>
          <w:rtl w:val="true"/>
          <w:lang w:bidi="ar-SA"/>
        </w:rPr>
        <w:t>والعلّامة في القواعد</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لأنّه أكّد باللعان القذف؛ لتكراره إيَّاه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والسقوط إنّما يكون مع علم صدقه أو اشتباه الحال، أمّا مع اعترافه بكونه كاذباً فهو قذف محض، فلا تكون زيادته مسقطة 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بثبوته ناصّة عليه، والأُخرى لا تنافيه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طريق الروايتين من هو مشترك بين الثقة والضعيف، وإنّما نجعلها شاهداً على ما اخترناه بالوجه العامّ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الشيخ في التهذيب حمل الرواية الأخيرة على إكذاب نفسه قبل إتمام اللعان</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لأنّه لو كان كذلك لم يزل الفراش ولم يثبت التحريم المؤبّد، وقد حكم في الرواية بأنّها لا ترجع إليه أبداً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اعترفت بعد اللعان لم يجب عليها الحدّ، إلّا أن تقرّ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وجوبه معها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انقطع كلامه بعد القذف وقبل اللعان صار كالأخرس لعانه بالإشارة، وإن لم يحصل اليأس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اعترفت بعد اللعان لم يجب عليها الحدّ، إلّا أن تقرّ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اعترفت بعد اللعان بالزنى لم يجب عليها الحدّ بمجرّد الإقرار إجماعاً، لما سيأتي إن شاء الله تعالى من أنّ حدّ الزني لا يثبت على المقرّ إلّا أن يقرّ به أربع مرّات</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وعلى تقدير إقرارها به أربعاً، ففي وجوب الحدّ عليها قولان، أشهرهما وجوبه، ذهب إليه الشيخ في النهاية</w:t>
      </w:r>
      <w:r>
        <w:rPr>
          <w:rStyle w:val="FootnoteAnchor"/>
          <w:rtl w:val="true"/>
        </w:rPr>
        <w:footnoteReference w:id="1071"/>
      </w:r>
      <w:r>
        <w:rPr>
          <w:rFonts w:ascii="IRNazanin" w:hAnsi="IRNazanin" w:eastAsia="IRNazanin"/>
          <w:color w:val="111111"/>
          <w:sz w:val="28"/>
          <w:sz w:val="28"/>
          <w:szCs w:val="28"/>
          <w:rtl w:val="true"/>
          <w:lang w:bidi="fa-IR"/>
        </w:rPr>
        <w:t>وأتباعه</w:t>
      </w:r>
      <w:r>
        <w:rPr>
          <w:rStyle w:val="FootnoteAnchor"/>
          <w:rtl w:val="true"/>
        </w:rPr>
        <w:footnoteReference w:id="1072"/>
      </w:r>
      <w:r>
        <w:rPr>
          <w:rFonts w:ascii="Amiri" w:hAnsi="Amiri" w:eastAsia="Amiri" w:cs="Amiri"/>
          <w:color w:val="111111"/>
          <w:sz w:val="28"/>
          <w:sz w:val="28"/>
          <w:szCs w:val="28"/>
          <w:rtl w:val="true"/>
          <w:lang w:bidi="ar-SA"/>
        </w:rPr>
        <w:t>وابن إدريس</w:t>
      </w:r>
      <w:r>
        <w:rPr>
          <w:rStyle w:val="FootnoteAnchor"/>
          <w:rtl w:val="true"/>
        </w:rPr>
        <w:footnoteReference w:id="1073"/>
      </w:r>
      <w:r>
        <w:rPr>
          <w:rFonts w:ascii="Amiri" w:hAnsi="Amiri" w:eastAsia="Amiri" w:cs="Amiri"/>
          <w:color w:val="111111"/>
          <w:sz w:val="28"/>
          <w:sz w:val="28"/>
          <w:szCs w:val="28"/>
          <w:rtl w:val="true"/>
          <w:lang w:bidi="ar-SA"/>
        </w:rPr>
        <w:t>، والعلّامة</w:t>
      </w:r>
      <w:r>
        <w:rPr>
          <w:rStyle w:val="FootnoteAnchor"/>
          <w:rtl w:val="true"/>
        </w:rPr>
        <w:footnoteReference w:id="1074"/>
      </w:r>
      <w:r>
        <w:rPr>
          <w:rFonts w:ascii="Amiri" w:hAnsi="Amiri" w:eastAsia="Amiri" w:cs="Amiri"/>
          <w:color w:val="111111"/>
          <w:sz w:val="28"/>
          <w:sz w:val="28"/>
          <w:szCs w:val="28"/>
          <w:rtl w:val="true"/>
          <w:lang w:bidi="ar-SA"/>
        </w:rPr>
        <w:t>لعموم ما دلّ على وجوب الحدّ على من أقرّ أربعاً مكلّفاً حرّاً مختاراً</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والمصنّف تردّد في ذلك؛ نظراً إلى أنّها أقرّت بزنى سقط حدّه باللعان،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يَدْرَؤُاْ عَنْهَا الْعَذَابَ أَن تَشْهَدَ أَرْبَعَ شَهَادَاتٍ بِاللَّهِ</w:t>
      </w:r>
      <w:r>
        <w:rPr>
          <w:rFonts w:eastAsia="Amiri" w:cs="Amiri" w:ascii="Amiri" w:hAnsi="Amiri"/>
          <w:color w:val="111111"/>
          <w:sz w:val="28"/>
          <w:szCs w:val="28"/>
          <w:rtl w:val="true"/>
          <w:lang w:bidi="ar-SA"/>
        </w:rPr>
        <w:t>»</w:t>
      </w:r>
      <w:r>
        <w:rPr>
          <w:rStyle w:val="FootnoteAnchor"/>
          <w:rtl w:val="true"/>
        </w:rPr>
        <w:footnoteReference w:id="1076"/>
      </w:r>
      <w:r>
        <w:rPr>
          <w:rFonts w:ascii="Amiri" w:hAnsi="Amiri" w:eastAsia="Amiri" w:cs="Amiri"/>
          <w:color w:val="111111"/>
          <w:sz w:val="28"/>
          <w:sz w:val="28"/>
          <w:szCs w:val="28"/>
          <w:rtl w:val="true"/>
          <w:lang w:bidi="ar-SA"/>
        </w:rPr>
        <w:t>فلا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أقوى؛ لما ذكر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انقطع كلامه بعد القذف وقبل اللعان صار كالأخرس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قذف الناطق ثمّ اعتقل لسانه وعجز عن الكلام لمرض وغيره نظر إن كان لا يرجى </w:t>
      </w:r>
      <w:bookmarkStart w:id="323" w:name="pg10270_80334"/>
    </w:p>
    <w:p>
      <w:pPr>
        <w:pStyle w:val="Heading4"/>
        <w:numPr>
          <w:ilvl w:val="3"/>
          <w:numId w:val="1"/>
        </w:numPr>
        <w:rPr/>
      </w:pPr>
      <w:bookmarkStart w:id="324" w:name="__RefHeading___Toc3860208_1067777946"/>
      <w:bookmarkStart w:id="325" w:name="_Toc118"/>
      <w:bookmarkEnd w:id="323"/>
      <w:bookmarkEnd w:id="324"/>
      <w:r>
        <w:rPr>
          <w:rtl w:val="true"/>
        </w:rPr>
        <w:t>إذا ادّعت الزوجة القذف فأنكر الزوج</w:t>
      </w:r>
      <w:bookmarkEnd w:id="325"/>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ادّعت أنّه قذفها بما يوجب اللعان فأنكر، فأقامت بيّنةً لم يثبت اللعان وتعيّن الحدّ؛ لأنّه يُكذِّب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زوال ما به فهو كالأخرس، وقد تقدّم القول فيه</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يرجى ففي انتظار زواله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قطع به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ويلاعن بالإشارة؛ لحصول العجز في الحال، و حدّ القذف مضيّق، وربما يموت فيلحق به نسب ليس منه، وذلك 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ينتظر زواله ولا يغيّر الحكم بالعوارض التي تطرأ وتزول؛ لتمكّن الإتيان بصریح  الكلمات المعتبرة في الشهادات واللعن والغضب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والمذهب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ادّعت أنّه قذفها بما يوجب اللعان فأنكر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ادّعت المرأة على زوجها أنّه قذفها فله في الجواب 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يسكت فتقيم عليه البيّنة، فله أن يلاعن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السكوت إنكاراً للقذف، ولا تكذيباً للبيّنة في الحقيقة، ولكنّه جعل كالإنكار في قبول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لاعن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بالله إنّي لمن الصادقين فيما أُثبت عليّ من رميي إيّاها بالزنى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في الواجب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يلزمني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فأقامت البيّنة على القذف، فله اللعان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يلزمني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صدقت فيما قلت وسأُحقّقه باللعان فلا يكون على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ينكر القذف فتقيم الشاهدين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أطلق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أنّه لا يجاب إلى اللعان لو أراده وتعيّن الحدّ؛ لأنه بلعانه يكذّب نفسه في إنكاره القذف؛ لأنّه ينكر نسبتها إلى الزني فكيف يشهد بالله إنّه لمن الصادقين فيما نسبها إليه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جواز اللعان؛ لأنّه لم ينكر زناها وإنّما أنكر القذف والقذف يستعمل في القول </w:t>
      </w:r>
      <w:bookmarkStart w:id="326" w:name="pg10270_80335"/>
    </w:p>
    <w:p>
      <w:pPr>
        <w:pStyle w:val="Heading4"/>
        <w:numPr>
          <w:ilvl w:val="3"/>
          <w:numId w:val="1"/>
        </w:numPr>
        <w:rPr/>
      </w:pPr>
      <w:bookmarkStart w:id="327" w:name="__RefHeading___Toc3860210_1067777946"/>
      <w:bookmarkStart w:id="328" w:name="_Toc119"/>
      <w:bookmarkEnd w:id="326"/>
      <w:bookmarkEnd w:id="327"/>
      <w:r>
        <w:rPr>
          <w:rtl w:val="true"/>
        </w:rPr>
        <w:t>إذا قذف امرأته بالزنی برجلٍ معیّن</w:t>
      </w:r>
      <w:bookmarkEnd w:id="328"/>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قذف امرأته برجلٍ على وجه نسبهما إلى الزنى كان عليه حدّان وله إسقاط حدّ الزوجة باللعان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بيّنة سقط الحدّان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الباطل، فيجوز أن يريد أنّ قولي صادق وليس بقذف باطل، وإن لم يتلفّظ بالتأويل، ولأنّ قوله مردود عليه بالبيّنة، فصار كأنّه لم ينكر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أنّه إنّ أظهر لإنكاره هذا التأويل ونحوه من التأويلات المحتملة قُبل، وإلّا فلا؛ لأنّه خلاف مدلول اللفظ، فلا يكفي في نفيه مجرّد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عدم القبول أو عدم التأويل لو أنشأ قذفاً في الحال فله أن يلاعن لأجله ويسقط به الحدّ وإن كانت هي صادقة في دعواها؛ لأنّ من كرّر قذف امرأته كفاه لعان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يقتصر في الجواب على إنكار القذف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قذفت وما زنت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فيحدّ ولا لعان هنا قطعاً؛ لأنّه شهد بعفّتها وبراءتها فكيف تحقّق زناها باللعان وقوله الأوّل يكذّبه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أن يقيم البيّنة والحال هذه؛ لأنّه كذب الشهود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لو أنشأ قذفاً ففي جواز لعانه وجهان، من إطلاق الحكم بثبوته بالقذف، ومن أنّ إقراره ببراءتها ينافي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تقييد جواز اللعان بمضيّ مدّة بعد الدعوى يمكن فيها الزني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جواز اللعان ففي سقوط حدّ القذف الذي قامت البيّنة عليه وجهان، من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صرفه إلى الأوّل، ومن إطلاق سقوط الحدّ باللعان الواحد للقذف 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قذف امرأته برجلٍ على وجه نسبهما إلى الزني كان عليه 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قذف زوجته بالزنى برجل معيّن،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زنیتِ بفلان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قذف لهما بلفظٍ واحدٍ، فيثبت الحدّ لهما، لكن سيأتي إن شاء الله تعالى في الحدود</w:t>
      </w:r>
      <w:r>
        <w:rPr>
          <w:rStyle w:val="FootnoteAnchor"/>
          <w:rtl w:val="true"/>
        </w:rPr>
        <w:footnoteReference w:id="1078"/>
      </w:r>
      <w:r>
        <w:rPr>
          <w:rFonts w:ascii="Amiri" w:hAnsi="Amiri" w:eastAsia="Amiri" w:cs="Amiri"/>
          <w:color w:val="111111"/>
          <w:sz w:val="28"/>
          <w:sz w:val="28"/>
          <w:szCs w:val="28"/>
          <w:rtl w:val="true"/>
          <w:lang w:bidi="ar-SA"/>
        </w:rPr>
        <w:t>أنّه مع قذف متعدّد بلفظ واحد لهم حدّ واحد إن جاؤوا به مجتمعين، وإن تفرّقوا فلكلّ واحد حدّ، وهذه من أفراد تلك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 • إذا قذفها فأقرّت قبل اللعان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لزمها الحدّ إن أقرّت أربعاً، وسقط عن الزوج ولو أقرّت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هناك نسب لم ينتف إلّا باللعان، وكان للزوج أن يلاعن لنفيه؛ لأنّ تصادق الزوجين على الزني لا ينفي النسب؛ إذ هو ثابت بالفراش وفى اللعان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جاءا به متفرقّين فلا إشكال في تعدّد الحد، وأنّ له إسقاط حدّها باللعان دون حدّه كما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جاءا به مجتمعين، فإن لاعن الزوجة سقط حدّها وحدّ الرجل كما لو جاءا متفرقّين؛ لأنّ الحدّ لهما يتداخل ويجتزئ منه بواحدٍ ، ولم يحصل هنا حدّ فكان كما لو لم 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يلا عن وحدّ لها تداخل الحدّان؛ بناءً على القاعدة المقرّرة، وإن كان إطلاقه وجوب الحدّين هنا لا يخلو من منافرة للقاعدة، لكن طريق الجمع 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عدم سقوط حدّه للرجل بين أن يذكره في لعانها،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بالله إنّي لمن الصادقين فيما رميتها به من الزنى بفلان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وعدمه عندنا؛ لأنّ اللعان بالنسبة إلى إسقاط حدّ القذف مختصّ بالزوجة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لبعض العامّة، حيث أسقط حدّه مع ذكره في لعانها ؛ نظراً إلى أنّ اللعان حجّة في ذلك الزنى في طرف المرأة، فكذا في طرف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الواقعة واحدة، وقد قامت فيها حجّة مصدّقة</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اللعان إنّما يثبت حجّةً على قذف الزوجة كما تضمّنته الآية</w:t>
      </w:r>
      <w:r>
        <w:rPr>
          <w:rStyle w:val="FootnoteAnchor"/>
          <w:rtl w:val="true"/>
        </w:rPr>
        <w:footnoteReference w:id="1080"/>
      </w:r>
      <w:r>
        <w:rPr>
          <w:rFonts w:ascii="Amiri" w:hAnsi="Amiri" w:eastAsia="Amiri" w:cs="Amiri"/>
          <w:color w:val="111111"/>
          <w:sz w:val="28"/>
          <w:sz w:val="28"/>
          <w:szCs w:val="28"/>
          <w:rtl w:val="true"/>
          <w:lang w:bidi="ar-SA"/>
        </w:rPr>
        <w:t>، لا على قذف غيرها، فيبقى حكم قذفه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تعدّد صيغة القذف بالنسبة إليهما تعدّد الحدّ مطلقاً كما ذكر</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قذفها فأقرّت قبل 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قذفها بالزنى وصادقته عليه قبل اللعان سقط الحدّ عنه؛ لاعترافها بعدم الإحصان، </w:t>
      </w:r>
    </w:p>
    <w:p>
      <w:pPr>
        <w:pStyle w:val="BookText"/>
        <w:rPr/>
      </w:pPr>
      <w:r>
        <w:rPr>
          <w:rFonts w:ascii="Amiri" w:hAnsi="Amiri" w:eastAsia="Amiri" w:cs="Amiri"/>
          <w:color w:val="111111"/>
          <w:sz w:val="28"/>
          <w:sz w:val="28"/>
          <w:szCs w:val="28"/>
          <w:rtl w:val="true"/>
          <w:lang w:bidi="ar-SA"/>
        </w:rPr>
        <w:t>السادسة • إذا قذفها فاعترفت ثمّ أنكرت فأقام شاهدين باعترافها،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إلّا أربعة، ويجب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إشكال ينشأ من كون ذلك شهادة بالإقرار لا بالزنى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يجب عليها؛ لعدم حصول موجبه إلّا أن تقرّ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ولدت من الوطء الذي تصادقا عليه أنّه زنى فهو لاحق بهما شرعاً؛ لأنّها فراش والولد للفراش، وقولهما في نفيه غير مقبول؛ لأنّه إقرار في حقّ الغير، فإن تلاعنا انتفى عنه حينئذٍ ، ذكر جميع ذلك الشيخ في المبسوط</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کلّه جيّد في محلّه، إلّا قوله بصحّة اللعان لنفيه، فقد تردّد فيه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من ثبوت نسب الولد ظاهراً على ما قرّرناه، فإذا نفاه الرجل مع عدم سبق إقراره به دخل تحت عموم اللعان لنفي الولد</w:t>
      </w:r>
      <w:r>
        <w:rPr>
          <w:rStyle w:val="FootnoteAnchor"/>
          <w:rtl w:val="true"/>
        </w:rPr>
        <w:footnoteReference w:id="1083"/>
      </w:r>
      <w:r>
        <w:rPr>
          <w:rFonts w:ascii="Amiri" w:hAnsi="Amiri" w:eastAsia="Amiri" w:cs="Amiri"/>
          <w:color w:val="111111"/>
          <w:sz w:val="28"/>
          <w:sz w:val="28"/>
          <w:szCs w:val="28"/>
          <w:rtl w:val="true"/>
          <w:lang w:bidi="ar-SA"/>
        </w:rPr>
        <w:t>الملحق به ظاهراً، ومن أنّ اللعان هنا غير متصوّرٍ؛ لأنّ الزوجة لا يمكنها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بالله إنّه لمن الكاذبين في نفي الولد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تصديقها إيّاه على الزنى، وعلى تولّد الولد من الزني، فإنّ ذلك فرض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يتّجه اللعان مع تصديقها له على الزنى دون تولّد الولد منه، أمّا مع دعواها كونه من الزوج أو إطلاقها فلا</w:t>
      </w:r>
    </w:p>
    <w:p>
      <w:pPr>
        <w:pStyle w:val="BookText"/>
        <w:rPr/>
      </w:pPr>
      <w:r>
        <w:rPr>
          <w:rFonts w:ascii="Amiri" w:hAnsi="Amiri" w:eastAsia="Amiri" w:cs="Amiri"/>
          <w:color w:val="111111"/>
          <w:sz w:val="28"/>
          <w:sz w:val="28"/>
          <w:szCs w:val="28"/>
          <w:rtl w:val="true"/>
          <w:lang w:bidi="ar-SA"/>
        </w:rPr>
        <w:t>والأقوى ثبوته هنا، وانتفاؤه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قذفها فاعترفت ثمّ أنكرت فأقام 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قذفها وادّعى اعترافها بالزنى فأنكرت، فهل يثبت الزنى بإقرارها بشاهدين أم لا بدّ من أربع؟ قولان منشؤهما كون الغرض من الإقرار إثبات الزني الموجب لإقامة الحدّ وهتك العرض، فكان كالشهادة على نفس الزنى فلا بدّ من الأربعة، وهو من باب اتّحاد طريق المسألتين لا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الشيخ في هذا الباب</w:t>
      </w:r>
      <w:r>
        <w:rPr>
          <w:rStyle w:val="FootnoteAnchor"/>
          <w:rtl w:val="true"/>
        </w:rPr>
        <w:footnoteReference w:id="1084"/>
      </w:r>
      <w:r>
        <w:rPr>
          <w:rFonts w:ascii="Amiri" w:hAnsi="Amiri" w:eastAsia="Amiri" w:cs="Amiri"/>
          <w:color w:val="111111"/>
          <w:sz w:val="28"/>
          <w:sz w:val="28"/>
          <w:szCs w:val="28"/>
          <w:rtl w:val="true"/>
          <w:lang w:bidi="ar-SA"/>
        </w:rPr>
        <w:t>، وقوّاه في المختلف</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bookmarkStart w:id="329" w:name="pg10270_80338"/>
    </w:p>
    <w:p>
      <w:pPr>
        <w:pStyle w:val="Heading4"/>
        <w:numPr>
          <w:ilvl w:val="3"/>
          <w:numId w:val="1"/>
        </w:numPr>
        <w:rPr/>
      </w:pPr>
      <w:bookmarkStart w:id="330" w:name="__RefHeading___Toc3860212_1067777946"/>
      <w:bookmarkStart w:id="331" w:name="_Toc120"/>
      <w:bookmarkEnd w:id="329"/>
      <w:bookmarkEnd w:id="330"/>
      <w:r>
        <w:rPr>
          <w:rtl w:val="true"/>
        </w:rPr>
        <w:t>إذا قذف زوجته فماتت قبل اللعان</w:t>
      </w:r>
      <w:bookmarkEnd w:id="331"/>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قذفها فماتت قبل اللعان سقط اللعان وورثها الزوج، وعليه الحدّ 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دفع الحدّ باللعان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قام رجل من أهلها فلاعنه فلا ميراث له، وإلّا أخذ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ذهب في الخلاف والأصل أنّ الميراث يثبت بالموت، فلا يسقط باللعان المتعقّب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المشهود عليه إقرار فأشبه سائر الأقارير وهو اختيار الشيخ في المبسوط والخلاف في باب الشهادات</w:t>
      </w:r>
      <w:r>
        <w:rPr>
          <w:rStyle w:val="FootnoteAnchor"/>
          <w:rtl w:val="true"/>
        </w:rPr>
        <w:footnoteReference w:id="1086"/>
      </w:r>
      <w:r>
        <w:rPr>
          <w:rFonts w:ascii="Amiri" w:hAnsi="Amiri" w:eastAsia="Amiri" w:cs="Amiri"/>
          <w:color w:val="111111"/>
          <w:sz w:val="28"/>
          <w:sz w:val="28"/>
          <w:szCs w:val="28"/>
          <w:rtl w:val="true"/>
          <w:lang w:bidi="ar-SA"/>
        </w:rPr>
        <w:t>، وابن إدريس</w:t>
      </w:r>
      <w:r>
        <w:rPr>
          <w:rStyle w:val="FootnoteAnchor"/>
          <w:rtl w:val="true"/>
        </w:rPr>
        <w:footnoteReference w:id="1087"/>
      </w:r>
      <w:r>
        <w:rPr>
          <w:rFonts w:ascii="Amiri" w:hAnsi="Amiri" w:eastAsia="Amiri" w:cs="Amiri"/>
          <w:color w:val="111111"/>
          <w:sz w:val="28"/>
          <w:sz w:val="28"/>
          <w:szCs w:val="28"/>
          <w:rtl w:val="true"/>
          <w:lang w:bidi="ar-SA"/>
        </w:rPr>
        <w:t>، ويظهر من المصنّف الميل إليه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توقّف ثبوت الزنى على الأربعة هل يكفي الاثنان في سقوط الحدّ عن القاذف، أم لا بدّ من الأربعة كالسابق؟ قال الشيخ في المبسوط بالثاني</w:t>
      </w:r>
      <w:r>
        <w:rPr>
          <w:rStyle w:val="FootnoteAnchor"/>
          <w:rtl w:val="true"/>
        </w:rPr>
        <w:footnoteReference w:id="1088"/>
      </w:r>
      <w:r>
        <w:rPr>
          <w:rFonts w:ascii="Amiri" w:hAnsi="Amiri" w:eastAsia="Amiri" w:cs="Amiri"/>
          <w:color w:val="111111"/>
          <w:sz w:val="28"/>
          <w:sz w:val="28"/>
          <w:szCs w:val="28"/>
          <w:rtl w:val="true"/>
          <w:lang w:bidi="ar-SA"/>
        </w:rPr>
        <w:t>لأنّها شهادة على الزنى فلا يقبل أقلّ من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هنا اثنان</w:t>
      </w:r>
      <w:r>
        <w:rPr>
          <w:rStyle w:val="FootnoteAnchor"/>
          <w:rtl w:val="true"/>
        </w:rPr>
        <w:footnoteReference w:id="1089"/>
      </w:r>
      <w:r>
        <w:rPr>
          <w:rFonts w:ascii="Amiri" w:hAnsi="Amiri" w:eastAsia="Amiri" w:cs="Amiri"/>
          <w:color w:val="111111"/>
          <w:sz w:val="28"/>
          <w:sz w:val="28"/>
          <w:szCs w:val="28"/>
          <w:rtl w:val="true"/>
          <w:lang w:bidi="ar-SA"/>
        </w:rPr>
        <w:t>لأنّها شهادة على الإقرار بالزنى لا عليه نفسه، وهو لا يستلزم ثبوت الزنى بمجرّده؛ لأنّ الحدّ يسقط عنه بإقرارها مرّةً واحدةً ولا يثبت عليها الزنى إلّا بإقرارها أربعاً، فيثبت الإقرار بشاهدين بالنسبة إلى إسقاط الحدّ، كما يثبت بهما المال وموجب القصاص، بل هنا أولى؛ لأنّ الحدود مبنيّة على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قذفها فماتت قبل اللعان سقط اللعان وورثها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ممّا سبق أنّ من أحكام اللعان ما يترتّب على لعانه خاصّةً من غير أن يتوقّف على لعانها</w:t>
      </w:r>
      <w:r>
        <w:rPr>
          <w:rStyle w:val="FootnoteAnchor"/>
          <w:rtl w:val="true"/>
        </w:rPr>
        <w:footnoteReference w:id="1090"/>
      </w:r>
      <w:r>
        <w:rPr>
          <w:rFonts w:ascii="Amiri" w:hAnsi="Amiri" w:eastAsia="Amiri" w:cs="Amiri"/>
          <w:color w:val="111111"/>
          <w:sz w:val="28"/>
          <w:sz w:val="28"/>
          <w:szCs w:val="28"/>
          <w:rtl w:val="true"/>
          <w:lang w:bidi="ar-SA"/>
        </w:rPr>
        <w:t>، وهو سقوط الحدّ عنه وثبوته عليها، وأنّ منه ما يترتّب على لعانهما معاً، كالفرقة المؤبّدة الموجبة لنفي التوارث وانتفاء نسب الولد عن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 موتها قبل اللعان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يسقط حكم ما يترتب على لعانه خاصةً؛ لعدم المانع منه، فله أن يلاعن بعد موتها لنفى الحدّ عنه من غير احتياج إلى لعان الوارث، ولكنّه لا ينفي الميراث ولا النسب؛ لترتّبهما على التلاعن من الجانبين وقد فات بموتها، والأصل أن لا يقوم غيرها مقامها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رجل من أهلها فلاعنه سقط الحدّ عنه، وسقط إرثه</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عليه القاضي</w:t>
      </w:r>
      <w:r>
        <w:rPr>
          <w:rStyle w:val="FootnoteAnchor"/>
          <w:rtl w:val="true"/>
        </w:rPr>
        <w:footnoteReference w:id="1092"/>
      </w:r>
      <w:r>
        <w:rPr>
          <w:rFonts w:ascii="Amiri" w:hAnsi="Amiri" w:eastAsia="Amiri" w:cs="Amiri"/>
          <w:color w:val="111111"/>
          <w:sz w:val="28"/>
          <w:sz w:val="28"/>
          <w:szCs w:val="28"/>
          <w:rtl w:val="true"/>
          <w:lang w:bidi="ar-SA"/>
        </w:rPr>
        <w:t>وجماعة</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والمستند رواية أبي بصير عن الصادق عیه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قام رجل من أهلها فلاعنه فلا ميراث له، وإن أبى أحد من أوليائها أن يقوم مقامها أخذ الميراث زوجها</w:t>
      </w:r>
      <w:r>
        <w:rPr>
          <w:rFonts w:eastAsia="IRNazanin" w:cs="IRNazanin"/>
          <w:color w:val="111111"/>
          <w:sz w:val="28"/>
          <w:szCs w:val="28"/>
          <w:rtl w:val="true"/>
          <w:lang w:bidi="fa-IR"/>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ورواية عمرو بن خالد، عن زيد بن علي، عن آبائه، عن عليّ  علیه السلام في رجل قذف امرأته فخرج فجاء وقد توفّيت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يخيّر واحدة من ثنتين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ألزمت نفسك الذنب فيقام فيك الحدّ وتعطى الميراث، وإن شئت أقررت فلاعنت أدنى قرابتها ولا ميراث لك</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والروايتان ضعيفتان، الأُولى بالإرسال، والثانیّة برجال الزيديّة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أن لا يقوم غير الزوجة مقامها في اللعان، وأن لا يزول الإرث الذي قد ثبت بالموت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قيل في ردّه من أنّ الوارث لا يمكنه القطع بنفي فعل غيره، ولا يكفي يمينه على نفي العلم، وأنّ الاجتزاء بأيّ وارثٍ كان مع التعدّد ترجيح من 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للمنع، لإمكان اطّلاع الوارث وعلمه بانتفاء الفعل حيث يكون الفعل محصوراً، بأن يدّعي عليها أنّها زنت في ساعة كذا بفلان أو مطلقاً، وقد كان الوارث ملازماً لها أو للمنسوب إليه في تلك الساعة على وجه يعلم انتفاء الفعل، كما في نظائره من الشهادات على النفي المحصور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المعتبر لعان واحد من طرف الزوجة اكتُفي بلعانِ وارث واحد؛ لقيامه مقام لعانها، </w:t>
      </w:r>
      <w:bookmarkStart w:id="332" w:name="pg10270_80340"/>
    </w:p>
    <w:p>
      <w:pPr>
        <w:pStyle w:val="Heading4"/>
        <w:numPr>
          <w:ilvl w:val="3"/>
          <w:numId w:val="1"/>
        </w:numPr>
        <w:rPr/>
      </w:pPr>
      <w:bookmarkStart w:id="333" w:name="__RefHeading___Toc3860214_1067777946"/>
      <w:bookmarkStart w:id="334" w:name="_Toc121"/>
      <w:bookmarkEnd w:id="332"/>
      <w:bookmarkEnd w:id="333"/>
      <w:r>
        <w:rPr>
          <w:rtl w:val="true"/>
        </w:rPr>
        <w:t>إذا قذفها ولم يلاعن فحدّ ثمّ قذفها</w:t>
      </w:r>
      <w:bookmarkEnd w:id="334"/>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قذفها ولم يلاعن فحدّ ثمّ قذفها 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 تمسّكاً بحصول الموجب 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الخلاف فيما لو تلاعنا ثمّ قذفها به، وهنا سقوط الحدّ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قذفها به الأجنبي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قذفها فأقرّت ثمّ قذفها الزوج أو الأجنبي فلا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قذفها ولاعن فنكلت ثمّ قذفها الأجنبي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كما لو أقام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التعدّد يتخير الوارث أن يبذل الجميع أو يقرع بينهم مع التشاحّ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ذلك لا يصلح لإبطال الحكم لو ثبت بنصّ يعتمد عليه، وإنّما الوجه في ردّه ضعف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قذفها ولم يلاعن فحدّ ثمّ قذفها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 كان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مسائل 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القذف قبل اللعان من غير أن يتخلله الحدّ لا يوجب زيادة عن حدّ واحد ولا لعان واحد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تخلّل الحدّ ثمّ قذف فهل يجب الحد ثانياً ؟ اختلف كلام الشيخ فيه، فأثبته في الخلاف</w:t>
      </w:r>
      <w:r>
        <w:rPr>
          <w:rStyle w:val="FootnoteAnchor"/>
          <w:rtl w:val="true"/>
        </w:rPr>
        <w:footnoteReference w:id="1096"/>
      </w:r>
      <w:r>
        <w:rPr>
          <w:rFonts w:ascii="Amiri" w:hAnsi="Amiri" w:eastAsia="Amiri" w:cs="Amiri"/>
          <w:color w:val="111111"/>
          <w:sz w:val="28"/>
          <w:sz w:val="28"/>
          <w:szCs w:val="28"/>
          <w:rtl w:val="true"/>
          <w:lang w:bidi="ar-SA"/>
        </w:rPr>
        <w:t>، ونفاه في المبسوط</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ومبنى القولين على أنّ كلّ واحدٍ من القذف المتعدّد سبب تامّ في إيجاب الحد، والأصل مع تعدّد الأسباب أن يتعدّد المسبّب، خرج منه ما إذا لم يتخلّل الحدّ فيبقى الباقي، وأنّ الحدّ في القذف إنّما يثبت مع اشتباه صدق القاذف وكذبه لا مع الحكم بأحدهما، وكذبه هنا معلوم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عِنْدَ اللَّهِ هُمُ الْكَاذِبُونَ</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الثاني بأنّ المعتبر في سقوط الحدّ ظهور كذبه لا وصفه به بمجرّد الذمّ مع تجويز صدقه في نفس الأمر، فلا يزول بذلك ما دلّ على إيجاب الحدّ مع القذف المعلوم الموجب لزيادة الهتك الموهم لدعوى الصدق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اختاره المصنّف من ثبوت الحدّ ثانياً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القذف الثاني بمتعلّق الأوّل، كما نبّه عليه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قذفها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قذفها بزنيّةٍ أُخرى فلا إشكال في ثبوت الحدّ عليه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يتخلّل اللعان بين القذفين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اتّفق قولا الشيخ هنا على سقوط الحدّ</w:t>
      </w:r>
      <w:r>
        <w:rPr>
          <w:rStyle w:val="FootnoteAnchor"/>
          <w:rtl w:val="true"/>
        </w:rPr>
        <w:footnoteReference w:id="1099"/>
      </w:r>
      <w:r>
        <w:rPr>
          <w:rFonts w:ascii="Amiri" w:hAnsi="Amiri" w:eastAsia="Amiri" w:cs="Amiri"/>
          <w:color w:val="111111"/>
          <w:sz w:val="28"/>
          <w:sz w:val="28"/>
          <w:szCs w:val="28"/>
          <w:rtl w:val="true"/>
          <w:lang w:bidi="ar-SA"/>
        </w:rPr>
        <w:t>لأنّ اللعان مساوٍ للبيّنة والإقرار من المرأة في سقوط الحدّ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 هنا أيضاً</w:t>
      </w:r>
      <w:r>
        <w:rPr>
          <w:rStyle w:val="FootnoteAnchor"/>
          <w:rtl w:val="true"/>
        </w:rPr>
        <w:footnoteReference w:id="1100"/>
      </w:r>
      <w:r>
        <w:rPr>
          <w:rFonts w:ascii="Amiri" w:hAnsi="Amiri" w:eastAsia="Amiri" w:cs="Amiri"/>
          <w:color w:val="111111"/>
          <w:sz w:val="28"/>
          <w:sz w:val="28"/>
          <w:szCs w:val="28"/>
          <w:rtl w:val="true"/>
          <w:lang w:bidi="ar-SA"/>
        </w:rPr>
        <w:t>لأنّ اللعان إنّما أسقط الحدّ الذي وجب عليها بلعانه، ولم يثبت زناها به ولا أقرّت ولا نكلت فمع القذف الثاني وجد موجب الحدّ؛ لعموم الآية</w:t>
      </w:r>
      <w:r>
        <w:rPr>
          <w:rStyle w:val="FootnoteAnchor"/>
          <w:rtl w:val="true"/>
        </w:rPr>
        <w:footnoteReference w:id="1101"/>
      </w:r>
      <w:r>
        <w:rPr>
          <w:rFonts w:ascii="Amiri" w:hAnsi="Amiri" w:eastAsia="Amiri" w:cs="Amiri"/>
          <w:color w:val="111111"/>
          <w:sz w:val="28"/>
          <w:sz w:val="28"/>
          <w:szCs w:val="28"/>
          <w:rtl w:val="true"/>
          <w:lang w:bidi="ar-SA"/>
        </w:rPr>
        <w:t>، واللعان المتقدّم لا يصلح لإسقاطه؛ لاستحالة تقدّم المسبّب على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يقذفها به الأجنبي فيجب عليه الحدّ، سواء كان قبل تلاعنهما أم بعده؛ لوجود المقتضي له وانتفاء المانع؛ إذ ليس إلّا تلاعن الزوجين وهو مفقود في طرف الأجنبي؛ لأنّه قاذف محض ولم يوجد له 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احتمل سقوطه عنه أيضاً؛ نظراً إلى أنّ لعان الزوج كإقامة البيّنة عليها بالزني، وهي مسقطة لإحصانها المقتضى لسقوط الحدّ عن قاذفها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وقيام اللعان مقام البيّنة مطلقاً ممنوع، وإنّما قام مقامها في سقوط الحدّ عن الزوج لا مطلقاً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 لو قذفها ،فأقرّت، ثمّ قذفها الزوج أو الأجنبي فلا حدّ لسقوط إحصانها باقرارها به كما يسقط بالبيّنة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التاسعة • لو شهد أربعة والزوج أحدهم، فيه روايتان، إحداهما ترجم المرأة، والأُخرى تحد، الشهود ويلاعن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فقهائنا من نزل ردّ الشهادة على اختلال بعض الشرائط أو سبق الزوج بالقذف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سقوط الحد، إقرارها به مرّةً واحدةً وإن لم يثبت عليها الحدّ بدون الأربع؛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 واختصاص حكم المتعدّد بثبوت الزني والإحصان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فرق في هذه الحالة بين قذفها بالزنیّة الأولى وبغيرها؛ لاشتراكهما في المقتضي، وهو</w:t>
      </w:r>
    </w:p>
    <w:p>
      <w:pPr>
        <w:pStyle w:val="BookText"/>
        <w:rPr/>
      </w:pPr>
      <w:r>
        <w:rPr>
          <w:rFonts w:ascii="IRNazanin" w:hAnsi="IRNazanin" w:eastAsia="IRNazanin"/>
          <w:color w:val="111111"/>
          <w:sz w:val="28"/>
          <w:sz w:val="28"/>
          <w:szCs w:val="28"/>
          <w:rtl w:val="true"/>
          <w:lang w:bidi="fa-IR"/>
        </w:rPr>
        <w:t>سقوط إحصانها بالإقرار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قذفها الزوج و لاعن فنكلت، ثمّ قذفها الأجنبي فهل يجب عليه الحدّ؟</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في كتابي الفروع</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عليه؛ لأنّ النكول كالبيّنة وهي مسقطة للحدّ؛ لأنّها مزيلة للإحصان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للأكثر ومنهم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الحد؛ 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يَرْمُونَ الْمُحْصَنَاتِ</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ويمنع زوال الإحصان بنكولها وقيامه مقام البيّنة مطلقاً وإن لزم به ما نكل عن الحلف عليه ظاهراً؛ لأنّ ذلك لعدم تخلّصها عن الدعوى باليمين لا لكونها أقرّت، ولأنّ اليمين محذورة فبالنكول عنها كما يحتمل حقّيّة المدّعي يحتمل قصد السلامة من محذور اليمين، والمزيل للإحصان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شهد أربعة والزوج أحدهم فيه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bookmarkStart w:id="335" w:name="pg10270_80343"/>
    </w:p>
    <w:p>
      <w:pPr>
        <w:pStyle w:val="BookText"/>
        <w:rPr/>
      </w:pPr>
      <w:bookmarkEnd w:id="335"/>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3860216_1067777946"/>
      <w:bookmarkStart w:id="337" w:name="_Toc122"/>
      <w:bookmarkEnd w:id="336"/>
      <w:r>
        <w:rPr>
          <w:rtl w:val="true"/>
        </w:rPr>
        <w:t>إذا شهد على المرأة بالزنى أربعة رجالٍ أحدهم الزوج</w:t>
      </w:r>
      <w:bookmarkEnd w:id="337"/>
    </w:p>
    <w:p>
      <w:pPr>
        <w:pStyle w:val="BookText"/>
        <w:rPr/>
      </w:pPr>
      <w:r>
        <w:rPr>
          <w:rFonts w:ascii="Amiri" w:hAnsi="Amiri" w:eastAsia="Amiri" w:cs="Amiri"/>
          <w:color w:val="111111"/>
          <w:sz w:val="28"/>
          <w:sz w:val="28"/>
          <w:szCs w:val="28"/>
          <w:rtl w:val="true"/>
          <w:lang w:bidi="ar-SA"/>
        </w:rPr>
        <w:t>إذا شهد على المرأة بالزنى أربعة رجالٍ أحدهم الزوج، ففي ثبوته عليها بشهادتهم قولان، منشؤهما اختلاف الروايتين، فذهب الأكثر ومنهم الشيخ</w:t>
      </w:r>
      <w:r>
        <w:rPr>
          <w:rStyle w:val="FootnoteAnchor"/>
          <w:rtl w:val="true"/>
        </w:rPr>
        <w:footnoteReference w:id="1105"/>
      </w:r>
      <w:r>
        <w:rPr>
          <w:rFonts w:ascii="Amiri" w:hAnsi="Amiri" w:eastAsia="Amiri" w:cs="Amiri"/>
          <w:color w:val="111111"/>
          <w:sz w:val="28"/>
          <w:sz w:val="28"/>
          <w:szCs w:val="28"/>
          <w:rtl w:val="true"/>
          <w:lang w:bidi="ar-SA"/>
        </w:rPr>
        <w:t>وابن إدريس</w:t>
      </w:r>
      <w:r>
        <w:rPr>
          <w:rStyle w:val="FootnoteAnchor"/>
          <w:rtl w:val="true"/>
        </w:rPr>
        <w:footnoteReference w:id="1106"/>
      </w:r>
      <w:r>
        <w:rPr>
          <w:rFonts w:ascii="IRNazanin" w:hAnsi="IRNazanin" w:eastAsia="IRNazanin"/>
          <w:color w:val="111111"/>
          <w:sz w:val="28"/>
          <w:sz w:val="28"/>
          <w:szCs w:val="28"/>
          <w:rtl w:val="true"/>
          <w:lang w:bidi="fa-IR"/>
        </w:rPr>
        <w:t xml:space="preserve">والمصنّف وأكثر المتأخّرين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قبول شهادة الزوج وثبوت الحدّ على المرأة لوجود المقتضي على ثبوت الزنى وهو شهادة أربعة عدولٍ وانتفاء المانع؛ لأنّ شهادة الزوج مقبولة لزوجته وعليها، ورواية إبراهيم بن نعيم عن الصادق علیه السلام أنّه سأله عن أربعة شهدوا على امرأة بالزني أحدهم زوجها،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شهادتهم</w:t>
      </w:r>
      <w:r>
        <w:rPr>
          <w:rFonts w:eastAsia="IRNazanin" w:cs="IRNazanin"/>
          <w:color w:val="111111"/>
          <w:sz w:val="28"/>
          <w:szCs w:val="28"/>
          <w:rtl w:val="true"/>
          <w:lang w:bidi="fa-IR"/>
        </w:rPr>
        <w:t>»</w:t>
      </w:r>
      <w:r>
        <w:rPr>
          <w:rStyle w:val="FootnoteAnchor"/>
          <w:rtl w:val="true"/>
        </w:rPr>
        <w:footnoteReference w:id="1107"/>
      </w:r>
      <w:r>
        <w:rPr>
          <w:rFonts w:ascii="Amiri" w:hAnsi="Amiri" w:eastAsia="Amiri" w:cs="Amiri"/>
          <w:color w:val="111111"/>
          <w:sz w:val="28"/>
          <w:sz w:val="28"/>
          <w:szCs w:val="28"/>
          <w:rtl w:val="true"/>
          <w:lang w:bidi="ar-SA"/>
        </w:rPr>
        <w:t>، ومعنى الجواز الصحّة، والصحيح ما يترتّب أثره عليه وهو ثبوت الحدّ على المشهود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الصدوق</w:t>
      </w:r>
      <w:r>
        <w:rPr>
          <w:rStyle w:val="FootnoteAnchor"/>
          <w:rtl w:val="true"/>
        </w:rPr>
        <w:footnoteReference w:id="1108"/>
      </w:r>
      <w:r>
        <w:rPr>
          <w:rFonts w:ascii="Amiri" w:hAnsi="Amiri" w:eastAsia="Amiri" w:cs="Amiri"/>
          <w:color w:val="111111"/>
          <w:sz w:val="28"/>
          <w:sz w:val="28"/>
          <w:szCs w:val="28"/>
          <w:rtl w:val="true"/>
          <w:lang w:bidi="ar-SA"/>
        </w:rPr>
        <w:t>، والقاضي ابن البراج</w:t>
      </w:r>
      <w:r>
        <w:rPr>
          <w:rStyle w:val="FootnoteAnchor"/>
          <w:rtl w:val="true"/>
        </w:rPr>
        <w:footnoteReference w:id="1109"/>
      </w:r>
      <w:r>
        <w:rPr>
          <w:rFonts w:ascii="IRNazanin" w:hAnsi="IRNazanin" w:eastAsia="IRNazanin"/>
          <w:color w:val="111111"/>
          <w:sz w:val="28"/>
          <w:sz w:val="28"/>
          <w:szCs w:val="28"/>
          <w:rtl w:val="true"/>
          <w:lang w:bidi="fa-IR"/>
        </w:rPr>
        <w:t>مع آخرين إلى الثاني؛ لرواية زرارة عن أحدهما علیهما السلام في أربعةٍ شهدوا على امرأة بالزني، أحدهم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يلاعن، ويجلد الآخرون</w:t>
      </w:r>
      <w:r>
        <w:rPr>
          <w:rFonts w:eastAsia="IRNazanin" w:cs="IRNazanin"/>
          <w:color w:val="111111"/>
          <w:sz w:val="28"/>
          <w:szCs w:val="28"/>
          <w:rtl w:val="true"/>
          <w:lang w:bidi="fa-IR"/>
        </w:rPr>
        <w:t>»</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جَاءُو عَلَيْهِ بِأَرْبَعَةِ شُهَدَاءَ</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 xml:space="preserve">إن جعل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القاذفين ومنهم الزوج، فإنّه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الإنسان بنفسه بمعنى أتى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والرواية الثانیّة ضعيفة السند بمحمد بن عيسى</w:t>
      </w:r>
      <w:r>
        <w:rPr>
          <w:rStyle w:val="FootnoteAnchor"/>
          <w:rtl w:val="true"/>
        </w:rPr>
        <w:footnoteReference w:id="1112"/>
      </w:r>
      <w:r>
        <w:rPr>
          <w:rFonts w:ascii="Amiri" w:hAnsi="Amiri" w:eastAsia="Amiri" w:cs="Amiri"/>
          <w:color w:val="111111"/>
          <w:sz w:val="28"/>
          <w:sz w:val="28"/>
          <w:szCs w:val="28"/>
          <w:rtl w:val="true"/>
          <w:lang w:bidi="ar-SA"/>
        </w:rPr>
        <w:t>، وإسماعيل بن خراش فإنّه مجهول</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 xml:space="preserve">وفي حاشية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التهذيب رواها موقوفةً على زرارة وهو ضعف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سهو من قلمه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الشيخ رواها مسندة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أُخلّ بشيء من ألفاظ اللعان الواجبة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حكم به حاكم لم ينفذ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والأولى موافقة للأصول، معتضدة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لَّهُمْ شُهَدَاءُ إِلَّا أَنفُسُهُم</w:t>
      </w:r>
      <w:r>
        <w:rPr>
          <w:rFonts w:eastAsia="Amiri" w:cs="Amiri" w:ascii="Amiri" w:hAnsi="Amiri"/>
          <w:color w:val="111111"/>
          <w:sz w:val="28"/>
          <w:szCs w:val="28"/>
          <w:rtl w:val="true"/>
          <w:lang w:bidi="ar-SA"/>
        </w:rPr>
        <w:t>»</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ظاهرها أنّه إذا كان غيره فلا لعان، وبقوله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وَاللَّاتِي يَأْتِينَ الْفَاحِشَةَ مِنْ نِسَائِكُمْ فَاسْتَشْهِدُوا عَلَيْهِنَّ أَرْبَعَةً مِنْكُمْ</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للحكّام وهم أعمّ من أن يكونوا غير الزوج أو معه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والشيخ حمل الرواية الثانیّة على اختلال بعض شرائط القبول</w:t>
      </w:r>
      <w:r>
        <w:rPr>
          <w:rStyle w:val="FootnoteAnchor"/>
          <w:rtl w:val="true"/>
        </w:rPr>
        <w:footnoteReference w:id="1117"/>
      </w:r>
      <w:r>
        <w:rPr>
          <w:rFonts w:ascii="Amiri" w:hAnsi="Amiri" w:eastAsia="Amiri" w:cs="Amiri"/>
          <w:color w:val="111111"/>
          <w:sz w:val="28"/>
          <w:sz w:val="28"/>
          <w:szCs w:val="28"/>
          <w:rtl w:val="true"/>
          <w:lang w:bidi="ar-SA"/>
        </w:rPr>
        <w:t>، وابن إدريس على سبق قذف الزوج</w:t>
      </w:r>
      <w:r>
        <w:rPr>
          <w:rStyle w:val="FootnoteAnchor"/>
          <w:rtl w:val="true"/>
        </w:rPr>
        <w:footnoteReference w:id="1118"/>
      </w:r>
      <w:r>
        <w:rPr>
          <w:rFonts w:ascii="Amiri" w:hAnsi="Amiri" w:eastAsia="Amiri" w:cs="Amiri"/>
          <w:color w:val="111111"/>
          <w:sz w:val="28"/>
          <w:sz w:val="28"/>
          <w:szCs w:val="28"/>
          <w:rtl w:val="true"/>
          <w:lang w:bidi="ar-SA"/>
        </w:rPr>
        <w:t>، وهو من جملة اختلال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بالحمل؛ لأنّه طريق الجمع حيث لا تطرح الرواية لضعفها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بن الجنيد قول ثالث بأنّ الزوجة إن كانت مدخولاً بها ردّت الشهادة وحدّوا ولاعن الزوج، وإلّا حدّت هي</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قصد الجمع بذلك أيضاً، وخص الردّ بحالة الدخول؛ لاشتمال روايته على لعان الزوج وهو مشروط بالدخول، فتعيّن حمل الأُخرى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لهذا بعد ضعف الرواية عن مقاومة أدلّة 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أُخلّ بشيء من ألفاظ اللعان الواجبة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نبّه بذلك على خلاف أبي حنيفة حيث ذهب إلى أنّ الحاكم إذا حكم بالفرقة بأكثر كلمات اللعان نفذ، وقام الأكثر مقام الجميع، وإن كان الحاكم مخطئاً في الحكم</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فرقة اللعان فسخ، وليست 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فإنّ الحكم حينئذٍ خطأ بالإجماع فلا ينفذ، كسائر الأحكام الباطلة باختلال بعض شروطها وأركانها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فرقة اللعان فسخ، وليست 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 في ذلك أبو حنيفة أيضاً، فجعلها فرقة طلاق</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تحصل بغير لفظ فضلاً عن لفظ الطلاق فكانت كفرقة الرضاع والردّة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عدم اشتراط جمعها لشرائط الطلاق من كون الزوجة طاهراً من الحيض طهراً لم يقربها فيه، إلى غير ذلك من شرائطه، وفيما لو علّق ظهار امرأة أخرى بطلاق هذه فلاعنها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تنصّف المهر لو كان قبل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نجوّزه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 فسخاً من جهتها؛ إذ لم تحصل الفرقة إلّا بلعانها، أو لا؛ نظراً إلى اشتراكهما في السبب الموجب؛ إذ هو اللعان من الجانبين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يثبت الجميع؛ لأنّ تنصّفه قبل الدخول مشروط بالطلاق أو بدليل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الجزء الرابع من كتاب مسالك الأفهام إلى تنقيح شرائع الإسلام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وفرغ من تسويده مصنّفه الفقير إلى الله تعالى زين الدين بن عليّ بن أحمد أواخر شهر جمادى الآخرة سنة ثلاث وستّين وتسعمائة حامداً مصلّياً مسلّماً</w:t>
      </w:r>
      <w:r>
        <w:rPr>
          <w:rStyle w:val="FootnoteAnchor"/>
          <w:rtl w:val="true"/>
        </w:rPr>
        <w:footnoteReference w:id="112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10270_80347"/>
      <w:bookmarkStart w:id="339" w:name="pg10270_80347"/>
      <w:bookmarkEnd w:id="339"/>
    </w:p>
    <w:p>
      <w:pPr>
        <w:pStyle w:val="Heading2"/>
        <w:numPr>
          <w:ilvl w:val="1"/>
          <w:numId w:val="1"/>
        </w:numPr>
        <w:rPr/>
      </w:pPr>
      <w:bookmarkStart w:id="340" w:name="pg10270_80347"/>
      <w:bookmarkStart w:id="341" w:name="__RefHeading___Toc3860218_1067777946"/>
      <w:bookmarkStart w:id="342" w:name="_Toc123"/>
      <w:bookmarkEnd w:id="340"/>
      <w:bookmarkEnd w:id="341"/>
      <w:r>
        <w:rPr>
          <w:rtl w:val="true"/>
        </w:rPr>
        <w:t>كتاب العتق</w:t>
      </w:r>
      <w:bookmarkEnd w:id="342"/>
    </w:p>
    <w:p>
      <w:pPr>
        <w:pStyle w:val="Heading3"/>
        <w:numPr>
          <w:ilvl w:val="2"/>
          <w:numId w:val="1"/>
        </w:numPr>
        <w:rPr/>
      </w:pPr>
      <w:bookmarkStart w:id="343" w:name="__RefHeading___Toc3860220_1067777946"/>
      <w:bookmarkStart w:id="344" w:name="_Toc124"/>
      <w:bookmarkEnd w:id="343"/>
      <w:r>
        <w:rPr>
          <w:rtl w:val="true"/>
        </w:rPr>
        <w:t>فضيلة العتق</w:t>
      </w:r>
      <w:bookmarkEnd w:id="3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فضله متّفق عليه، حتّى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مؤمناً أعتق الله بكلّ عضو منه عضواً 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كتاب العتق</w:t>
      </w:r>
    </w:p>
    <w:p>
      <w:pPr>
        <w:pStyle w:val="BookText"/>
        <w:rPr/>
      </w:pPr>
      <w:r>
        <w:rPr>
          <w:rFonts w:ascii="Amiri" w:hAnsi="Amiri" w:eastAsia="Amiri" w:cs="Amiri"/>
          <w:color w:val="111111"/>
          <w:sz w:val="28"/>
          <w:sz w:val="28"/>
          <w:szCs w:val="28"/>
          <w:rtl w:val="true"/>
          <w:lang w:bidi="ar-SA"/>
        </w:rPr>
        <w:t>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الخلوص</w:t>
      </w:r>
      <w:r>
        <w:rPr>
          <w:rStyle w:val="FootnoteAnchor"/>
          <w:rtl w:val="true"/>
        </w:rPr>
        <w:footnoteReference w:id="1123"/>
      </w:r>
      <w:r>
        <w:rPr>
          <w:rFonts w:ascii="Amiri" w:hAnsi="Amiri" w:eastAsia="Amiri" w:cs="Amiri"/>
          <w:color w:val="111111"/>
          <w:sz w:val="28"/>
          <w:sz w:val="28"/>
          <w:szCs w:val="28"/>
          <w:rtl w:val="true"/>
          <w:lang w:bidi="ar-SA"/>
        </w:rPr>
        <w:t>، ومنه سمّي البيت الشريف عتيقاً، و الخيل الجياد عتاقاً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خلوص المملوك الآدمي أو بعضه من الرقّ بالنسبة إلى مطلق العتق، و بالنسبة إلى المباشرة التي هي مقصود الكتاب الذاتي، تخلّص الآدمي أو بعضه من الرقّ منجّزاً  بصيغة مخصوصة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فضله متّفق عليه، حتّى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أعتق مؤمناً أعتق الله بکلّ عضو منه عضواً له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 أهل الإسلام على فضيلة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الرواية التي أشار إليها رواها الخاصّة و العامّة عنه صلّی الله علیه و آله و سلّم لكن بعبارات مختلفة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أعتق مسلماً أعتق الله العزيز الجبّار بکلّ عضو منه عضواً من النار</w:t>
      </w:r>
      <w:r>
        <w:rPr>
          <w:rFonts w:eastAsia="IRNazanin" w:cs="IRNazanin"/>
          <w:color w:val="111111"/>
          <w:sz w:val="28"/>
          <w:szCs w:val="28"/>
          <w:rtl w:val="true"/>
          <w:lang w:bidi="fa-IR"/>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بإسناده عن إبراهيم بن أبي البلاد، عن أبيه مرسلاً،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مؤمناً أعتق الله العزيز الجبّار بكلّ عضو له عضواً منه من النار، فإن كانت أنثى أعتق الله العزيز الجبّار بكلّ عضوين منها عضواً من النار؛ لأنّ المرأة نصف الرجل</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الصحيح عن حفص بن البختري عن أبي عبد الله جعفر بن محمد علیه السلام  أنّه قال في الرجل يعتق المملوك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يعتق بكلّ عضو منه عضواً من النار</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فهذه جملة ألفاظ الرواية على اختلافها من طرق الأصحاب، و ليس فيها اللفظ الذي نقله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نقلها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 المؤمن إمّا لأنّ المراد به المسلم كما في الرواية الصحيحة، أو حمل المطلق على المقيّد كما يحمل لفظ المملوك في الرواية الأُخرى على المسلم أو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إبقاء كلّ واحد من الثلاثة على أصله، و حصول الثواب المذكور على عتق كلّ مملوك مؤمن أو مسلم أو مطلقاً، ذكراً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يخصّ ذلك بالذكر بقرينة تذكير لفظه، و تقييده بما في الرواية الأُخرى، إلّا أنّ تقييد الصحيح بالمرسل لايخلو من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العامّة في الصحيحين أنه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رجل أعتق امرءاً مسلماً استنقذ الله تعالى بکلّ عضو منه عضواً منه من النار حتّى الفرج بالفرج</w:t>
      </w:r>
      <w:r>
        <w:rPr>
          <w:rFonts w:eastAsia="IRNazanin" w:cs="IRNazanin"/>
          <w:color w:val="111111"/>
          <w:sz w:val="28"/>
          <w:szCs w:val="28"/>
          <w:rtl w:val="true"/>
          <w:lang w:bidi="fa-IR"/>
        </w:rPr>
        <w:t>»</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الرواية التقييد بالإسلام و كون المعتق رجلاً؛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فلايتناول الأنثى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بعض ألفاظ رواياتهم عنه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أعتق رقبةً أعتق الله بکلّ عضو منها عضواً منه من النار حتّى فرجها بفرجه</w:t>
      </w:r>
      <w:r>
        <w:rPr>
          <w:rFonts w:eastAsia="IRNazanin" w:cs="IRNazanin"/>
          <w:color w:val="111111"/>
          <w:sz w:val="28"/>
          <w:szCs w:val="28"/>
          <w:rtl w:val="true"/>
          <w:lang w:bidi="fa-IR"/>
        </w:rPr>
        <w:t>»</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شاملة للذكر والأُنثى المسلم وغيره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الرقّ بأهل الحرب، دون اليهود و النصارى و المجوس القائمين بشرائط الذمّة، و لو أخلّوا دخلوا في قسم أهل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ممّا يدلّ على فضيلة العتق جعل الله تعالى إيَّاه كفّارة لقتل المؤمن</w:t>
      </w:r>
      <w:r>
        <w:rPr>
          <w:rStyle w:val="FootnoteAnchor"/>
          <w:rtl w:val="true"/>
        </w:rPr>
        <w:footnoteReference w:id="1129"/>
      </w:r>
      <w:r>
        <w:rPr>
          <w:rFonts w:ascii="Amiri" w:hAnsi="Amiri" w:eastAsia="Amiri" w:cs="Amiri"/>
          <w:color w:val="111111"/>
          <w:sz w:val="28"/>
          <w:sz w:val="28"/>
          <w:szCs w:val="28"/>
          <w:rtl w:val="true"/>
          <w:lang w:bidi="ar-SA"/>
        </w:rPr>
        <w:t>، و الوطء في رمضان</w:t>
      </w:r>
      <w:r>
        <w:rPr>
          <w:rStyle w:val="FootnoteAnchor"/>
          <w:rtl w:val="true"/>
        </w:rPr>
        <w:footnoteReference w:id="1130"/>
      </w:r>
      <w:r>
        <w:rPr>
          <w:rFonts w:ascii="Amiri" w:hAnsi="Amiri" w:eastAsia="Amiri" w:cs="Amiri"/>
          <w:color w:val="111111"/>
          <w:sz w:val="28"/>
          <w:sz w:val="28"/>
          <w:szCs w:val="28"/>
          <w:rtl w:val="true"/>
          <w:lang w:bidi="ar-SA"/>
        </w:rPr>
        <w:t>، و للآثم في مخالفة الله تعالى فيما عاهده عليه و نَذَره و حلف عليه</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جعله النبيّ صلّى الله عليه و آله و سلّم موجباً للعتق من النار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أعتق رجلاً مسلماً كان فكاكه من النار</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يخلّص الآدمي المعصوم الدم من ضرر الرقّ، و يملكه منافعه، و يكمل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يختصّ الرقّ بأهل الحرب، دون اليهود و النصارى و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بأهل الحرب من يجوز قتالهم و محاربتهم إلى أن يسلموا، سواء انحصرت الغاية في إسلامهم كمن عدا اليهود و النصارى و المجوس من فرق الكفّار، أم كان الإسلام أحد الغايتين كالفرق الثلاث، فإنّهم يقاتَلون إلى أن يسلموا أو يلتزموا بشرائط الذمّة من الجزية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شمول أهل الحرب لمن ذكر أشار المصنّف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أخلّوا دخلوا في قسم أهل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أطلق كثير من الفقهاء أهل الحرب على القسم الأوّل خاصّةً، و إن جاز قتال القسم الثاني في الجملة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على هذا في التسمية أنّهم ليس لهم ما داموا على الكفر إلّا الحرب، لاتقبل منهم فدية إلى أن يسلموا بخلاف الفرق الثلاث، فإنّهم قد يحرم حربهم إذا التزموا بشرائط الذمّة، فلم يكونوا أهل حرب من حيث هم كفّار من إحدى الفرق الثلاث، بل من جهة عدم التزامهم بأحد الأمرين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أقرّ على نفسه بالرقّ مع جهالة حرّيّته حكم برقّه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الاعتبارين، فالمراد بأهل الحرب بالنسبة إلى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جواز استرقاقهم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الأعمّ، للاتفاق على جواز استرقاق من عدا الفرق الثلاث الملتزمين بشرائط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جواز استرقاقهم بين أن ينصبوا الحرب للمسلمين و يشتغلوا بأمرهم أو يكونوا تحت حكم الإسلام و قهره كمن بين المسلمين من عبدة الأوثان و النيران و الغلاة و غيرهم، إلّا أن يكونوا مهادنين للمسلمين بشرائطها المقرّرة في كتاب الجهاد، فيجب حينئذٍ الكفّ عنهم إلى انقضاء المدّة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أقرّ على نفسه بالرقّ مع جهالة حرّيّته حكم برقه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في نفوذ إقراره كونه بالغاً عاقلاً كما هو المعتبر في قبول الإقرار مطلقاً، و إنّما أهمل اشتراطه استسلافاً لذكره في كتاب البيع</w:t>
      </w:r>
      <w:r>
        <w:rPr>
          <w:rStyle w:val="FootnoteAnchor"/>
          <w:rtl w:val="true"/>
        </w:rPr>
        <w:footnoteReference w:id="1133"/>
      </w:r>
      <w:r>
        <w:rPr>
          <w:rFonts w:ascii="Amiri" w:hAnsi="Amiri" w:eastAsia="Amiri" w:cs="Amiri"/>
          <w:color w:val="111111"/>
          <w:sz w:val="28"/>
          <w:sz w:val="28"/>
          <w:szCs w:val="28"/>
          <w:rtl w:val="true"/>
          <w:lang w:bidi="ar-SA"/>
        </w:rPr>
        <w:t>، و لكونه قاعدة معلومة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يعتبر مع ذلك رشده؟ الأكثر و منهم المصنّف على عدم اعتباره؛ لأنّ السفه إنّما يمنع من التصرّف المالي و الإقرار بالرقّيّة ليس إقراراً بمال؛ لأنّه قبل الإقرار محكوم بحرّيّته ظاهراً فيكون إقراره مسموعاً، و لعموم صحيحة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كلّهم أحرار إلّا من أقرّ على نفسه بالعبوديّة و هو مدرك من عبد أو أمة</w:t>
      </w:r>
      <w:r>
        <w:rPr>
          <w:rFonts w:eastAsia="IRNazanin" w:cs="IRNazanin"/>
          <w:color w:val="111111"/>
          <w:sz w:val="28"/>
          <w:szCs w:val="28"/>
          <w:rtl w:val="true"/>
          <w:lang w:bidi="fa-IR"/>
        </w:rPr>
        <w:t>»</w:t>
      </w:r>
      <w:r>
        <w:rPr>
          <w:rStyle w:val="FootnoteAnchor"/>
          <w:rtl w:val="true"/>
        </w:rPr>
        <w:footnoteReference w:id="1134"/>
      </w:r>
      <w:r>
        <w:rPr>
          <w:rFonts w:ascii="Amiri" w:hAnsi="Amiri" w:eastAsia="Amiri" w:cs="Amiri"/>
          <w:color w:val="111111"/>
          <w:sz w:val="28"/>
          <w:sz w:val="28"/>
          <w:szCs w:val="28"/>
          <w:rtl w:val="true"/>
          <w:lang w:bidi="ar-SA"/>
        </w:rPr>
        <w:t>فاعتبر البلوغ و لم يعتبر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الرشد</w:t>
      </w:r>
      <w:r>
        <w:rPr>
          <w:rStyle w:val="FootnoteAnchor"/>
          <w:rtl w:val="true"/>
        </w:rPr>
        <w:footnoteReference w:id="1135"/>
      </w:r>
      <w:r>
        <w:rPr>
          <w:rFonts w:ascii="Amiri" w:hAnsi="Amiri" w:eastAsia="Amiri" w:cs="Amiri"/>
          <w:color w:val="111111"/>
          <w:sz w:val="28"/>
          <w:sz w:val="28"/>
          <w:szCs w:val="28"/>
          <w:rtl w:val="true"/>
          <w:lang w:bidi="ar-SA"/>
        </w:rPr>
        <w:t>لأنّ إقراره وإن لم يتعلّق بمال ابتداءً لكنّه كشف عن كونه مالاً قبل الإقرار، فإنّه إخبار عن حقّ سابقٍ عليه لا إنشاء من حينه؛ لإمكان أن يكون بيده مال، فإنّ إقراره على نفسه يستتبع ماله فيكون إقراراً بمال محض و لو بالتبعيّة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يضعّف الأوّل بأنّ ذلك لو منع قبول الإقرار لأدّى إلى قبوله؛ لأنّه إذا لم يقبل بقي على أصل الحرّيّة فينفذ إقراره فيصير مالاً فيردّ، فيصير حرّاً، و ذلك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المال جاز دخوله </w:t>
      </w:r>
      <w:bookmarkStart w:id="345" w:name="pg10270_80351"/>
    </w:p>
    <w:p>
      <w:pPr>
        <w:pStyle w:val="Heading3"/>
        <w:numPr>
          <w:ilvl w:val="2"/>
          <w:numId w:val="1"/>
        </w:numPr>
        <w:rPr/>
      </w:pPr>
      <w:bookmarkStart w:id="346" w:name="__RefHeading___Toc3860222_1067777946"/>
      <w:bookmarkStart w:id="347" w:name="_Toc125"/>
      <w:bookmarkEnd w:id="345"/>
      <w:bookmarkEnd w:id="346"/>
      <w:r>
        <w:rPr>
          <w:rtl w:val="true"/>
        </w:rPr>
        <w:t>من يجوز استرقاقه</w:t>
      </w:r>
      <w:bookmarkEnd w:id="3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الملتَقط في دار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تبعاً وإن لم يقبل الإقرار به مستقلّاً، كما لو استلحق واجب النفقة، فقد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ينفق عليه من ماله باعتبار كونه تابعاً لا أصلاً، أو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في الرقّيّة دون المال؛ لوجود المانع فيه دونها كما سمع في الإقرار بالزوجة دون المهر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حيث يقبل إقراره لايقبل رجوعه بعد ذلك؛ لاشتماله على تكذيب كلامه السابق، و رفع ما ثبت عليه بغير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أقام بيّنةً لم تسمع؛ لأنّه قد كذّبها بإقراره السابق، إلّا أن يظهر لإقراره تأويلاً يدفع التناقض فيقوى القبول،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أعلم بأنّى تولّدت بعد إعتاق أحد الأبوين فأقررت بالرقّ ثمّ ظهر لي سبق العتق على الإقرار بالبيّنة أو الشياع المفيد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أنكر المقرّ له رقّيّته بقي على الرقّيّة المجهولة، و يتّجه حينئذٍ جواز رجوعه؛ لأنّه مال لايدّعيه أحد، و إقراره السابق قد سقط اعتباره بردّ المقرّ له، فإذا لم يصر حرّاً بذلك لا أقلّ من سماع دعواه الحرّيّة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قبول الإقرار الثاني مطلقاً استلزام إقراره الأوّل كونه رقّاً، و إقرار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تكذيب المقرّ له لايرفع صحّة الإقرار في نفس الأمر، و إنّما ينتفي عنه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صار رقّاً بإقراره لاينفذ إقراره بعد ذلك؛ لأنّه حينئذٍ ممنوع من التصرّف المترتّب على الحرّيّة و لو لم يكن قد عيّن المقرّ له ابتداءً ثمّ رجع و أظهر تأويلاً محتملاً فأولى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الملتقط في دار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يجوز استرقاقه، كما يجوز استرقاق أهل الحرب تبعاً للدار، لا أنّه يحكم بكونه رقّاً بمجرّد وجوده في دار الحرب؛ لأنّه لايقصر عن كونه من جملة ذراريهم و هم لايملكون إلّا بالتملّك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يجوز استرقاق اللقيط في دار الحرب إذا لم يكن فيها مسلم يمكن تولّده منه عادةً،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ذكراً كان المسلم أم أُنثى، و إلّا حكم بإسلامه و حرّيّته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اشترى إنسان من حربي ولده أو زوجته أو إحدى ذوي أرحامه كان جائزاً و ملكه؛ إذ هم فيء في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يستوي سبي المؤمنين و الضلّال في استباحة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اشترى انسان من حربي ولده أو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كان تملكّ أهل الحرب جائزاً للمسلم مطلقاً جاز التوصّل إليه بکلّ سبب و منه شراؤه ممّن يعينه على الاستقلال به، سواء كان البائع أباً أم زوجاً أم غيرهما من الأرحام، و ليس هذا في الحقيقة بيعاً حقيقيّاً، و إنّما هو وسيلة إلى وصول المسلم إلى حقّه، فلاتلحقه أحكام البيع، و لايشترط فيه شرائطه، و إنّما السبب المملّك له القهر و الاستيلاء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الدروس جوّز للمسلم الردّ بالعيب و أخذ الأرش</w:t>
      </w:r>
      <w:r>
        <w:rPr>
          <w:rStyle w:val="FootnoteAnchor"/>
          <w:rtl w:val="true"/>
        </w:rPr>
        <w:footnoteReference w:id="1136"/>
      </w:r>
      <w:r>
        <w:rPr>
          <w:rFonts w:ascii="Amiri" w:hAnsi="Amiri" w:eastAsia="Amiri" w:cs="Amiri"/>
          <w:color w:val="111111"/>
          <w:sz w:val="28"/>
          <w:sz w:val="28"/>
          <w:szCs w:val="28"/>
          <w:rtl w:val="true"/>
          <w:lang w:bidi="ar-SA"/>
        </w:rPr>
        <w:t>نظراً إلى أنّه وإن لم يكن بيعاً حقيقيّاً لكنّه إنّما بذل العوض في مقابلته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الأرش عوض الجزء الفائت في المبيع و لامبيع هنا، و بأنّه قد ملكه بالاستيلاء فكيف يبطل ملكه بمجرّد الردّ؟ و ليس من الأسباب الناقلة للملك شرعاً في غير المبيع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الإشكال بأنّ قدوم الحربي على البيع التزام بأحكام البيع التي من جملتها الردّ بالعيب أو أخذ أرشه، فردّه عليه ينزّل منزلة الإعراض عن المال و الثمن، غايته أن يكون قد صار ملكاً للحربي، و التوصّل إلى أخذه جائز بكلّ سبب و هذا منه، بل أولى؛ لأنّه مقتضى حكم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کلّه يتمّ إذا لم يكن مال الحربي معصوماً، بأن دخل إلى دار الإسلام بأمان، فلايجوز أخذ ماله بغير سببٍ مبيحٍ له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حينئذٍ يتّجه صحّة البيع و لزوم أحكامه التي من جملتها جواز ردّه معيباً و أخذ أرشه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ويستوي سبي المؤمنين و الضلّال في استباحة الرقّ</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بالضلّال ما يشمل المسلمين منهم و الكافرين، فلو سبی کافر مثله ملکه و جاز </w:t>
      </w:r>
      <w:bookmarkStart w:id="348" w:name="pg10270_80353"/>
    </w:p>
    <w:p>
      <w:pPr>
        <w:pStyle w:val="Heading3"/>
        <w:numPr>
          <w:ilvl w:val="2"/>
          <w:numId w:val="1"/>
        </w:numPr>
        <w:rPr/>
      </w:pPr>
      <w:bookmarkStart w:id="349" w:name="__RefHeading___Toc3860224_1067777946"/>
      <w:bookmarkStart w:id="350" w:name="_Toc126"/>
      <w:bookmarkEnd w:id="348"/>
      <w:bookmarkEnd w:id="349"/>
      <w:r>
        <w:rPr>
          <w:rtl w:val="true"/>
        </w:rPr>
        <w:t>أسباب إزالة الرقّ</w:t>
      </w:r>
      <w:r>
        <w:rPr>
          <w:rtl w:val="true"/>
        </w:rPr>
        <w:t>:</w:t>
      </w:r>
      <w:bookmarkEnd w:id="350"/>
    </w:p>
    <w:p>
      <w:pPr>
        <w:pStyle w:val="Heading4"/>
        <w:numPr>
          <w:ilvl w:val="3"/>
          <w:numId w:val="1"/>
        </w:numPr>
        <w:rPr/>
      </w:pPr>
      <w:bookmarkStart w:id="351" w:name="__RefHeading___Toc3860226_1067777946"/>
      <w:bookmarkStart w:id="352" w:name="_Toc127"/>
      <w:bookmarkEnd w:id="351"/>
      <w:r>
        <w:rPr>
          <w:rtl w:val="true"/>
        </w:rPr>
        <w:t>اشارة</w:t>
      </w:r>
      <w:bookmarkEnd w:id="3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وإزالة الرقّ تكون بأسباب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و السراية، و الملك، و العوارض</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3860228_1067777946"/>
      <w:bookmarkStart w:id="354" w:name="_Toc128"/>
      <w:bookmarkEnd w:id="353"/>
      <w:r>
        <w:rPr>
          <w:rtl w:val="true"/>
        </w:rPr>
        <w:t>العتق بالمباشرة</w:t>
      </w:r>
      <w:bookmarkEnd w:id="354"/>
    </w:p>
    <w:p>
      <w:pPr>
        <w:pStyle w:val="Heading5"/>
        <w:numPr>
          <w:ilvl w:val="4"/>
          <w:numId w:val="1"/>
        </w:numPr>
        <w:rPr/>
      </w:pPr>
      <w:bookmarkStart w:id="355" w:name="__RefHeading___Toc3860230_1067777946"/>
      <w:bookmarkStart w:id="356" w:name="_Toc129"/>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أمّا المباشرة فالعتق، و الكتابة، و التدبير</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3860232_1067777946"/>
      <w:bookmarkStart w:id="358" w:name="_Toc130"/>
      <w:bookmarkEnd w:id="357"/>
      <w:r>
        <w:rPr>
          <w:rtl w:val="true"/>
        </w:rPr>
        <w:t>صيغة العتق</w:t>
      </w:r>
      <w:bookmarkEnd w:id="3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العتق فعبارته الصريحة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لایصحّ بما 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صريحاً كان أو كنايةً و لو قصد به العتق،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فککت رقبتك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سائبة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شراؤه منه، و كان الكلام في شرائه منه كالكلام في شراء ولده و زوجته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كان كافراً ذمّيّاً أو مسلماً مبدعاً فلا إشكال في تملّكه، و قد أباح الأئمة علیهم السلام لشراء ذلك منهم و غيره من ضروب التملّكات</w:t>
      </w:r>
      <w:r>
        <w:rPr>
          <w:rStyle w:val="FootnoteAnchor"/>
          <w:rtl w:val="true"/>
        </w:rPr>
        <w:footnoteReference w:id="1137"/>
      </w:r>
      <w:r>
        <w:rPr>
          <w:rFonts w:ascii="Amiri" w:hAnsi="Amiri" w:eastAsia="Amiri" w:cs="Amiri"/>
          <w:color w:val="111111"/>
          <w:sz w:val="28"/>
          <w:sz w:val="28"/>
          <w:szCs w:val="28"/>
          <w:rtl w:val="true"/>
          <w:lang w:bidi="ar-SA"/>
        </w:rPr>
        <w:t>، و إن كان للإمام كلّه أو بعضه من غير اشتراط إخراج الحصّة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إزالة الرقّ تكون بأسباب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بالسبب المزيل للرقّ هنا ما يشمل التامّ و الناقص، فإنّ من هذه الأسباب ما يكفي في إزالة الرقّ، كالإعتاق بالصيغة و شراء القريب و التنكيل و الجذام و الإقعاد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يتوقّف على أمر آخر ، كالكتابة؛ لتوقّفها على أداء المال، و التدبير؛ لتوقّفه على موت من علّق عتقه على موته، و الاستيلاد؛ لتوقّفه على موت المولى أيضاً، و موت المورّث؛ لتوقّفه على دفع القيمة إلى مالكه، و غير ذلك ممّا يفصل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العتق فعبارته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الإعتاق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لوقوع العتق من صيغة تدلّ عليه، كغيره من الأحكام المتوقّف وقوعها على الصيغ الخاصّة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اتّفق الأصحاب على وقوعه بالتحرير، 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استعملت هذه اللفظة فيه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واتّفقوا أيضاً على عدم وقوعه بالكنايات المحتملة له و لغيره و إن قصده بها،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فككت رقبتك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سبيل 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اختلفوا في لفظ الإعتاق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الشكّ في كونه صريحاً فيه أو كنايةً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الأصحّ القطع بوقوعه به؛ لدلالته عليه لغةً و عرفاً و شرعاً، بل استعماله فيه أكثر من التحرير كما لايخفى على من اطّلع على عبارات الفقهاء و كلام النبي صلّى الله عليه و آله و سلّم و الأئمة علیهم السلام و صيغهم و محاوراتهم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منه ما لو قال لأمته</w:t>
      </w:r>
      <w:r>
        <w:rPr>
          <w:rStyle w:val="FootnoteAnchor"/>
          <w:rtl w:val="true"/>
        </w:rPr>
        <w:footnoteReference w:id="1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أعتقتك و تزوّجتك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عتق إلّا ما أُريد به وجه الله تعالى</w:t>
      </w:r>
      <w:r>
        <w:rPr>
          <w:rFonts w:eastAsia="IRNazanin" w:cs="IRNazanin"/>
          <w:color w:val="111111"/>
          <w:sz w:val="28"/>
          <w:szCs w:val="28"/>
          <w:rtl w:val="true"/>
          <w:lang w:bidi="fa-IR"/>
        </w:rPr>
        <w:t>»</w:t>
      </w:r>
      <w:r>
        <w:rPr>
          <w:rStyle w:val="FootnoteAnchor"/>
          <w:rtl w:val="true"/>
        </w:rPr>
        <w:footnoteReference w:id="1140"/>
      </w:r>
      <w:r>
        <w:rPr>
          <w:rFonts w:ascii="Amiri" w:hAnsi="Amiri" w:eastAsia="Amiri" w:cs="Amiri"/>
          <w:color w:val="111111"/>
          <w:sz w:val="28"/>
          <w:sz w:val="28"/>
          <w:szCs w:val="28"/>
          <w:rtl w:val="true"/>
          <w:lang w:bidi="ar-SA"/>
        </w:rPr>
        <w:t>، و غير ذلك</w:t>
      </w:r>
      <w:r>
        <w:rPr>
          <w:rStyle w:val="FootnoteAnchor"/>
          <w:rtl w:val="true"/>
        </w:rPr>
        <w:footnoteReference w:id="1141"/>
      </w:r>
      <w:r>
        <w:rPr>
          <w:rFonts w:ascii="Amiri" w:hAnsi="Amiri" w:eastAsia="Amiri" w:cs="Amiri"/>
          <w:color w:val="111111"/>
          <w:sz w:val="28"/>
          <w:sz w:val="28"/>
          <w:szCs w:val="28"/>
          <w:rtl w:val="true"/>
          <w:lang w:bidi="ar-SA"/>
        </w:rPr>
        <w:t>ممّا لايحتاج إلى تعداد لكثرته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تردّده في وقوعه بالإعتاق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لایصحّ بما عدا 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إمّا رجوع عن التردّد إلى الجزم بعدم وقوعه بلفظ العتق، أو متجوّز في إرادة ما عدا الصيغتين المذكورتين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صريحاً كان أو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وجود صيغة أُخرى صريحة فيه و لايقع بها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فسّرها العلّامة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 الرقبة، و إزالة قيد الملك</w:t>
      </w:r>
      <w:r>
        <w:rPr>
          <w:rFonts w:eastAsia="Amiri" w:cs="Amiri" w:ascii="Amiri" w:hAnsi="Amiri"/>
          <w:color w:val="111111"/>
          <w:sz w:val="28"/>
          <w:szCs w:val="28"/>
          <w:rtl w:val="true"/>
          <w:lang w:bidi="ar-SA"/>
        </w:rPr>
        <w:t>»</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صراحتهما نظر، و إن استعملت الأولى فيه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 xml:space="preserve">، فإنّ الاستعمال أعمّ من الصريح بل من الحقيقة، كما استعمل الطلاق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لأمته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العتق، ففى تحريرها تردّد، و الأشبه عدم التحرير؛ لبعده عن شبه 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أَوْفَارِقُوهُنَّ بِمَعْرُوفٍ</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 و لم يجعلوهما صريحين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سلّمنا كونهما صريحين فيه لالتزمنا بوقوعه بهما؛ لعدم المانع منه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 يطلق كذلك على الذكر و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تكرّر في الحديث ذكر السائبة و السوائب، كان الرجل إذا أعتق عبداً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سائبة، فلا عقل بينهما و لا ميراث</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 لأمته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حرّة، و قصد العتق ففي تحريرها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لأمته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لعبده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النداء باسمه الموضوع قبل ذلك، أو أحدث له ذلك الاسم وناداه به لم يعتق قطعاً، لعدم المقتضي؛ إذا اللفظ غير صريح، و القصد غيرحاصل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قصد به العتق ففي وقوعه وجهان أو قولان</w:t>
      </w:r>
      <w:r>
        <w:rPr>
          <w:rStyle w:val="FootnoteAnchor"/>
          <w:rtl w:val="true"/>
        </w:rPr>
        <w:footnoteReference w:id="1147"/>
      </w:r>
      <w:r>
        <w:rPr>
          <w:rFonts w:ascii="Amiri" w:hAnsi="Amiri" w:eastAsia="Amiri" w:cs="Amiri"/>
          <w:color w:val="111111"/>
          <w:sz w:val="28"/>
          <w:sz w:val="28"/>
          <w:szCs w:val="28"/>
          <w:rtl w:val="true"/>
          <w:lang w:bidi="ar-SA"/>
        </w:rPr>
        <w:t>، منشؤهما أنّ حرف الإشارة إلى المملوك غير معتبرٍ بخصوصه، وإنّما الغرض به تمييزه و هو حاصل بالنداء، و صيغة التحرير حاصلة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في معناه، و من بُعد النداءِ عن شبه الإنشاء؛ لأنّ الأصل فيه عرفاً صيغة الإخبار باللفظ الماضي أو الجملة الاسميّة في بعض الموارد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استعمال النداء فيه أن يكون كناية و العتق لايقع بها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أشبه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أوقعه بالكناية من العامّة</w:t>
      </w:r>
      <w:r>
        <w:rPr>
          <w:rStyle w:val="FootnoteAnchor"/>
          <w:rtl w:val="true"/>
        </w:rPr>
        <w:footnoteReference w:id="1148"/>
      </w:r>
      <w:r>
        <w:rPr>
          <w:rFonts w:ascii="Amiri" w:hAnsi="Amiri" w:eastAsia="Amiri" w:cs="Amiri"/>
          <w:color w:val="111111"/>
          <w:sz w:val="28"/>
          <w:sz w:val="28"/>
          <w:szCs w:val="28"/>
          <w:rtl w:val="true"/>
          <w:lang w:bidi="ar-SA"/>
        </w:rPr>
        <w:t>قطع بوقوعه بالنداء بقصد الإعتاق قطعاً، و مع الإطلاق أو قصد النداء بالاسم على خلاف، بمعنى أنّه لايقبل منه دعوى النداء ظاهراً على أحد الوجهين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اسمها حرّةً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الإخبار لم تنعتق، وإن قصد الإنشاء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جهل منه الأمران و لم يمكن الاستعلام لم يحكم بالحرّيّة؛ لعدم اليقين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تردّد، منشؤه التوقّف بين العمل بحقيقة اللفظ، و التمسّك بالاحتمال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اسمها حرّةً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الإخبار لم تنعتق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اسمها حرّةً أو اسمه حرّاً أو عتيقاً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الإنشاء فلا شبهة في وقوعه؛ لأنّه لفظ صريح فيه و قد انضمّ إليه القصد فكان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قصد الإخبار باسمه دون الإنشاء لم يقع العتق باطناً قطعاً، و يقبل قوله في عدم قصد العتق ظاهراً؛ لأنّ اللفظ مشترك بين المعنيين فيرجع إليه في صرفه إلى أحدهما كما في كلّ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لو كان اسمها طالق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يعلم قصده رجع إليه فيه و قبل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اشتبه الحال بموته أو غيره ففي الحكم بعتقه وجهان، من أنّ اللفظ صريح فيه و الصريح لايحتاج إلى الإخبار عن قصده كما قد علم، و من خروجه عن الصراحة باحتمال إرادة الإخبار عن الاسم، و مع قيام الاحتمال يستصحب حكم بقاء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أولى إن لم تحصل قرينة خارجيّة ترجّح جانب الإنشاء، فإنّ ترجيحه بحسب حال اللفظ قريب الأمر، فإن انضمّ إليه قرينة أُخرى زاده قوّةً، و كان العمل به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اسمها حرَّةً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أنّها عفيفة، أو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العفيف أو كريم الأخلاق، ففى قبوله منه وجهان، من احتمال الأمرين فلايعلم ذلك إلّا من جهته فيقبل قوله في إرادته، و به قطع في القواعد</w:t>
      </w:r>
      <w:r>
        <w:rPr>
          <w:rStyle w:val="FootnoteAnchor"/>
          <w:rtl w:val="true"/>
        </w:rPr>
        <w:footnoteReference w:id="1149"/>
      </w:r>
      <w:r>
        <w:rPr>
          <w:rFonts w:ascii="IRNazanin" w:hAnsi="IRNazanin" w:eastAsia="IRNazanin"/>
          <w:color w:val="111111"/>
          <w:sz w:val="28"/>
          <w:sz w:val="28"/>
          <w:szCs w:val="28"/>
          <w:rtl w:val="true"/>
          <w:lang w:bidi="fa-IR"/>
        </w:rPr>
        <w:t>، ومن أنّه خلاف الظاهر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إشكال هنا في الحكم بالعتق لو لم يدّع إرادة خلافه، بخلاف ما لو كان اسم المملوك ذلك، فإنّه لايحكم بالعتق إلّا مع اعترافه بقصده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ظهور اللفظ في العتق هنا، </w:t>
      </w:r>
    </w:p>
    <w:p>
      <w:pPr>
        <w:pStyle w:val="BookText"/>
        <w:rPr/>
      </w:pPr>
      <w:r>
        <w:rPr>
          <w:rFonts w:ascii="Amiri" w:hAnsi="Amiri" w:eastAsia="Amiri" w:cs="Amiri"/>
          <w:color w:val="111111"/>
          <w:sz w:val="28"/>
          <w:sz w:val="28"/>
          <w:szCs w:val="28"/>
          <w:rtl w:val="true"/>
          <w:lang w:bidi="ar-SA"/>
        </w:rPr>
        <w:t xml:space="preserve">و لابدّ من التلفّظ بالصريح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لاتكفي الإشارة مع القدرة على النطق، و لا الكتابة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تجريده عن الشرط، فلو علّقه على شرط مترقّب أو صفة لم یصحّ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احتماله للأمرين على السواء هناك على ما تقرّر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المملوك في هذه الصورة إرادة العتق فله إحلاف المولى على عدم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لاتكفي الإشارة مع القدرة على النطق، و لا الكتابة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لأصالة بقاء الملك إلى أن يثبت المزيل شرعاً، و لم يرد من الشارع هنا وقوع العتق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القدرة، أمّا مع العجز فتكفي الإشارة المفهمة كغيره من العقود اللازمة و الإيقاعات، و لصحيحة الحلبي عن أبي عبد الله علیه السلام أنّ أباه 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أمامة بنت أبي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أُمّها زينب بنت رسول الله صلّی الله علیه و آله و سلّم، فتزوّجها بعد علىّ علیه السلام المغيرة بن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وجعت وجعاً شديداً حتّى اعتقل لسانها، فأتاها الحسن و الحسين و هي لاتستطيع الكلام، فجعلا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المغيرة كاره لما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أعتقت فلاناً و أهله؟ فتشير برأسها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 كذا و كذا، فتشير برأسها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فأجازا ذلك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الكتابة من جملة الإشارة، بل هي من أقواها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يعتبر النطق بالعربيّة مع الإمكان، و مع العجز يقع بأيّ لغة اتّفق مع صراحتها فيه في تلك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تجريده عن الشرط، فلو علّقه على شرط مترقّب أو صفة لم یصحّ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المشهور بين الأصحاب، و الكلام في دليله كنظائره فيما سبق</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جوّزه القاضي ابن البرّاج</w:t>
      </w:r>
      <w:r>
        <w:rPr>
          <w:rStyle w:val="FootnoteAnchor"/>
          <w:rtl w:val="true"/>
        </w:rPr>
        <w:footnoteReference w:id="1152"/>
      </w:r>
      <w:r>
        <w:rPr>
          <w:rFonts w:ascii="Amiri" w:hAnsi="Amiri" w:eastAsia="Amiri" w:cs="Amiri"/>
          <w:color w:val="111111"/>
          <w:sz w:val="28"/>
          <w:sz w:val="28"/>
          <w:szCs w:val="28"/>
          <w:rtl w:val="true"/>
          <w:lang w:bidi="ar-SA"/>
        </w:rPr>
        <w:t>، و ابن الجنيد</w:t>
      </w:r>
      <w:r>
        <w:rPr>
          <w:rStyle w:val="FootnoteAnchor"/>
          <w:rtl w:val="true"/>
        </w:rPr>
        <w:footnoteReference w:id="1153"/>
      </w:r>
      <w:r>
        <w:rPr>
          <w:rFonts w:ascii="Amiri" w:hAnsi="Amiri" w:eastAsia="Amiri" w:cs="Amiri"/>
          <w:color w:val="111111"/>
          <w:sz w:val="28"/>
          <w:sz w:val="28"/>
          <w:szCs w:val="28"/>
          <w:rtl w:val="true"/>
          <w:lang w:bidi="ar-SA"/>
        </w:rPr>
        <w:t xml:space="preserve">من أصحابنا معلّقاً على الشرط و الصفة،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يدك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فالأشبه وقوع العتق ؛ لأنّه هو المعنيّ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جوزّا الرجوع فيه قبل حصولهما كالتدبير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العامّة</w:t>
      </w:r>
      <w:r>
        <w:rPr>
          <w:rStyle w:val="FootnoteAnchor"/>
          <w:rtl w:val="true"/>
        </w:rPr>
        <w:footnoteReference w:id="1154"/>
      </w:r>
      <w:r>
        <w:rPr>
          <w:rFonts w:ascii="Amiri" w:hAnsi="Amiri" w:eastAsia="Amiri" w:cs="Amiri"/>
          <w:color w:val="111111"/>
          <w:sz w:val="28"/>
          <w:sz w:val="28"/>
          <w:szCs w:val="28"/>
          <w:rtl w:val="true"/>
          <w:lang w:bidi="ar-SA"/>
        </w:rPr>
        <w:t>، و استشهدوا عليه بالتدبير، فإنّه عتق معلّق، و باقي الأصحاب خصّوه بمورده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منع من كونه عتقاً معلّقاً، بل هو وصيّة بالعتق، كما سيأتي تحقيقه إن شاء الله تعالى</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المختلف ادّعى الإجماع على بطلان العتق المعلّق على الشرط</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بجيّد، بل الخلاف متحقّق، و معلوميّة نسب المخالف على هذا الوجه غير قادحة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الفرق بين الشرط و الصفة</w:t>
      </w:r>
      <w:r>
        <w:rPr>
          <w:rStyle w:val="FootnoteAnchor"/>
          <w:rtl w:val="true"/>
        </w:rPr>
        <w:footnoteReference w:id="1157"/>
      </w:r>
      <w:r>
        <w:rPr>
          <w:rFonts w:ascii="Amiri" w:hAnsi="Amiri" w:eastAsia="Amiri" w:cs="Amiri"/>
          <w:color w:val="111111"/>
          <w:sz w:val="28"/>
          <w:sz w:val="28"/>
          <w:szCs w:val="28"/>
          <w:rtl w:val="true"/>
          <w:lang w:bidi="ar-SA"/>
        </w:rPr>
        <w:t>، و أنّ المراد بالشرط ما جاز وقوعه في الحال و عدمه كمجيء زيد، و الصفة ما لايحتمل وقوعها في الحال و تعيّن وقوعها عادةً كطلوع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يدك حرّة أو 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المعهود شرعاً تعلّق العتق بذات الإنسان المشار إليه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جعلنا الإنسان جسماً أم جسمانيّاً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بدنك أو جسدك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وقوعه وجهان، من أنّه خلاف الذات الإنسانیّة عند المحقّقين، و من دلالته عليه عرفاً عامّاً ، و هو مقدّم على العرف الخاصّ الذي لايعرفه إلّا الآحاد، مع وقوع الخلاف فيه، و هو المراد من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هو المعنيّ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أنّهما في العرف بمعنى واحد و إن كانا مختلفين في التحقيق، و لأنّ المملوكيّة </w:t>
      </w:r>
      <w:bookmarkStart w:id="359" w:name="pg10270_80359"/>
    </w:p>
    <w:p>
      <w:pPr>
        <w:pStyle w:val="Heading5"/>
        <w:numPr>
          <w:ilvl w:val="4"/>
          <w:numId w:val="1"/>
        </w:numPr>
        <w:rPr/>
      </w:pPr>
      <w:bookmarkStart w:id="360" w:name="__RefHeading___Toc3860234_1067777946"/>
      <w:bookmarkStart w:id="361" w:name="_Toc131"/>
      <w:bookmarkEnd w:id="359"/>
      <w:bookmarkEnd w:id="360"/>
      <w:r>
        <w:rPr>
          <w:rtl w:val="true"/>
        </w:rPr>
        <w:t>هل يشترط تعيين المعتَق؟</w:t>
      </w:r>
      <w:bookmarkEnd w:id="3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تعيين المعتَق؟ الظاهر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عبيدي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يرجع إلى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عيّن ثم عدل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المالكية ضدّان يتواردان على الموضوع الواحد و المملوكيّة تتعلّق بالهيكل المحسوس قطعاً، و كذا المالكيّة المترتّبة على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الوقوع بذلك، إلّا أن يكون القائل معتقداً أنّ الإنسان خلاف ذلك و ادّعى قصد شيء فيرجع إليه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القولين لايقع لو علّقه ببعض الأعضاء، كاليد و الرجل و الوجه و الرأس، و إن كان الوجه و الرأس قديطلق على الذات عرفاً؛ لأنّه خلاف المتبادر، و لعدم نقل مثل ذلك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قد تقدّم وقوع الكفالة المتعلّقة بالوجه و الرأس</w:t>
      </w:r>
      <w:r>
        <w:rPr>
          <w:rStyle w:val="FootnoteAnchor"/>
          <w:rtl w:val="true"/>
        </w:rPr>
        <w:footnoteReference w:id="1158"/>
      </w:r>
      <w:r>
        <w:rPr>
          <w:rFonts w:ascii="Amiri" w:hAnsi="Amiri" w:eastAsia="Amiri" w:cs="Amiri"/>
          <w:color w:val="111111"/>
          <w:sz w:val="28"/>
          <w:sz w:val="28"/>
          <w:szCs w:val="28"/>
          <w:rtl w:val="true"/>
          <w:lang w:bidi="ar-SA"/>
        </w:rPr>
        <w:t>، معلّلاً بأنّه قد يعبّر بهما عن الجملة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الكفالة و العتق أنّ القصد الذاتي منها إحضار البدن و الذات تابعة عرفاً، و هنا بالعكس، فإنّ الحرّيّة المقصودة من العتق متعلّقها الذات و البدن تابع إذا جعلناه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 بينهما بأنّ المعتبر في الكفالة العرف، و في العتق الشرع، فلايخلو من تحكّم وإن كان العرف منصرفاً في الفرق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يشترط تعيين المعتق؟ الظاهر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بعدم اشتراط التعيين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و الأكثر؛ لأصالة عدم الاشتراط و وجود المقتضي للصحّة و هو صيغة العتق الصادرة من أهلها، و عدم ظهور المانع؛ إذ ليس إلّا كونه مبهماً و هو لايصلح للمانعيّة؛ لأنّ الإبهام واقع في الشرع كثيراً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التعيين</w:t>
      </w:r>
      <w:r>
        <w:rPr>
          <w:rStyle w:val="FootnoteAnchor"/>
          <w:rtl w:val="true"/>
        </w:rPr>
        <w:footnoteReference w:id="1160"/>
      </w:r>
      <w:r>
        <w:rPr>
          <w:rFonts w:ascii="Amiri" w:hAnsi="Amiri" w:eastAsia="Amiri" w:cs="Amiri"/>
          <w:color w:val="111111"/>
          <w:sz w:val="28"/>
          <w:sz w:val="28"/>
          <w:szCs w:val="28"/>
          <w:rtl w:val="true"/>
          <w:lang w:bidi="ar-SA"/>
        </w:rPr>
        <w:t>لأنّ الحكم المعيّن لا بدّ له من محلّ معيّن و هو ممنوع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البحث فيه في الطلاق</w:t>
      </w:r>
      <w:r>
        <w:rPr>
          <w:rStyle w:val="FootnoteAnchor"/>
          <w:rtl w:val="true"/>
        </w:rPr>
        <w:footnoteReference w:id="1161"/>
      </w:r>
      <w:r>
        <w:rPr>
          <w:rFonts w:ascii="Amiri" w:hAnsi="Amiri" w:eastAsia="Amiri" w:cs="Amiri"/>
          <w:color w:val="111111"/>
          <w:sz w:val="28"/>
          <w:sz w:val="28"/>
          <w:szCs w:val="28"/>
          <w:rtl w:val="true"/>
          <w:lang w:bidi="ar-SA"/>
        </w:rPr>
        <w:t>، و الوجه فيهما واحد غير أنّ عدم اشتراط التعيين هنا أشهر، و هناك بالعكس، و لا وجه له إلّا مراعاة الاحتياط في الفروج و بناء العتق على التغليب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قلنا بصحّته مبهماً فالمرجع إليه في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القرعة؛ لأنّها لكلّ أمر مشكل</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إذ لا معيّن هنا في نفس الأمر حتى يستخرج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يقع العتق بالصيغة، أو هو التزام عتق في الذمّة منحصر في عبيده الذين أطلقه فيهم؟ وجهان، تقدّم مثلهما في الطلاق</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يتخرّج عليهما ما لو مات أحدهم فعيّنه هل یصحّ؟ إن قلنا بحصول العتق عند التعيين لم یصحّ؛ لأنّ الميت لايقبل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فلو كان الإبهام في عبدين، و قلنا ببطلان التعيين في الميّت تعيّن الآخر و لا حاجة إلى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بالوقوع عند الإبهام صحّ تعيينه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حيث يعيّن لایصحّ له العدول عن المعيّن، 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عيّنت هذا بل هذا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لغا الثاني ؛ لأنّ التعيين حصل بالأوّل فلم يبق للعتق محلّ، بخلاف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عتقت هذا بل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وجوب الإنفاق على الجميع قبل التعيين و المنع من استخدامهم وجهان، أجودهما ذلك</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جرى ذلك في أمتين أو إماء حرم الوطء، فإن فعل ففي كونه تعييناً لغير الموطوءة وجهان، سبق مثلهما في الطلاق</w:t>
      </w:r>
      <w:r>
        <w:rPr>
          <w:rStyle w:val="FootnoteAnchor"/>
          <w:rtl w:val="true"/>
        </w:rPr>
        <w:footnoteReference w:id="1164"/>
      </w:r>
      <w:r>
        <w:rPr>
          <w:rFonts w:ascii="Amiri" w:hAnsi="Amiri" w:eastAsia="Amiri" w:cs="Amiri"/>
          <w:color w:val="111111"/>
          <w:sz w:val="28"/>
          <w:sz w:val="28"/>
          <w:szCs w:val="28"/>
          <w:rtl w:val="true"/>
          <w:lang w:bidi="ar-SA"/>
        </w:rPr>
        <w:t>، فإن لم نجعله تعييناً و عيّن العتق في الموطوءة فلا 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وجوب المهر وجهان، مبنيّان على وقوع العتق بالتعيين أو بالصيغة، فعلى الثاني يجب دون الأوّل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قبل التعيين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يعيّن الوارث،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وهو أشبه؛ لعدم اطلاع الوارث على 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أعتق معيّناً ثمّ اشتبه أُرجئ حتّى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ذكر عمل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عدل بعد ذلك 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يذكر لم يقرع ما دام حيّاً؛ لاحتمال التذكّر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مات و ادّعى الوارث العلم 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جهل يقرع بين عبيده؛ لتحقّق الإشكال و اليأس من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أحد مماليكه أنّه هو المراد بالعتق فأنكر فالقول قوله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حكم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نكل قضي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مات قبل التعيين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يعيّن الوارث،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تعيين الوارث أنّه خيار تعلّق بالمال، فيخلف الوارث المورّث فيه كما يخلفه في خيار البيع و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بالقرعة للشيخ</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أشار إليه المصنّف من التعليل بأنّ الوارث لايطّلع على قصد المورّث، فلا يمكنه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قصده غير شرط؛ لأنّ تعيين المورّث مجرّد تشهٍّ لايفتقر إلى شيء آخر، و الوارث قائم مقامه، و ليس هناك معتَق معيّن في نفس الأمر حتّى يشتبه على الوارث تعيينه</w:t>
      </w:r>
    </w:p>
    <w:p>
      <w:pPr>
        <w:pStyle w:val="BookText"/>
        <w:rPr/>
      </w:pPr>
      <w:r>
        <w:rPr>
          <w:rFonts w:ascii="IRNazanin" w:hAnsi="IRNazanin" w:eastAsia="IRNazanin"/>
          <w:color w:val="111111"/>
          <w:sz w:val="28"/>
          <w:sz w:val="28"/>
          <w:szCs w:val="28"/>
          <w:rtl w:val="true"/>
          <w:lang w:bidi="fa-IR"/>
        </w:rPr>
        <w:t>و مقصود المورّث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الجواب بأنّ التعيين وإن كان راجعاً إلى الاختيار إلّا أنّه مختصّ باختيار المبهم و قد فات و لأنّه في حكم تكميل اللفظ فليؤخذ من المتلفّظ، و لا ريب أنّ القرعة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أعتق معيّناً ثم اشتبه أُرجئ حتّى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ذكر عمل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أعتق معيّناً في نفسه أو سمّاه ثمّ نسيه أُخر الأمر رجاء أن يتذكّر؛ لأنّ المعتَق هنا معيّن في نفس الأمر بخلاف السابق، فإن ادّعى أنّه ذكر عمل بقوله؛ لأنّ ذلك ممّا لايعلم إلّا من </w:t>
      </w:r>
      <w:bookmarkStart w:id="362" w:name="pg10270_80362"/>
    </w:p>
    <w:p>
      <w:pPr>
        <w:pStyle w:val="Heading5"/>
        <w:numPr>
          <w:ilvl w:val="4"/>
          <w:numId w:val="1"/>
        </w:numPr>
        <w:rPr/>
      </w:pPr>
      <w:bookmarkStart w:id="363" w:name="__RefHeading___Toc3860236_1067777946"/>
      <w:bookmarkStart w:id="364" w:name="_Toc132"/>
      <w:bookmarkEnd w:id="362"/>
      <w:bookmarkEnd w:id="363"/>
      <w:r>
        <w:rPr>
          <w:rtl w:val="true"/>
        </w:rPr>
        <w:t>شروط المعتِق</w:t>
      </w:r>
      <w:bookmarkEnd w:id="3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 المعتِق البلوغ، و كمال العقل، و الاختيار، و القصد إلى العتق، و التقرّب إلى الله تعالى، و كونه غير محجور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عتق الصبيّ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صدقته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 الجواز رواية زرارة عن أبي جعفر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لایصحّ عتق السكران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قبله، و تعيّن من عينه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عدل عنه إلى غيره لم يقبل في حقّ الأوّل، و عتق الثاني أيضاً مؤاخذة له بإقراره، كما لو أقرّ لزيد بمال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لعمر و بخلاف السابق، فإنّ التعيين حصل بالأوّل فلم يبق له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استمرّ الاشتباه انتظر التذكّر ما دام حيّاً، و منع من الوطء و الاستخدام؛ لتحريم ذلك من الحرّ، و اشتباهه بمحصور، و عليه الإنفاق على الجميع من باب مقدّمة الواجب؛ لوجوب الإنفاق على المملوك، و لايتمّ إلّا بالإنفاق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مات قبل التذكّر قام الوارث مقامه إن ادّعى اطّلاعه على المعتَق، لأنّه خليفته، و ربما ذكر له ذلك و أطّلعه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يدّع العلم فالوجه القرعة؛ لأنّ المعتق هنا معيّن عند الله تعالى و مجهول عندنا فيستخرج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بالرجوع إلى تعيين الوارث هنا بعيد؛ لأنّ التعيين هنا ليس إنشاءً بل إخباراً عمّا وقع من المورّث فلا مدخل لتعيين الوارث حيث لايدّعي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تعيين المعتِق أو الوارث، لو ادّعى بعض المماليك الذين لم يعيّنهم أنّه المراد فالقول قول المالك مع يمينه؛ لأنّ ذلك لايعلم إلّا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توجّهت عليه اليمين لإمكان اطّلاع المملوك على الحال من قبله، فتسمع دعواه بحيث يتوجّه بها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نكل عن اليمين قضي عليه بعتق المدّعي مضافاً إلى ما عيّنه إن قضينا بالنكول، و إلّا أحلف المملوك و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في المعتق البلوغ، و كمال العقل، و الاختيار، و القصد إلى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كونه غير محجور عليه بعد اشتراط بلوغه و عقله تعميم بعد التخصيص، فإنّ غير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المحجور يقتضي البلوغ و كمال العقل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القول بجواز عتق من بلغ عشراً في المعروف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166"/>
      </w:r>
      <w:r>
        <w:rPr>
          <w:rFonts w:ascii="IRNazanin" w:hAnsi="IRNazanin" w:eastAsia="IRNazanin"/>
          <w:color w:val="111111"/>
          <w:sz w:val="28"/>
          <w:sz w:val="28"/>
          <w:szCs w:val="28"/>
          <w:rtl w:val="true"/>
          <w:lang w:bidi="fa-IR"/>
        </w:rPr>
        <w:t>استناداً إلى رواية زرارة عن الباقر علیه السلام</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طريق الرواية ضعف بموسى بن بكر، فإنّه واقفي غير ثقة</w:t>
      </w:r>
      <w:r>
        <w:rPr>
          <w:rStyle w:val="FootnoteAnchor"/>
          <w:rtl w:val="true"/>
        </w:rPr>
        <w:footnoteReference w:id="1168"/>
      </w:r>
      <w:r>
        <w:rPr>
          <w:rFonts w:ascii="Amiri" w:hAnsi="Amiri" w:eastAsia="Amiri" w:cs="Amiri"/>
          <w:color w:val="111111"/>
          <w:sz w:val="28"/>
          <w:sz w:val="28"/>
          <w:szCs w:val="28"/>
          <w:rtl w:val="true"/>
          <w:lang w:bidi="ar-SA"/>
        </w:rPr>
        <w:t>، و ابن فضّال، فإنّه فطحى وإن كان ثقةً</w:t>
      </w:r>
      <w:r>
        <w:rPr>
          <w:rStyle w:val="FootnoteAnchor"/>
          <w:rtl w:val="true"/>
        </w:rPr>
        <w:footnoteReference w:id="1169"/>
      </w:r>
      <w:r>
        <w:rPr>
          <w:rFonts w:ascii="Amiri" w:hAnsi="Amiri" w:eastAsia="Amiri" w:cs="Amiri"/>
          <w:color w:val="111111"/>
          <w:sz w:val="28"/>
          <w:sz w:val="28"/>
          <w:szCs w:val="28"/>
          <w:rtl w:val="true"/>
          <w:lang w:bidi="ar-SA"/>
        </w:rPr>
        <w:t>، مع أنّه في باب الوصايا من التهذيب أوقفها على زرارة في موضع</w:t>
      </w:r>
      <w:r>
        <w:rPr>
          <w:rStyle w:val="FootnoteAnchor"/>
          <w:rtl w:val="true"/>
        </w:rPr>
        <w:footnoteReference w:id="1170"/>
      </w:r>
      <w:r>
        <w:rPr>
          <w:rFonts w:ascii="IRNazanin" w:hAnsi="IRNazanin" w:eastAsia="IRNazanin"/>
          <w:color w:val="111111"/>
          <w:sz w:val="28"/>
          <w:sz w:val="28"/>
          <w:szCs w:val="28"/>
          <w:rtl w:val="true"/>
          <w:lang w:bidi="fa-IR"/>
        </w:rPr>
        <w:t>، و أسندها إلى الباقر علیه السلام في آخر</w:t>
      </w:r>
      <w:r>
        <w:rPr>
          <w:rStyle w:val="FootnoteAnchor"/>
          <w:rtl w:val="true"/>
        </w:rPr>
        <w:footnoteReference w:id="1171"/>
      </w:r>
      <w:r>
        <w:rPr>
          <w:rFonts w:ascii="IRNazanin" w:hAnsi="IRNazanin" w:eastAsia="IRNazanin"/>
          <w:color w:val="111111"/>
          <w:sz w:val="28"/>
          <w:sz w:val="28"/>
          <w:szCs w:val="28"/>
          <w:rtl w:val="true"/>
          <w:lang w:bidi="fa-IR"/>
        </w:rPr>
        <w:t>، فكيف مع هذه القوادح تصلح لإثبات حكم مخالف لأُصول المذهب، بل لإجماع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هذا الكتاب وصلها إلى الباقر علیه السلام، و في نكت النهاية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موقوفة على زرارة</w:t>
      </w:r>
      <w:r>
        <w:rPr>
          <w:rStyle w:val="FootnoteAnchor"/>
          <w:rtl w:val="true"/>
        </w:rPr>
        <w:footnoteReference w:id="1172"/>
      </w:r>
      <w:r>
        <w:rPr>
          <w:rFonts w:ascii="Amiri" w:hAnsi="Amiri" w:eastAsia="Amiri" w:cs="Amiri"/>
          <w:color w:val="111111"/>
          <w:sz w:val="28"/>
          <w:sz w:val="28"/>
          <w:szCs w:val="28"/>
          <w:rtl w:val="true"/>
          <w:lang w:bidi="ar-SA"/>
        </w:rPr>
        <w:t>، وفي النافع جعلها حسنةً</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أراد غير الحسن المصطلح عليه بين أهل الحديث، و هو أن يكون رواتها إماميّةً، و فيهم من الممدوح غير المعدّل، فإنّ أمرها ليس كذلك، لما عرفت من حال رواتها فهي ضعيفة السند لا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حالها في الوصل و الوقف، فإنّ الراوي أوصلها تارةً و قطعها أُخرى، و هو علّة من علل الحديث يقدح في اعتباره، و على کلّ حال فاطّراحها متعيّن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حملها وحمل ما ورد في معناها من جواز وقفه و صدقته و وصيّته على أنّ ابن العشر محلّ إمكان البلوغ، كما تقدّم من أنّ الولد يلحق به في هذه السنّ</w:t>
      </w:r>
      <w:r>
        <w:rPr>
          <w:rStyle w:val="FootnoteAnchor"/>
          <w:rtl w:val="true"/>
        </w:rPr>
        <w:footnoteReference w:id="1174"/>
      </w:r>
      <w:r>
        <w:rPr>
          <w:rFonts w:ascii="Amiri" w:hAnsi="Amiri" w:eastAsia="Amiri" w:cs="Amiri"/>
          <w:color w:val="111111"/>
          <w:sz w:val="28"/>
          <w:sz w:val="28"/>
          <w:szCs w:val="28"/>
          <w:rtl w:val="true"/>
          <w:lang w:bidi="ar-SA"/>
        </w:rPr>
        <w:t xml:space="preserve">لإمكان بلوغه بالمنيّ، فبسبب أنّه في وقت إمكان البلوغ و جواز التصرّف أطلقوا جواز تصرّفه، و المراد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ويبطل باشتراط نیّة القربة عتق الكافر، لتعذّرها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الشيخ في الخلاف یصحّ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إذا انضمّ إليه ما يدلّ على البلوغ، بمعنى أنّه من حيث السنّ لا مانع من جهته وإن توقّف على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خيرٌ من اطّراح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المعتبر من التقرّب في العتق أن يقصد به وجه الله تعالى و ثوابه، على حدّ ما يعتبر في غيره من العبادات وإن لم يتلفّظ به، بخلاف صيغة الإعتاق، فإنّ اللفظ معتبر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فيكفي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معناه قاصداً به 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يبطل باشتراط نیّة القربة عتق الكافر، لتعذّرها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للأصحاب في اشتراط إسلام المعتق و عدمه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اشتراطه، ذهب إليه ابن إدريس</w:t>
      </w:r>
      <w:r>
        <w:rPr>
          <w:rStyle w:val="FootnoteAnchor"/>
          <w:rtl w:val="true"/>
        </w:rPr>
        <w:footnoteReference w:id="1175"/>
      </w:r>
      <w:r>
        <w:rPr>
          <w:rFonts w:ascii="Amiri" w:hAnsi="Amiri" w:eastAsia="Amiri" w:cs="Amiri"/>
          <w:color w:val="111111"/>
          <w:sz w:val="28"/>
          <w:sz w:val="28"/>
          <w:szCs w:val="28"/>
          <w:rtl w:val="true"/>
          <w:lang w:bidi="ar-SA"/>
        </w:rPr>
        <w:t>و المصنّف، و العلّامة في أكثر كتبه</w:t>
      </w:r>
      <w:r>
        <w:rPr>
          <w:rStyle w:val="FootnoteAnchor"/>
          <w:rtl w:val="true"/>
        </w:rPr>
        <w:footnoteReference w:id="1176"/>
      </w:r>
      <w:r>
        <w:rPr>
          <w:rFonts w:ascii="Amiri" w:hAnsi="Amiri" w:eastAsia="Amiri" w:cs="Amiri"/>
          <w:color w:val="111111"/>
          <w:sz w:val="28"/>
          <w:sz w:val="28"/>
          <w:szCs w:val="28"/>
          <w:rtl w:val="true"/>
          <w:lang w:bidi="ar-SA"/>
        </w:rPr>
        <w:t>، و جماعة</w:t>
      </w:r>
      <w:r>
        <w:rPr>
          <w:rStyle w:val="FootnoteAnchor"/>
          <w:rtl w:val="true"/>
        </w:rPr>
        <w:footnoteReference w:id="1177"/>
      </w:r>
      <w:r>
        <w:rPr>
          <w:rFonts w:ascii="IRNazanin" w:hAnsi="IRNazanin" w:eastAsia="IRNazanin"/>
          <w:color w:val="111111"/>
          <w:sz w:val="28"/>
          <w:sz w:val="28"/>
          <w:szCs w:val="28"/>
          <w:rtl w:val="true"/>
          <w:lang w:bidi="fa-IR"/>
        </w:rPr>
        <w:t>محتجّين باشتراط نیّة القربة و هي متعذّرة من الكافر، و من ثَمّ أجمعوا على بطلان عباداته المشروطة بالنيّة، و لأنّ العبادة ملزومة للثواب حيث تقع صحيحةً، و هو مشروط بدخول الجنّة ليثاب بها فيها، و ذلك ممتنع في حقّ الكافر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يدلّ على كونه عبادة مشروطة بنيّة القربة الروايات المتظافرة عنهم  علیهم السلام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ما أُريد به وجه الله تعالى</w:t>
      </w:r>
      <w:r>
        <w:rPr>
          <w:rFonts w:eastAsia="IRNazanin" w:cs="IRNazanin"/>
          <w:color w:val="111111"/>
          <w:sz w:val="28"/>
          <w:szCs w:val="28"/>
          <w:rtl w:val="true"/>
          <w:lang w:bidi="fa-IR"/>
        </w:rPr>
        <w:t>»</w:t>
      </w:r>
      <w:r>
        <w:rPr>
          <w:rStyle w:val="FootnoteAnchor"/>
          <w:rtl w:val="true"/>
        </w:rPr>
        <w:footnoteReference w:id="1178"/>
      </w:r>
      <w:r>
        <w:rPr>
          <w:rFonts w:ascii="Amiri" w:hAnsi="Amiri" w:eastAsia="Amiri" w:cs="Amiri"/>
          <w:color w:val="111111"/>
          <w:sz w:val="28"/>
          <w:sz w:val="28"/>
          <w:szCs w:val="28"/>
          <w:rtl w:val="true"/>
          <w:lang w:bidi="ar-SA"/>
        </w:rPr>
        <w:t>، و المراد نفي الصحّة؛ لأنّه أقرب المجازات إلى نفي الحقيقة حيث كانت الحقيقة غير مرادة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الاشتراط مطلقاً، و هو قول الشيخ في كتابي الفروع</w:t>
      </w:r>
      <w:r>
        <w:rPr>
          <w:rStyle w:val="FootnoteAnchor"/>
          <w:rtl w:val="true"/>
        </w:rPr>
        <w:footnoteReference w:id="1179"/>
      </w:r>
      <w:r>
        <w:rPr>
          <w:rFonts w:ascii="Amiri" w:hAnsi="Amiri" w:eastAsia="Amiri" w:cs="Amiri"/>
          <w:color w:val="111111"/>
          <w:sz w:val="28"/>
          <w:sz w:val="28"/>
          <w:szCs w:val="28"/>
          <w:rtl w:val="true"/>
          <w:lang w:bidi="ar-SA"/>
        </w:rPr>
        <w:t xml:space="preserve">محتجّاً بأنّ العتق؛ </w:t>
      </w:r>
      <w:bookmarkStart w:id="365" w:name="pg10270_80365"/>
    </w:p>
    <w:p>
      <w:pPr>
        <w:pStyle w:val="Heading5"/>
        <w:numPr>
          <w:ilvl w:val="4"/>
          <w:numId w:val="1"/>
        </w:numPr>
        <w:rPr/>
      </w:pPr>
      <w:bookmarkStart w:id="366" w:name="__RefHeading___Toc3860238_1067777946"/>
      <w:bookmarkStart w:id="367" w:name="_Toc133"/>
      <w:bookmarkEnd w:id="365"/>
      <w:bookmarkEnd w:id="366"/>
      <w:r>
        <w:rPr>
          <w:rtl w:val="true"/>
        </w:rPr>
        <w:t>شروط المعتَق</w:t>
      </w:r>
      <w:bookmarkEnd w:id="3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ويعتبر في المعتَق الإسلام و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المملوك كافراً لم یصحّ 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مع النذر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 ملك و تصرّف مالي و نفع للغير، و الكافر أهل لذلك، بل ملكه أضعف من ملك المسلم ففكّه أسهل، و لبناء العتق على التغليب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جاز حمل الخبر على نفي الكمال،كقوله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فيه</w:t>
      </w:r>
      <w:r>
        <w:rPr>
          <w:rFonts w:eastAsia="IRNazanin" w:cs="IRNazanin"/>
          <w:color w:val="111111"/>
          <w:sz w:val="28"/>
          <w:szCs w:val="28"/>
          <w:rtl w:val="true"/>
          <w:lang w:bidi="fa-IR"/>
        </w:rPr>
        <w:t>»</w:t>
      </w:r>
      <w:r>
        <w:rPr>
          <w:rStyle w:val="FootnoteAnchor"/>
          <w:rtl w:val="true"/>
        </w:rPr>
        <w:footnoteReference w:id="1180"/>
      </w:r>
      <w:r>
        <w:rPr>
          <w:rFonts w:ascii="Amiri" w:hAnsi="Amiri" w:eastAsia="Amiri" w:cs="Amiri"/>
          <w:color w:val="111111"/>
          <w:sz w:val="28"/>
          <w:sz w:val="28"/>
          <w:szCs w:val="28"/>
          <w:rtl w:val="true"/>
          <w:lang w:bidi="ar-SA"/>
        </w:rPr>
        <w:t>، و من ثَمّ وقع الاتّفاق على بطلان عبادة الكافر المحضة دون عتقه و نحوه من تصرّفاته الماليّة المشتملة على العبادة كالوقف و الصدقة؛ ترجيحاً لجانب الماليّة على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w:t>
      </w:r>
      <w:r>
        <w:rPr>
          <w:rStyle w:val="FootnoteAnchor"/>
          <w:rtl w:val="true"/>
        </w:rPr>
        <w:footnoteReference w:id="1181"/>
      </w:r>
      <w:r>
        <w:rPr>
          <w:rFonts w:ascii="IRNazanin" w:hAnsi="IRNazanin" w:eastAsia="IRNazanin"/>
          <w:color w:val="111111"/>
          <w:sz w:val="28"/>
          <w:sz w:val="28"/>
          <w:szCs w:val="28"/>
          <w:rtl w:val="true"/>
          <w:lang w:bidi="fa-IR"/>
        </w:rPr>
        <w:t>، فإن كان كفره بجحد الإلهيّة أصلاً لم یصحّ؛ لتعذّر قصد القربة و وجه الله تعالى منه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بجحد رسولٍ أو فريضةٍ مع إقراره بالله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كالكتابي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لأنّ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عتق إلّا ما أريد به وجه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يقتضي اشتراط إرادة التقرّب المتوقّفة على الإقرار بالمتقرّب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حمله على نفي الصحّة أولى؛ لأنّها أقرب إلى المراد من نفي الكماليّة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لايلزم من اشتراطه بالإرادة المذكورة حصول المراد؛ لأنّ ذلك أمر آخر لايدلّ عليه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عبادة مطلقاً ممنوع بل من هذا الوجه، و هو لايمنع وقوعه من الكافر المقرّ بالله تعالى، و بهذا فارق غيره من العبادات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في المعتَق الإسلام 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باشتراط إسلام المملوك المعتَق للأكثر، و منهم الشيخ في التهذيب</w:t>
      </w:r>
      <w:r>
        <w:rPr>
          <w:rStyle w:val="FootnoteAnchor"/>
          <w:rtl w:val="true"/>
        </w:rPr>
        <w:footnoteReference w:id="1182"/>
      </w:r>
      <w:r>
        <w:rPr>
          <w:rFonts w:ascii="Amiri" w:hAnsi="Amiri" w:eastAsia="Amiri" w:cs="Amiri"/>
          <w:color w:val="111111"/>
          <w:sz w:val="28"/>
          <w:sz w:val="28"/>
          <w:szCs w:val="28"/>
          <w:rtl w:val="true"/>
          <w:lang w:bidi="ar-SA"/>
        </w:rPr>
        <w:t>و المفيد</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و المرتضى</w:t>
      </w:r>
      <w:r>
        <w:rPr>
          <w:rStyle w:val="FootnoteAnchor"/>
          <w:rtl w:val="true"/>
        </w:rPr>
        <w:footnoteReference w:id="1184"/>
      </w:r>
      <w:r>
        <w:rPr>
          <w:rFonts w:ascii="IRNazanin" w:hAnsi="IRNazanin" w:eastAsia="IRNazanin"/>
          <w:color w:val="111111"/>
          <w:sz w:val="28"/>
          <w:sz w:val="28"/>
          <w:szCs w:val="28"/>
          <w:rtl w:val="true"/>
          <w:lang w:bidi="fa-IR"/>
        </w:rPr>
        <w:t>و الأتباع</w:t>
      </w:r>
      <w:r>
        <w:rPr>
          <w:rStyle w:val="FootnoteAnchor"/>
          <w:rtl w:val="true"/>
        </w:rPr>
        <w:footnoteReference w:id="1185"/>
      </w:r>
      <w:r>
        <w:rPr>
          <w:rFonts w:ascii="Amiri" w:hAnsi="Amiri" w:eastAsia="Amiri" w:cs="Amiri"/>
          <w:color w:val="111111"/>
          <w:sz w:val="28"/>
          <w:sz w:val="28"/>
          <w:szCs w:val="28"/>
          <w:rtl w:val="true"/>
          <w:lang w:bidi="ar-SA"/>
        </w:rPr>
        <w:t>و ابن إدريس</w:t>
      </w:r>
      <w:r>
        <w:rPr>
          <w:rStyle w:val="FootnoteAnchor"/>
          <w:rtl w:val="true"/>
        </w:rPr>
        <w:footnoteReference w:id="1186"/>
      </w:r>
      <w:r>
        <w:rPr>
          <w:rFonts w:ascii="Amiri" w:hAnsi="Amiri" w:eastAsia="Amiri" w:cs="Amiri"/>
          <w:color w:val="111111"/>
          <w:sz w:val="28"/>
          <w:sz w:val="28"/>
          <w:szCs w:val="28"/>
          <w:rtl w:val="true"/>
          <w:lang w:bidi="ar-SA"/>
        </w:rPr>
        <w:t>و المصنّف و العلّامة</w:t>
      </w:r>
      <w:r>
        <w:rPr>
          <w:rStyle w:val="FootnoteAnchor"/>
          <w:rtl w:val="true"/>
        </w:rPr>
        <w:footnoteReference w:id="1187"/>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تَيَمَّمُوا الْخَبِيثَ مِنْهُ تُنفِقُونَ</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نهى عن قصد الخبيث بالإنفاق، و الأصل فيه التحريم المقتضي الفساد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ما أُريد به وجه الله تعالى</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و رواية سيف بن عميرة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أيجوز للمسلم أن يعتق مملوكاً مشركاً؟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 أمّا الآية فإنّما دلّت على النهي عن إنفاق الخبيث، و هو الرديء من المال يعطاه الفقير على ما ذكره المفسّرون</w:t>
      </w:r>
      <w:r>
        <w:rPr>
          <w:rStyle w:val="FootnoteAnchor"/>
          <w:rtl w:val="true"/>
        </w:rPr>
        <w:footnoteReference w:id="1191"/>
      </w:r>
      <w:r>
        <w:rPr>
          <w:rFonts w:ascii="Amiri" w:hAnsi="Amiri" w:eastAsia="Amiri" w:cs="Amiri"/>
          <w:color w:val="111111"/>
          <w:sz w:val="28"/>
          <w:sz w:val="28"/>
          <w:szCs w:val="28"/>
          <w:rtl w:val="true"/>
          <w:lang w:bidi="ar-SA"/>
        </w:rPr>
        <w:t>، و لايلزم منه تحريم عتق الكافر؛ لأنّ الإنفاق لماليّته لا لاعتقاده الخبيث، و ربما كانت ماليّته خيراً من ماليّة العبد المسلم، فهو من هذه الجهة ليس بخبيث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تناوله للكافر منعنا من عموم النهي عن إنفاق الرديء مطلقاً، بل في الصدقة الواجبة؛ للإجماع على جواز الصدقة بالرديء من المال و الجيّد، و الأمر بالصدقة بشقّ تمرة</w:t>
      </w:r>
      <w:r>
        <w:rPr>
          <w:rStyle w:val="FootnoteAnchor"/>
          <w:rtl w:val="true"/>
        </w:rPr>
        <w:footnoteReference w:id="1192"/>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الخبر الأوّل فقد تقدّم أنّ المعتبر فيه إرادة وجه الله تعالى، و هي ممكنة في حق المعتق الكافر المقرّ بالله تعالى لمثله، و من المسلم إذا رجا بعتقه الخير و استجلابه إلى </w:t>
      </w:r>
      <w:bookmarkStart w:id="368" w:name="pg10270_80367"/>
    </w:p>
    <w:p>
      <w:pPr>
        <w:pStyle w:val="Heading5"/>
        <w:numPr>
          <w:ilvl w:val="4"/>
          <w:numId w:val="1"/>
        </w:numPr>
        <w:rPr/>
      </w:pPr>
      <w:bookmarkStart w:id="369" w:name="__RefHeading___Toc3860240_1067777946"/>
      <w:bookmarkStart w:id="370" w:name="_Toc134"/>
      <w:bookmarkEnd w:id="368"/>
      <w:bookmarkEnd w:id="369"/>
      <w:r>
        <w:rPr>
          <w:rtl w:val="true"/>
        </w:rPr>
        <w:t>عتق ولد الزنى</w:t>
      </w:r>
      <w:bookmarkEnd w:id="3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عتق ولد الزنى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لایصحّ، بناءً على 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و نحو ذلك من المقاصد الجميلة التي يمكن معها إرادة وجه الله تعالى، و يؤيّده ما روي أن عليّاً علیه السلام أعتق عبداً نصرانيّاً فأسلم حين أعتقه</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سندها بابن أبي حمزة</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المدّعى، فلا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بصحّة عتقه مطلقاً للشيخ في كتابي الفروع</w:t>
      </w:r>
      <w:r>
        <w:rPr>
          <w:rStyle w:val="FootnoteAnchor"/>
          <w:rtl w:val="true"/>
        </w:rPr>
        <w:footnoteReference w:id="1195"/>
      </w:r>
      <w:r>
        <w:rPr>
          <w:rFonts w:ascii="Amiri" w:hAnsi="Amiri" w:eastAsia="Amiri" w:cs="Amiri"/>
          <w:color w:val="111111"/>
          <w:sz w:val="28"/>
          <w:sz w:val="28"/>
          <w:szCs w:val="28"/>
          <w:rtl w:val="true"/>
          <w:lang w:bidi="ar-SA"/>
        </w:rPr>
        <w:t>، و قوّاه الشهيد في الشرح</w:t>
      </w:r>
      <w:r>
        <w:rPr>
          <w:rStyle w:val="FootnoteAnchor"/>
          <w:rtl w:val="true"/>
        </w:rPr>
        <w:footnoteReference w:id="1196"/>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روي من فعل عليّ، علیه السلام و ضعف دليل المشترط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أقوى مع تحقّق قصد القربة، و هو غير منافٍ للقول بصحّة عتقه مطلقاً؛ لأنّ عدم القربة ينافي عتق المسلم فضلاً عن الكافر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القول بالصحّة مع النذر و بطلانه مع التبرّع للشيخ في النهاية</w:t>
      </w:r>
      <w:r>
        <w:rPr>
          <w:rStyle w:val="FootnoteAnchor"/>
          <w:rtl w:val="true"/>
        </w:rPr>
        <w:footnoteReference w:id="1197"/>
      </w:r>
      <w:r>
        <w:rPr>
          <w:rFonts w:ascii="IRNazanin" w:hAnsi="IRNazanin" w:eastAsia="IRNazanin"/>
          <w:color w:val="111111"/>
          <w:sz w:val="28"/>
          <w:sz w:val="28"/>
          <w:szCs w:val="28"/>
          <w:rtl w:val="true"/>
          <w:lang w:bidi="fa-IR"/>
        </w:rPr>
        <w:t>و الاستبصار</w:t>
      </w:r>
      <w:r>
        <w:rPr>
          <w:rStyle w:val="FootnoteAnchor"/>
          <w:rtl w:val="true"/>
        </w:rPr>
        <w:footnoteReference w:id="1198"/>
      </w:r>
      <w:r>
        <w:rPr>
          <w:rFonts w:ascii="IRNazanin" w:hAnsi="IRNazanin" w:eastAsia="IRNazanin"/>
          <w:color w:val="111111"/>
          <w:sz w:val="28"/>
          <w:sz w:val="28"/>
          <w:szCs w:val="28"/>
          <w:rtl w:val="true"/>
          <w:lang w:bidi="fa-IR"/>
        </w:rPr>
        <w:t>جمعاً بين الخبرين السالفين، بحمل فعل عليّ  علیه السلام على أنّه كان قد نذر عتقه؛ لئلّا ينافي النهي عن عتقه مطلقاً في خبر 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جمع بعيد لا إشعار به من الخبر أصلاً، مع ضعف سند الخبرين، و قصورهما عن الدلالة على إثبات الحكم، وإنّما يصلحان شاهداً كما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عتق ولد الزنى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لایصحّ، بناءً على 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يثبت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بعدم صحّة عتق ولد الزنى للمرتضى</w:t>
      </w:r>
      <w:r>
        <w:rPr>
          <w:rStyle w:val="FootnoteAnchor"/>
          <w:rtl w:val="true"/>
        </w:rPr>
        <w:footnoteReference w:id="1199"/>
      </w:r>
      <w:r>
        <w:rPr>
          <w:rFonts w:ascii="Amiri" w:hAnsi="Amiri" w:eastAsia="Amiri" w:cs="Amiri"/>
          <w:color w:val="111111"/>
          <w:sz w:val="28"/>
          <w:sz w:val="28"/>
          <w:szCs w:val="28"/>
          <w:rtl w:val="true"/>
          <w:lang w:bidi="ar-SA"/>
        </w:rPr>
        <w:t>و ابن إدريس</w:t>
      </w:r>
      <w:r>
        <w:rPr>
          <w:rStyle w:val="FootnoteAnchor"/>
          <w:rtl w:val="true"/>
        </w:rPr>
        <w:footnoteReference w:id="1200"/>
      </w:r>
      <w:r>
        <w:rPr>
          <w:rFonts w:ascii="Amiri" w:hAnsi="Amiri" w:eastAsia="Amiri" w:cs="Amiri"/>
          <w:color w:val="111111"/>
          <w:sz w:val="28"/>
          <w:sz w:val="28"/>
          <w:szCs w:val="28"/>
          <w:rtl w:val="true"/>
          <w:lang w:bidi="ar-SA"/>
        </w:rPr>
        <w:t>بناءً على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ممنوع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أعتق غير المالك لم ينفذ عتقه و لو أجازه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ملكتك فأنت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ينعتق مع الملك، إلّا أن يجعله نذراً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جواز عتقه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بلوغه وإسلامه فواضح؛ إذ لو لم يقبل منه لزم تكليف ما لايطاق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قبله؛ فلأنّه وإن لم يحكم بإسلامه من حيث عدم تبعيّته للمسلم، لكن لايحكم بكفره؛ لعدم تبعيّته للكافر، فيلزم من صحّة عتق الكافر صحّة عتقه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ولد الزنى لا ينجب</w:t>
      </w:r>
      <w:r>
        <w:rPr>
          <w:rFonts w:eastAsia="Amiri" w:cs="Amiri" w:ascii="Amiri" w:hAnsi="Amiri"/>
          <w:color w:val="111111"/>
          <w:sz w:val="28"/>
          <w:szCs w:val="28"/>
          <w:rtl w:val="true"/>
          <w:lang w:bidi="ar-SA"/>
        </w:rPr>
        <w:t>»</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 على كفره؛ لأنّ النجابة المنفيّة مغايرة للإسلام لغةً و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روي عن أبي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يعتق ولد الزنى</w:t>
      </w:r>
      <w:r>
        <w:rPr>
          <w:rFonts w:eastAsia="IRNazanin" w:cs="IRNazanin"/>
          <w:color w:val="111111"/>
          <w:sz w:val="28"/>
          <w:szCs w:val="28"/>
          <w:rtl w:val="true"/>
          <w:lang w:bidi="fa-IR"/>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أعتق غير المالك لم ينفذ عتقه ولو أجازه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 أنّ عتق غير المالك لايقع صحيحاً و إن أجازه المالك؛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بعد ملك</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 الدالّ على نفي الصحّة؛ لأنّه أقرب المجازات إلى نفي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روي ابن مسكان عن أبي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ما لايملك فلايجوز</w:t>
      </w:r>
      <w:r>
        <w:rPr>
          <w:rFonts w:eastAsia="IRNazanin" w:cs="IRNazanin"/>
          <w:color w:val="111111"/>
          <w:sz w:val="28"/>
          <w:szCs w:val="28"/>
          <w:rtl w:val="true"/>
          <w:lang w:bidi="fa-IR"/>
        </w:rPr>
        <w:t>»</w:t>
      </w:r>
      <w:r>
        <w:rPr>
          <w:rStyle w:val="FootnoteAnchor"/>
          <w:rtl w:val="true"/>
        </w:rPr>
        <w:footnoteReference w:id="12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عبادة أو فيه شائبة العبادة، و هي لاتقبل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لبعض العامّة قول شاد بوقوعه عن المعتق الموسر و يقومّ عليه</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ملكتك فأنت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ينعتق مع الملك، إلّا أن يجعله نذراً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 العتق يميناً لم يقع، 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إن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أعتق مملوك ولده الصغير بعد التقويم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أعتقه و لم يقوّمه على نفسه، أو كان الولد بالغاً رشيداً لم یصحّ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علّق عتقه على ملكه له، ففساد العتق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من غير المالك، و تعليقه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يستثنى من ذلك ما لو جعله نذراً أو ما في معناه،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إعتاقه إن 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عتقه عند حصول الشرط؛ لعموم الأمر بالوفاء بالنذر</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لاينعتق بنفسه عند حصول الشرط؛ لأنّ العتق مشروط بانتقاله إلى ملكه و لو آناً، فلو عتق بمجرّد ملكه لزم العتق في غير ملك، كذا استدلّ عليه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w:t>
      </w:r>
      <w:r>
        <w:rPr>
          <w:rStyle w:val="FootnoteAnchor"/>
          <w:rtl w:val="true"/>
        </w:rPr>
        <w:footnoteReference w:id="1207"/>
      </w:r>
      <w:r>
        <w:rPr>
          <w:rFonts w:ascii="Amiri" w:hAnsi="Amiri" w:eastAsia="Amiri" w:cs="Amiri"/>
          <w:color w:val="111111"/>
          <w:sz w:val="28"/>
          <w:sz w:val="28"/>
          <w:szCs w:val="28"/>
          <w:rtl w:val="true"/>
          <w:lang w:bidi="ar-SA"/>
        </w:rPr>
        <w:t>بجواز الاكتفاء بالملك الضمني كملك القريب آناً ثم 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أنّه حرّ إن 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أمّا لو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إعتاقه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افتقاره إلى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 العتق يميناً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فرق بين تعليقه على الشرط و جعله يميناً من حيث الصيغة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يفترقان بالنیّة، فإن كان الغرض من التعليق البعث على الفعل إن كان طاعةً ، أو الزجر عنه إن كان معصيةً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حججت فأنت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قصداً للبعث في الأوّل و الزجر في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يمين، و إن كان الغرض مجرّد التعليق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 الشمس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شرط أو صفة، و العتق لايقع معلّقاً في الجميع، و قد تقدّمت الإشارة إلى الفرق فيما سلف</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أعتق مملوك ولده الصغير بعد التقويم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اشتراط كونه مملوكاً للمعتق في صحّة العتق بين كونه ملكاً لأجنبي أو لولده الصغير و الكبير</w:t>
      </w:r>
      <w:r>
        <w:rPr>
          <w:rFonts w:eastAsia="Amiri" w:cs="Amiri" w:ascii="Amiri" w:hAnsi="Amiri"/>
          <w:color w:val="111111"/>
          <w:sz w:val="28"/>
          <w:szCs w:val="28"/>
          <w:rtl w:val="true"/>
          <w:lang w:bidi="ar-SA"/>
        </w:rPr>
        <w:t xml:space="preserve">. </w:t>
      </w:r>
      <w:bookmarkStart w:id="371" w:name="pg10270_80370"/>
    </w:p>
    <w:p>
      <w:pPr>
        <w:pStyle w:val="Heading5"/>
        <w:numPr>
          <w:ilvl w:val="4"/>
          <w:numId w:val="1"/>
        </w:numPr>
        <w:rPr/>
      </w:pPr>
      <w:bookmarkStart w:id="372" w:name="__RefHeading___Toc3860242_1067777946"/>
      <w:bookmarkStart w:id="373" w:name="_Toc135"/>
      <w:bookmarkEnd w:id="371"/>
      <w:bookmarkEnd w:id="372"/>
      <w:r>
        <w:rPr>
          <w:rtl w:val="true"/>
        </w:rPr>
        <w:t>لو شرط على المعتق شرطاً في نفس العتق</w:t>
      </w:r>
      <w:bookmarkEnd w:id="3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على المعتق شرطاً في نفس العتق لزمه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 إعادته فى الرقّ إن خالف أُعيد مع المخالفة؛ عملاً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العتق؛ لأنّه اشتراط لاسترقاق من ثبتت حرّيّته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كان صغيراً فقوّم مملوكه على نفسه بالبيع مع المصلحة ثم أعتقه صحّ؛ لوجود المقتضي للصحّة حينئذٍ و هو كونه مملوكاً للمعتَق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الولد كبيراً لم یصحّ عتق الأب المملوكه مطلقاً على الأصحّ؛ للعموم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خلافاً للشيخ في النهاية</w:t>
      </w:r>
      <w:r>
        <w:rPr>
          <w:rStyle w:val="FootnoteAnchor"/>
          <w:rtl w:val="true"/>
        </w:rPr>
        <w:footnoteReference w:id="1209"/>
      </w:r>
      <w:r>
        <w:rPr>
          <w:rFonts w:ascii="IRNazanin" w:hAnsi="IRNazanin" w:eastAsia="IRNazanin"/>
          <w:color w:val="111111"/>
          <w:sz w:val="28"/>
          <w:sz w:val="28"/>
          <w:szCs w:val="28"/>
          <w:rtl w:val="true"/>
          <w:lang w:bidi="fa-IR"/>
        </w:rPr>
        <w:t>حيث صحّحه؛ استناداً إلى رواية الحسين بن علوان، عن زيد بن علي، عن آبائه، عن عليّ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النبيّ صلّى الله عليه و آله و سلّم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أبي عمد إلى مملوك لي فأعتقه كهيئة المضرّة لي، فقال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مالك من هبة الله لأبيك، أنت سهم من كنانته يهب لمن يشاء إناثاً و يهب لمن يشاء الذكور، و يجعل من يشاء عقيماً، جازت عتاقة أبيك، يتناول والدك من مالك و بدنك، و ليس لك أن تتناول من ماله و لا من بدنه شيئاً إلّا بإذنه</w:t>
      </w:r>
      <w:r>
        <w:rPr>
          <w:rFonts w:eastAsia="IRNazanin" w:cs="IRNazanin"/>
          <w:color w:val="111111"/>
          <w:sz w:val="28"/>
          <w:szCs w:val="28"/>
          <w:rtl w:val="true"/>
          <w:lang w:bidi="fa-IR"/>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ضعيفة السند برجال الزيديّة</w:t>
      </w:r>
      <w:r>
        <w:rPr>
          <w:rStyle w:val="FootnoteAnchor"/>
          <w:rtl w:val="true"/>
        </w:rPr>
        <w:footnoteReference w:id="1211"/>
      </w:r>
      <w:r>
        <w:rPr>
          <w:rFonts w:ascii="Amiri" w:hAnsi="Amiri" w:eastAsia="Amiri" w:cs="Amiri"/>
          <w:color w:val="111111"/>
          <w:sz w:val="28"/>
          <w:sz w:val="28"/>
          <w:szCs w:val="28"/>
          <w:rtl w:val="true"/>
          <w:lang w:bidi="ar-SA"/>
        </w:rPr>
        <w:t>، و الأَولى حملها على استحباب إجازة الولد الأبيه ما يفعله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 على المعتق شرطاً في نفس العتق لزمه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شرط على العبد أمراً سائغاً في نفس صيغة الإعتاق صحّ الشرط و العتق؛ 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1212"/>
      </w:r>
      <w:r>
        <w:rPr>
          <w:rFonts w:ascii="Amiri" w:hAnsi="Amiri" w:eastAsia="Amiri" w:cs="Amiri"/>
          <w:color w:val="111111"/>
          <w:sz w:val="28"/>
          <w:sz w:val="28"/>
          <w:szCs w:val="28"/>
          <w:rtl w:val="true"/>
          <w:lang w:bidi="ar-SA"/>
        </w:rPr>
        <w:t>، سواء كان الشرط خدمةَ مدّة معيّنة أم مالاً معيّناً أم غيرهما، و يكون ذلك عتقاً و شرطاً لاعتقاً معلّقاً على شرط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العبارة أنّه لايشترط قبول المملوك؛ لأنّه حكم بلزوم الوفاء به بمجرّد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أنّه مالك له مستحقّ لمنافعه و كسبه، و له الضريبة المقدورة له عليه، فهي إيجاب مال من كسبه، فإذا شرط عليه خدمةً أو مالاً فقد فكّ ملكه عنه و عن منافعه و استثنى بعضها، فله ذلك؛ لعموم الخبر</w:t>
      </w:r>
      <w:r>
        <w:rPr>
          <w:rStyle w:val="FootnoteAnchor"/>
          <w:rtl w:val="true"/>
        </w:rPr>
        <w:footnoteReference w:id="1213"/>
      </w:r>
      <w:r>
        <w:rPr>
          <w:rFonts w:ascii="Amiri" w:hAnsi="Amiri" w:eastAsia="Amiri" w:cs="Amiri"/>
          <w:color w:val="111111"/>
          <w:sz w:val="28"/>
          <w:sz w:val="28"/>
          <w:szCs w:val="28"/>
          <w:rtl w:val="true"/>
          <w:lang w:bidi="ar-SA"/>
        </w:rPr>
        <w:t>،و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قبوله مطلقاً كالكتابة</w:t>
      </w:r>
      <w:r>
        <w:rPr>
          <w:rStyle w:val="FootnoteAnchor"/>
          <w:rtl w:val="true"/>
        </w:rPr>
        <w:footnoteReference w:id="1214"/>
      </w:r>
      <w:r>
        <w:rPr>
          <w:rFonts w:ascii="IRNazanin" w:hAnsi="IRNazanin" w:eastAsia="IRNazanin"/>
          <w:color w:val="111111"/>
          <w:sz w:val="28"/>
          <w:sz w:val="28"/>
          <w:szCs w:val="28"/>
          <w:rtl w:val="true"/>
          <w:lang w:bidi="fa-IR"/>
        </w:rPr>
        <w:t>لاقتضاء التحرير تبعيّة المنافع، فلایصحّ شرطه شيئاً منها إلّا بقبول المملوك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فصّل ثالث، فشرط رضاه إن كان المشروط عليه مالاً، و نفاه إن كان خدمةً</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و الفرق أنّ الخدمة مستحقّة للمولى بالأصالة، فشرطها كاستثناء بعض المملوك عن النقل، بخلاف شرط المال، فإنّه غير مملوك للمولى عليه، و لايجب على المملوك تحصيله بل بذل العمل، سواء ترتّب عليه المال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نمنع من جواز إلزامه بالضريبة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الكلام فيه </w:t>
      </w:r>
      <w:r>
        <w:rPr>
          <w:rFonts w:eastAsia="Amiri" w:cs="Amiri" w:ascii="Amiri" w:hAnsi="Amiri"/>
          <w:color w:val="111111"/>
          <w:sz w:val="28"/>
          <w:szCs w:val="28"/>
          <w:rtl w:val="true"/>
          <w:lang w:bidi="ar-SA"/>
        </w:rPr>
        <w:t xml:space="preserve">. </w:t>
      </w:r>
      <w:r>
        <w:rPr>
          <w:rStyle w:val="FootnoteAnchor"/>
          <w:rtl w:val="true"/>
        </w:rPr>
        <w:footnoteReference w:id="1216"/>
      </w:r>
      <w:r>
        <w:rPr>
          <w:rFonts w:ascii="IRNazanin" w:hAnsi="IRNazanin" w:eastAsia="IRNazanin"/>
          <w:color w:val="111111"/>
          <w:sz w:val="28"/>
          <w:sz w:val="28"/>
          <w:szCs w:val="28"/>
          <w:rtl w:val="true"/>
          <w:lang w:bidi="fa-IR"/>
        </w:rPr>
        <w:t>و هذا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تقرّر ذلك، فإن أطلق عليه الشرط لزمه الوفاء به، و مع الإخلال يستقرّ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كان أو خدمةً كالدين وإن شرط عليه مع ذلك إعادته في الرقّ إن خالف، ففي صحّة العتق و الشرط، أو بطلانهما، أو صحّة العنق خاصّةً، أقوال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 أوّلها الشيخ في النهاية</w:t>
      </w:r>
      <w:r>
        <w:rPr>
          <w:rStyle w:val="FootnoteAnchor"/>
          <w:rtl w:val="true"/>
        </w:rPr>
        <w:footnoteReference w:id="1217"/>
      </w:r>
      <w:r>
        <w:rPr>
          <w:rFonts w:ascii="IRNazanin" w:hAnsi="IRNazanin" w:eastAsia="IRNazanin"/>
          <w:color w:val="111111"/>
          <w:sz w:val="28"/>
          <w:sz w:val="28"/>
          <w:szCs w:val="28"/>
          <w:rtl w:val="true"/>
          <w:lang w:bidi="fa-IR"/>
        </w:rPr>
        <w:t>، و أتباعه</w:t>
      </w:r>
      <w:r>
        <w:rPr>
          <w:rStyle w:val="FootnoteAnchor"/>
          <w:rtl w:val="true"/>
        </w:rPr>
        <w:footnoteReference w:id="1218"/>
      </w:r>
      <w:r>
        <w:rPr>
          <w:rFonts w:ascii="IRNazanin" w:hAnsi="IRNazanin" w:eastAsia="IRNazanin"/>
          <w:color w:val="111111"/>
          <w:sz w:val="28"/>
          <w:sz w:val="28"/>
          <w:szCs w:val="28"/>
          <w:rtl w:val="true"/>
          <w:lang w:bidi="fa-IR"/>
        </w:rPr>
        <w:t>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خصوص </w:t>
      </w:r>
    </w:p>
    <w:p>
      <w:pPr>
        <w:pStyle w:val="BookText"/>
        <w:rPr/>
      </w:pPr>
      <w:r>
        <w:rPr>
          <w:rFonts w:ascii="Amiri" w:hAnsi="Amiri" w:eastAsia="Amiri" w:cs="Amiri"/>
          <w:color w:val="111111"/>
          <w:sz w:val="28"/>
          <w:sz w:val="28"/>
          <w:szCs w:val="28"/>
          <w:rtl w:val="true"/>
          <w:lang w:bidi="ar-SA"/>
        </w:rPr>
        <w:t>و لو شرط خدمةً زمان معيّن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قضى المدّة آبقاً لم يعد في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للورثة مطالبته بأُجرة مثل الخدمة؟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الوجه اللزوم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رواية إسحاق بن عمّار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يعتق مملوكه، و يزوّجه ابنته، و يشترط عليه إن هو أغارها أن يردّه في الرقّ،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شرطه</w:t>
      </w:r>
      <w:r>
        <w:rPr>
          <w:rFonts w:eastAsia="IRNazanin" w:cs="IRNazanin"/>
          <w:color w:val="111111"/>
          <w:sz w:val="28"/>
          <w:szCs w:val="28"/>
          <w:rtl w:val="true"/>
          <w:lang w:bidi="fa-IR"/>
        </w:rPr>
        <w:t>»</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و أجاب المصنّف في النكت بشذوذ الرواية، و ضعف سندها، و منافاتها لأُصول المذهب، فيجب اطراحها، و اختار بطلانهما معاً</w:t>
      </w:r>
      <w:r>
        <w:rPr>
          <w:rStyle w:val="FootnoteAnchor"/>
          <w:rtl w:val="true"/>
        </w:rPr>
        <w:footnoteReference w:id="1220"/>
      </w:r>
      <w:r>
        <w:rPr>
          <w:rFonts w:ascii="Amiri" w:hAnsi="Amiri" w:eastAsia="Amiri" w:cs="Amiri"/>
          <w:color w:val="111111"/>
          <w:sz w:val="28"/>
          <w:sz w:val="28"/>
          <w:szCs w:val="28"/>
          <w:rtl w:val="true"/>
          <w:lang w:bidi="ar-SA"/>
        </w:rPr>
        <w:t>لتضمّنه عود من ثبتت حرّيّته رقّاً و هو غير جائز و لا 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لايرد مثله في المكاتب المشروط؛ لأنّه لم يخرج عن الرقّيّة و إن تشبّث بالحرّيّة فلم يعد إليها؛ إذ لم يخرج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 السيّد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عجزت فأنت ردّ في الرقّ المحض الذي ليس بكتابة لا مطلق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 و إن كان مسبوقاً بالمفارقة إلّا أنّها تصدق بالخروج عن محض الرقّيّة، و هي أعمّ من مطلقها، فلايلزم من انتفائها انتفاؤها؛ لأنّ عدم الأخصّ أعمّ من عدم الأعمّ، أو أراد</w:t>
      </w:r>
    </w:p>
    <w:p>
      <w:pPr>
        <w:pStyle w:val="BookText"/>
        <w:rPr/>
      </w:pPr>
      <w:r>
        <w:rPr>
          <w:rFonts w:ascii="Amiri" w:hAnsi="Amiri" w:eastAsia="Amiri" w:cs="Amiri"/>
          <w:color w:val="111111"/>
          <w:sz w:val="28"/>
          <w:sz w:val="28"/>
          <w:szCs w:val="28"/>
          <w:rtl w:val="true"/>
          <w:lang w:bidi="ar-SA"/>
        </w:rPr>
        <w:t>المفارقة مجازاً؛ تسمية للشيء باسم ما يؤول إليه، أو إقامة للسبب مقام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ابن إدريس صحّة العتق و بطلان الشرط</w:t>
      </w:r>
      <w:r>
        <w:rPr>
          <w:rStyle w:val="FootnoteAnchor"/>
          <w:rtl w:val="true"/>
        </w:rPr>
        <w:footnoteReference w:id="1221"/>
      </w:r>
      <w:r>
        <w:rPr>
          <w:rFonts w:ascii="Amiri" w:hAnsi="Amiri" w:eastAsia="Amiri" w:cs="Amiri"/>
          <w:color w:val="111111"/>
          <w:sz w:val="28"/>
          <w:sz w:val="28"/>
          <w:szCs w:val="28"/>
          <w:rtl w:val="true"/>
          <w:lang w:bidi="ar-SA"/>
        </w:rPr>
        <w:t xml:space="preserve">لأنّهما شيئان، فلايلزم من فساد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لعارض مخالفته للمشروع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قوّاه فخر الدين في شرحه؛ محتجّاً ببناء العتق على التغليب</w:t>
      </w:r>
      <w:r>
        <w:rPr>
          <w:rFonts w:eastAsia="Amiri" w:cs="Amiri" w:ascii="Amiri" w:hAnsi="Amiri"/>
          <w:color w:val="111111"/>
          <w:sz w:val="28"/>
          <w:szCs w:val="28"/>
          <w:rtl w:val="true"/>
          <w:lang w:bidi="ar-SA"/>
        </w:rPr>
        <w:t>.</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و الأصحّ بطلانهما معاً؛ لأنّ العتق مجرّداً عن الشرط غير مقصود، و بناء العتق على التغليب لايدلّ على صحّته من دون القصد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 خدمة زمان معيّن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وجب عليه عتق في كفارة لم يجزئه التدبير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اشتراط خدمة زمان معيّن من جملة الشروط السائغة التي یصحّ اشتراطها على المملوك، بل هي أوضح ما يشترط عليه كما 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وفي بالمدّة فلا كلام، و إن أخلّ بها فليس للمالك و لا لورثته إلزامه بالخدمة في مثلها من المدّة قطعاً؛ لأنّ الزمان المعيّن للخدمة قد فات، و هي ليست مثليّةً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لايعاد في الرقّ بالإخلال؛ لما تقدّم</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يثبت عليه أجرة مثل الخدمة المشروطة للمالك أو ورثته؟</w:t>
      </w:r>
    </w:p>
    <w:p>
      <w:pPr>
        <w:pStyle w:val="BookText"/>
        <w:rPr/>
      </w:pPr>
      <w:r>
        <w:rPr>
          <w:rFonts w:ascii="Amiri" w:hAnsi="Amiri" w:eastAsia="Amiri" w:cs="Amiri"/>
          <w:color w:val="111111"/>
          <w:sz w:val="28"/>
          <w:sz w:val="28"/>
          <w:szCs w:val="28"/>
          <w:rtl w:val="true"/>
          <w:lang w:bidi="ar-SA"/>
        </w:rPr>
        <w:t>قال الشيخ في النهاية</w:t>
      </w:r>
      <w:r>
        <w:rPr>
          <w:rStyle w:val="FootnoteAnchor"/>
          <w:rtl w:val="true"/>
        </w:rPr>
        <w:footnoteReference w:id="1224"/>
      </w:r>
      <w:r>
        <w:rPr>
          <w:rFonts w:ascii="IRNazanin" w:hAnsi="IRNazanin" w:eastAsia="IRNazanin"/>
          <w:color w:val="111111"/>
          <w:sz w:val="28"/>
          <w:sz w:val="28"/>
          <w:szCs w:val="28"/>
          <w:rtl w:val="true"/>
          <w:lang w:bidi="fa-IR"/>
        </w:rPr>
        <w:t>، و أتباعه</w:t>
      </w:r>
      <w:r>
        <w:rPr>
          <w:rStyle w:val="FootnoteAnchor"/>
          <w:rtl w:val="true"/>
        </w:rPr>
        <w:footnoteReference w:id="1225"/>
      </w:r>
      <w:r>
        <w:rPr>
          <w:rFonts w:ascii="Amiri" w:hAnsi="Amiri" w:eastAsia="Amiri" w:cs="Amiri"/>
          <w:color w:val="111111"/>
          <w:sz w:val="28"/>
          <w:sz w:val="28"/>
          <w:szCs w:val="28"/>
          <w:rtl w:val="true"/>
          <w:lang w:bidi="ar-SA"/>
        </w:rPr>
        <w:t>و ابن الجنيد</w:t>
      </w:r>
      <w:r>
        <w:rPr>
          <w:rFonts w:eastAsia="Amiri" w:cs="Amiri" w:ascii="Amiri" w:hAnsi="Amiri"/>
          <w:color w:val="111111"/>
          <w:sz w:val="28"/>
          <w:szCs w:val="28"/>
          <w:rtl w:val="true"/>
          <w:lang w:bidi="ar-SA"/>
        </w:rPr>
        <w:t>:</w:t>
      </w:r>
      <w:r>
        <w:rPr>
          <w:rStyle w:val="FootnoteAnchor"/>
          <w:rtl w:val="true"/>
        </w:rPr>
        <w:footnoteReference w:id="1226"/>
      </w:r>
      <w:r>
        <w:rPr>
          <w:rFonts w:ascii="IRNazanin" w:hAnsi="IRNazanin" w:eastAsia="IRNazanin"/>
          <w:color w:val="111111"/>
          <w:sz w:val="28"/>
          <w:sz w:val="28"/>
          <w:szCs w:val="28"/>
          <w:rtl w:val="true"/>
          <w:lang w:bidi="fa-IR"/>
        </w:rPr>
        <w:t>لا؛ لصحيحة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أعتق جاريةً و شرط عليها أن تخدمه خمسين سنةً فأبقت، ثمّ مات الرجل فوجدها ورثته ألهم أن يستخدموها؟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المصنّف و قبله ابن إدريس</w:t>
      </w:r>
      <w:r>
        <w:rPr>
          <w:rStyle w:val="FootnoteAnchor"/>
          <w:rtl w:val="true"/>
        </w:rPr>
        <w:footnoteReference w:id="1228"/>
      </w:r>
      <w:r>
        <w:rPr>
          <w:rFonts w:ascii="Amiri" w:hAnsi="Amiri" w:eastAsia="Amiri" w:cs="Amiri"/>
          <w:color w:val="111111"/>
          <w:sz w:val="28"/>
          <w:sz w:val="28"/>
          <w:szCs w:val="28"/>
          <w:rtl w:val="true"/>
          <w:lang w:bidi="ar-SA"/>
        </w:rPr>
        <w:t>و المتأخّرون ذهبوا إلى لزوم الأجرة؛ لأنّها حق متقوّم بالمال فيثبت في الذمّة بقيمته و هي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الصحيحة غير منافية لذلك؛ لأنّه إنّما نفى استخدامها و نحن نقول به، لأنّ مدّة الخدمة المعيّنة قد فاتت، و هي ليست مثليّةً حتى تلزمه الخدمة في مثلها، وإنّما عليه أُجرة مثلها؛ لأنّها مستحقّة عليه و قد فوّتها عليهم، و نفي الاستخدام لايقتضي نفي الأجرة الثابتة لهم عوضاً عمّا فوّت عليهم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وجب عليه عتق في كفّارة لم يجزئه التدبير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المعتبر في العتق عن الكفّارة كونه منجّزاً، فلا يجزئ عنه التدبير وإن نوى به التكفير،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أتى على المؤمن سبع سنين استحبّ 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عتق المؤمن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عتق المسلم المخالف و عتق من لايقدر على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بعتق المستضعف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أعتق من يعجز عن الاكتساب استحبّ إعانته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لرواية إبراهيم الكرخي قال، قلت لأبي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هشام بن أُذينة سألني أن أسألك عن رجل جعل لعبده العتق إن حدث لسيّده حدث، فمات السيّد و عليه تحرير رقبة واجبة في كفّارة، أيجزئ عن الميّت عتق العبد الذي كان السيّد جعل له العتق بعد موته في تحرير الرقبة التي كانت على الميّت؟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أتى على المؤمن سبع سنين استحبّ عتقه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مستند الحكم رواية محمّد بن عبد الله بن زرارة، عن بعض آل أعين، عن أبي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مؤمناً فقد عتق بعد سبع سنين أعتقه صاحبه أم لم يعتقه، و لاتحلّ خدمة من كان مؤمناً بعد سبع سنين</w:t>
      </w:r>
      <w:r>
        <w:rPr>
          <w:rFonts w:eastAsia="IRNazanin" w:cs="IRNazanin"/>
          <w:color w:val="111111"/>
          <w:sz w:val="28"/>
          <w:szCs w:val="28"/>
          <w:rtl w:val="true"/>
          <w:lang w:bidi="fa-IR"/>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محمولة على استحباب عتقه بعد المدّة، للإجماع على أنّه لايعتق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وإن كانت مرسلةً إلّا أنّ دليل السنن يتأدّى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عتق المؤمن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عتق المسلم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استحباب عتق المؤمن مطلقاً؛ لما فيه من الإحسان إليه و تخليصه من نقص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صدر الكتاب ما يدلّ على تأكّد الاستحباب</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يكره عتق المخالف؛ 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أغنى الله عن عتق أحدكم، تعتقون اليوم و يكون علينا غداً، لايجوز لكم أن تعتقوا إلّا عارفاً</w:t>
      </w:r>
      <w:r>
        <w:rPr>
          <w:rFonts w:eastAsia="IRNazanin" w:cs="IRNazanin"/>
          <w:color w:val="111111"/>
          <w:sz w:val="28"/>
          <w:szCs w:val="28"/>
          <w:rtl w:val="true"/>
          <w:lang w:bidi="fa-IR"/>
        </w:rPr>
        <w:t>»</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محمول على الكراهة كما سلف</w:t>
      </w:r>
      <w:r>
        <w:rPr>
          <w:rFonts w:eastAsia="Amiri" w:cs="Amiri" w:ascii="Amiri" w:hAnsi="Amiri"/>
          <w:color w:val="111111"/>
          <w:sz w:val="28"/>
          <w:szCs w:val="28"/>
          <w:rtl w:val="true"/>
          <w:lang w:bidi="ar-SA"/>
        </w:rPr>
        <w:t xml:space="preserve">. </w:t>
      </w:r>
      <w:bookmarkStart w:id="374" w:name="pg10270_80375"/>
    </w:p>
    <w:p>
      <w:pPr>
        <w:pStyle w:val="BookText"/>
        <w:rPr/>
      </w:pPr>
      <w:bookmarkEnd w:id="374"/>
      <w:r>
        <w:rPr>
          <w:rFonts w:ascii="Amiri" w:hAnsi="Amiri" w:eastAsia="Amiri" w:cs="Amiri"/>
          <w:color w:val="111111"/>
          <w:sz w:val="28"/>
          <w:sz w:val="28"/>
          <w:szCs w:val="28"/>
          <w:rtl w:val="true"/>
          <w:lang w:bidi="ar-SA"/>
        </w:rPr>
        <w:t>ويلحق بهذا الفصل مسائل</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3860244_1067777946"/>
      <w:bookmarkStart w:id="376" w:name="_Toc136"/>
      <w:bookmarkEnd w:id="375"/>
      <w:r>
        <w:rPr>
          <w:rtl w:val="true"/>
        </w:rPr>
        <w:t>لو نذر عتق أوّل مملوك يملكه فملك جماعة</w:t>
      </w:r>
      <w:bookmarkEnd w:id="376"/>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عتق أوّل مملوك يملكه فملك جماعة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أحدهم بالقرعة،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و يعتق،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لايعتق شيئاً؛ لأنّه لم يتحقّق شرط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كذا يكره عتق العاجز عن القيام بكفايته، إلّا أن يعينه بالإنفاق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مملوكاً لا حيلة له، فإنّ عليه أن يعوله حتّى يستغني عنه، و كذلك كان عليّ  علیه السلام يفعل إذا أعتق الصغار و من لا حيلة له</w:t>
      </w:r>
      <w:r>
        <w:rPr>
          <w:rFonts w:eastAsia="IRNazanin" w:cs="IRNazanin"/>
          <w:color w:val="111111"/>
          <w:sz w:val="28"/>
          <w:szCs w:val="28"/>
          <w:rtl w:val="true"/>
          <w:lang w:bidi="fa-IR"/>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النسمة،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من أغنى نفسه</w:t>
      </w:r>
      <w:r>
        <w:rPr>
          <w:rFonts w:eastAsia="Amiri" w:cs="Amiri" w:ascii="Amiri" w:hAnsi="Amiri"/>
          <w:color w:val="111111"/>
          <w:sz w:val="28"/>
          <w:szCs w:val="28"/>
          <w:rtl w:val="true"/>
          <w:lang w:bidi="ar-SA"/>
        </w:rPr>
        <w:t>»</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 xml:space="preserve">و روى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لأبي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 تعتق من المستضعفين؟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البحث عن حقيقة المستضعف في تضاعيف الكتاب مراراً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نذر عتق أوّل مملوك يملكه فملك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نذر عتق أوّل مملوك يملكه صحّ النذر و إن كان المنذور مبهماً كما يجوز نذر المعيّن؛ للأصل و النصّ</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اتّفق ملك واحد ببيع أو هبة أو ميراث أو غيرها 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يشترط لعتقه أن يملك آخر بعده؟وجهان، من أنّ الأوّليّة تقتضى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ثبوتى و هو سبقه لغيره، و الآخر عدمي و هو عدم سبق غيره له، و من الشكّ في اقتضائه الأمر الأوّل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عدم الاشتراط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ملك جماعةً دفعةً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عتق واحدٍ منهم، و يخرج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لزوم العتق فلوجود شرط النذر فوجب الوفاء به؛ لأنّ الأوّليّة موجودة في كلّ واحد منهم، لأنّه بملك الجماعة صدق أنّه ملك واحداً؛ لأنّه من جملة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إخراجه بالقرعة فلانتفاء الأولويّة عن أحدهم؛ و لصحيحة الحلبي عن الصادق علیه السلام في 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مملوك أملكه فهو حرّ، فورث سبعةً جميعاً،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يقرع بينهم ويعتق الذي يخرج سهمه</w:t>
      </w:r>
      <w:r>
        <w:rPr>
          <w:rFonts w:eastAsia="IRNazanin" w:cs="IRNazanin"/>
          <w:color w:val="111111"/>
          <w:sz w:val="28"/>
          <w:szCs w:val="28"/>
          <w:rtl w:val="true"/>
          <w:lang w:bidi="fa-IR"/>
        </w:rPr>
        <w:t>»</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الشيخ في النهاية</w:t>
      </w:r>
      <w:r>
        <w:rPr>
          <w:rStyle w:val="FootnoteAnchor"/>
          <w:rtl w:val="true"/>
        </w:rPr>
        <w:footnoteReference w:id="1239"/>
      </w:r>
      <w:r>
        <w:rPr>
          <w:rFonts w:ascii="IRNazanin" w:hAnsi="IRNazanin" w:eastAsia="IRNazanin"/>
          <w:color w:val="111111"/>
          <w:sz w:val="28"/>
          <w:sz w:val="28"/>
          <w:szCs w:val="28"/>
          <w:rtl w:val="true"/>
          <w:lang w:bidi="fa-IR"/>
        </w:rPr>
        <w:t>و الصدوق</w:t>
      </w:r>
      <w:r>
        <w:rPr>
          <w:rStyle w:val="FootnoteAnchor"/>
          <w:rtl w:val="true"/>
        </w:rPr>
        <w:footnoteReference w:id="1240"/>
      </w:r>
      <w:r>
        <w:rPr>
          <w:rFonts w:ascii="Amiri" w:hAnsi="Amiri" w:eastAsia="Amiri" w:cs="Amiri"/>
          <w:color w:val="111111"/>
          <w:sz w:val="28"/>
          <w:sz w:val="28"/>
          <w:szCs w:val="28"/>
          <w:rtl w:val="true"/>
          <w:lang w:bidi="ar-SA"/>
        </w:rPr>
        <w:t>و جماعة</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یصحّ، و يتخيّر الناذر مع بقائه و قدرته عليه، و إلّا فالقرعة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ابن الجنيد</w:t>
      </w:r>
      <w:r>
        <w:rPr>
          <w:rStyle w:val="FootnoteAnchor"/>
          <w:rtl w:val="true"/>
        </w:rPr>
        <w:footnoteReference w:id="1242"/>
      </w:r>
      <w:r>
        <w:rPr>
          <w:rFonts w:ascii="Amiri" w:hAnsi="Amiri" w:eastAsia="Amiri" w:cs="Amiri"/>
          <w:color w:val="111111"/>
          <w:sz w:val="28"/>
          <w:sz w:val="28"/>
          <w:szCs w:val="28"/>
          <w:rtl w:val="true"/>
          <w:lang w:bidi="ar-SA"/>
        </w:rPr>
        <w:t>و الشيخ في التهذيب</w:t>
      </w:r>
      <w:r>
        <w:rPr>
          <w:rStyle w:val="FootnoteAnchor"/>
          <w:rtl w:val="true"/>
        </w:rPr>
        <w:footnoteReference w:id="1243"/>
      </w:r>
      <w:r>
        <w:rPr>
          <w:rFonts w:ascii="Amiri" w:hAnsi="Amiri" w:eastAsia="Amiri" w:cs="Amiri"/>
          <w:color w:val="111111"/>
          <w:sz w:val="28"/>
          <w:sz w:val="28"/>
          <w:szCs w:val="28"/>
          <w:rtl w:val="true"/>
          <w:lang w:bidi="ar-SA"/>
        </w:rPr>
        <w:t>و المصنّف في النكت</w:t>
      </w:r>
      <w:r>
        <w:rPr>
          <w:rStyle w:val="FootnoteAnchor"/>
          <w:rtl w:val="true"/>
        </w:rPr>
        <w:footnoteReference w:id="1244"/>
      </w:r>
      <w:r>
        <w:rPr>
          <w:rFonts w:ascii="Amiri" w:hAnsi="Amiri" w:eastAsia="Amiri" w:cs="Amiri"/>
          <w:color w:val="111111"/>
          <w:sz w:val="28"/>
          <w:sz w:val="28"/>
          <w:szCs w:val="28"/>
          <w:rtl w:val="true"/>
          <w:lang w:bidi="ar-SA"/>
        </w:rPr>
        <w:t>و الشهيد في الشرح</w:t>
      </w:r>
      <w:r>
        <w:rPr>
          <w:rStyle w:val="FootnoteAnchor"/>
          <w:rtl w:val="true"/>
        </w:rPr>
        <w:footnoteReference w:id="1245"/>
      </w:r>
      <w:r>
        <w:rPr>
          <w:rFonts w:ascii="IRNazanin" w:hAnsi="IRNazanin" w:eastAsia="IRNazanin"/>
          <w:color w:val="111111"/>
          <w:sz w:val="28"/>
          <w:sz w:val="28"/>
          <w:szCs w:val="28"/>
          <w:rtl w:val="true"/>
          <w:lang w:bidi="fa-IR"/>
        </w:rPr>
        <w:t>لرواية الحسن الصيقل أنّه سأل الصادق علیه السلام عن 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مملوك أملكه فهو حرّ، فأصاب ستّةً،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كانت نيّته على واحد، فليختر أيّهم شاء فليعتقه</w:t>
      </w:r>
      <w:r>
        <w:rPr>
          <w:rFonts w:eastAsia="IRNazanin" w:cs="IRNazanin"/>
          <w:color w:val="111111"/>
          <w:sz w:val="28"/>
          <w:szCs w:val="28"/>
          <w:rtl w:val="true"/>
          <w:lang w:bidi="fa-IR"/>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 القائلون بهذه الرواية روايةَ القرعة على الاستحباب جمعاً بين الأخبار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لأنّ رواية القرعة صحيحة السند، و هذه ضعيفة السند، فإنّ في طريقها </w:t>
      </w:r>
      <w:bookmarkStart w:id="377" w:name="pg10270_80377"/>
    </w:p>
    <w:p>
      <w:pPr>
        <w:pStyle w:val="Heading5"/>
        <w:numPr>
          <w:ilvl w:val="4"/>
          <w:numId w:val="1"/>
        </w:numPr>
        <w:rPr/>
      </w:pPr>
      <w:bookmarkStart w:id="378" w:name="__RefHeading___Toc3860246_1067777946"/>
      <w:bookmarkStart w:id="379" w:name="_Toc137"/>
      <w:bookmarkEnd w:id="377"/>
      <w:bookmarkEnd w:id="378"/>
      <w:r>
        <w:rPr>
          <w:rtl w:val="true"/>
        </w:rPr>
        <w:t>لو نذر تحرير أوّل ما تلده فولدت توأمين</w:t>
      </w:r>
      <w:bookmarkEnd w:id="379"/>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نذر تحرير أوّل ما تلده فولدت توأمين كانا معتقين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 بن يسار و هو ضعيف</w:t>
      </w:r>
      <w:r>
        <w:rPr>
          <w:rStyle w:val="FootnoteAnchor"/>
          <w:rtl w:val="true"/>
        </w:rPr>
        <w:footnoteReference w:id="1247"/>
      </w:r>
      <w:r>
        <w:rPr>
          <w:rFonts w:ascii="Amiri" w:hAnsi="Amiri" w:eastAsia="Amiri" w:cs="Amiri"/>
          <w:color w:val="111111"/>
          <w:sz w:val="28"/>
          <w:sz w:val="28"/>
          <w:szCs w:val="28"/>
          <w:rtl w:val="true"/>
          <w:lang w:bidi="ar-SA"/>
        </w:rPr>
        <w:t xml:space="preserve">، و الحسن الصيقل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الحال</w:t>
      </w:r>
      <w:r>
        <w:rPr>
          <w:rStyle w:val="FootnoteAnchor"/>
          <w:rtl w:val="true"/>
        </w:rPr>
        <w:footnoteReference w:id="1248"/>
      </w:r>
      <w:r>
        <w:rPr>
          <w:rFonts w:ascii="Amiri" w:hAnsi="Amiri" w:eastAsia="Amiri" w:cs="Amiri"/>
          <w:color w:val="111111"/>
          <w:sz w:val="28"/>
          <w:sz w:val="28"/>
          <w:szCs w:val="28"/>
          <w:rtl w:val="true"/>
          <w:lang w:bidi="ar-SA"/>
        </w:rPr>
        <w:t>، فالعمل بالأخرى متعيّن؛ لعدم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النذر؛ لفقد صفته المعتبرة فيه و هي وحدة المملوك، و لا أوّل للمملوكين دفعةً إلّا الجملة و عتقها غير مقصود، و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w:t>
      </w:r>
      <w:r>
        <w:rPr>
          <w:rStyle w:val="FootnoteAnchor"/>
          <w:rtl w:val="true"/>
        </w:rPr>
        <w:footnoteReference w:id="1249"/>
      </w:r>
      <w:r>
        <w:rPr>
          <w:rFonts w:ascii="Amiri" w:hAnsi="Amiri" w:eastAsia="Amiri" w:cs="Amiri"/>
          <w:color w:val="111111"/>
          <w:sz w:val="28"/>
          <w:sz w:val="28"/>
          <w:szCs w:val="28"/>
          <w:rtl w:val="true"/>
          <w:lang w:bidi="ar-SA"/>
        </w:rPr>
        <w:t>بظهور الأوّل بما ذكر، و بالنصّ و هو مخرج بحكم الأصل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نذر تحرير أوّل ما تلده فولدت توأمين كانا معتقين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التوأمان هما الولدان في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عتقا معاً دون المملوك المتعدّد في السابقة؛ لأنّ المنذور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 فيشمل الجميع بخلاف المملوك، فإنّه نكرة في سياق الإثبات فلا تكون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المنذور في الأوّل كان أوّل ما يملكه، و الثاني أوّل ولد تلده؛ لانعكس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الفرق يتمّ مع إرادته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موصولةً لتعمّ، فلو قصدها مصدريّةً كانت بمعنى 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أطلق ففي حمله على أيّهما وجهان من اشتراكها</w:t>
      </w:r>
      <w:r>
        <w:rPr>
          <w:rStyle w:val="FootnoteAnchor"/>
          <w:rtl w:val="true"/>
        </w:rPr>
        <w:footnoteReference w:id="1250"/>
      </w:r>
      <w:r>
        <w:rPr>
          <w:rFonts w:ascii="Amiri" w:hAnsi="Amiri" w:eastAsia="Amiri" w:cs="Amiri"/>
          <w:color w:val="111111"/>
          <w:sz w:val="28"/>
          <w:sz w:val="28"/>
          <w:szCs w:val="28"/>
          <w:rtl w:val="true"/>
          <w:lang w:bidi="ar-SA"/>
        </w:rPr>
        <w:t>المانع من حملها على أحدهما بغير قرينة و المتيقّن منه هو الواحد، و من احتمال ظهورها في العامّ كما هو ظاهر حكم الأصحاب، و الرواية</w:t>
      </w:r>
      <w:r>
        <w:rPr>
          <w:rStyle w:val="FootnoteAnchor"/>
          <w:rtl w:val="true"/>
        </w:rPr>
        <w:footnoteReference w:id="1251"/>
      </w:r>
      <w:r>
        <w:rPr>
          <w:rFonts w:ascii="Amiri" w:hAnsi="Amiri" w:eastAsia="Amiri" w:cs="Amiri"/>
          <w:color w:val="111111"/>
          <w:sz w:val="28"/>
          <w:sz w:val="28"/>
          <w:szCs w:val="28"/>
          <w:rtl w:val="true"/>
          <w:lang w:bidi="ar-SA"/>
        </w:rPr>
        <w:t>، مؤيّدة و إن لم تصلح لتأسيس الحكم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قصد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 الجنس احتمل مساواته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لصلاحيّته للجميع كما يصلح </w:t>
      </w:r>
      <w:bookmarkStart w:id="380" w:name="pg10270_80378"/>
    </w:p>
    <w:p>
      <w:pPr>
        <w:pStyle w:val="Heading5"/>
        <w:numPr>
          <w:ilvl w:val="4"/>
          <w:numId w:val="1"/>
        </w:numPr>
        <w:rPr/>
      </w:pPr>
      <w:bookmarkStart w:id="381" w:name="__RefHeading___Toc3860248_1067777946"/>
      <w:bookmarkStart w:id="382" w:name="_Toc138"/>
      <w:bookmarkEnd w:id="380"/>
      <w:bookmarkEnd w:id="381"/>
      <w:r>
        <w:rPr>
          <w:rtl w:val="true"/>
        </w:rPr>
        <w:t>لو كان له مماليك فأعتق بعضهم</w:t>
      </w:r>
      <w:bookmarkEnd w:id="382"/>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له مماليك فأعتق بعضهم، ثمّ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أعتقت مماليكك؟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انصرف الجواب إلى من باشر عتقهم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للواحد، و الوجه الفرق، فإنّ صلاحية الجنس للواحد و المتعدّد يمنع من حمله على المتعدّد بغير قرينة، و المتيقّن منه هو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الحكم بعتقهما معاً على تقديره ولادتهما دفعةً وإن كان نادراً؛ إذ لو سبق خروج أحدهما لكان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الأكثر الحكم من غير تقييد بالدفعة تبعاً لإطلاق الرواية، و هو حسن</w:t>
      </w:r>
      <w:r>
        <w:rPr>
          <w:rStyle w:val="FootnoteAnchor"/>
          <w:rtl w:val="true"/>
        </w:rPr>
        <w:footnoteReference w:id="1252"/>
      </w:r>
      <w:r>
        <w:rPr>
          <w:rFonts w:ascii="Amiri" w:hAnsi="Amiri" w:eastAsia="Amiri" w:cs="Amiri"/>
          <w:color w:val="111111"/>
          <w:sz w:val="28"/>
          <w:sz w:val="28"/>
          <w:szCs w:val="28"/>
          <w:rtl w:val="true"/>
          <w:lang w:bidi="ar-SA"/>
        </w:rPr>
        <w:t>لو صلحت لإثبات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ولدت الأوّل حيّاً، وإلّا عتق الثاني؛ لأنّ الميّت لايصلح للعتق، و نذره صحيحاً يدلّ على حياته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هنا؛ لفوات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ولدته مستحقّاً للعتق كالمقعد فالوجهان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بعدم عتق الثاني هنا؛ لصلاحية الأوّل للعتق و غايته اجتماع سببين لعتقه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له مماليك فأعتق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ذكرها الشيخ</w:t>
      </w:r>
      <w:r>
        <w:rPr>
          <w:rStyle w:val="FootnoteAnchor"/>
          <w:rtl w:val="true"/>
        </w:rPr>
        <w:footnoteReference w:id="1253"/>
      </w:r>
      <w:r>
        <w:rPr>
          <w:rFonts w:ascii="Amiri" w:hAnsi="Amiri" w:eastAsia="Amiri" w:cs="Amiri"/>
          <w:color w:val="111111"/>
          <w:sz w:val="28"/>
          <w:sz w:val="28"/>
          <w:szCs w:val="28"/>
          <w:rtl w:val="true"/>
          <w:lang w:bidi="ar-SA"/>
        </w:rPr>
        <w:t>و الجماعة</w:t>
      </w:r>
      <w:r>
        <w:rPr>
          <w:rStyle w:val="FootnoteAnchor"/>
          <w:rtl w:val="true"/>
        </w:rPr>
        <w:footnoteReference w:id="1254"/>
      </w:r>
      <w:r>
        <w:rPr>
          <w:rFonts w:ascii="Amiri" w:hAnsi="Amiri" w:eastAsia="Amiri" w:cs="Amiri"/>
          <w:color w:val="111111"/>
          <w:sz w:val="28"/>
          <w:sz w:val="28"/>
          <w:szCs w:val="28"/>
          <w:rtl w:val="true"/>
          <w:lang w:bidi="ar-SA"/>
        </w:rPr>
        <w:t>بهذا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فيها رواية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قال لثلاثة مماليك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أحرار، و كان له أربعة، فقال له رجل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 مماليكك؟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أيجب العتق لأربعة حين أجملهم، أو هو للثلاثة الذين أعتق؟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يجب العتق لمن أعتق</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الحكم بحث، و فيه على إطلاقه إشكال؛ لأنّ الحكم إن كان جارياً على ما في نفس الأمر من دون أن يعتبر لفظه إقراراً بالعتق ظاهراً فالحكم كذلك، و لا فرق عليه بين 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أعتقهم بالغين حدّ الكثرة و عدمه، فلو كان قد أعتق واحداً منهم و عبّر بذلك لم يعتق سوى من كان قد أعتقه؛ لأنّ الإقرار ليس من الأسباب الموجبة لإنشاء العتق في الحال، و إنّما هو إخبار عمّا سبق، فلایصحّ إذا لم يكن مطابقاً لخارج سابق عليه مستند إلى سبب اقتضاه، فما كان قد وقع عليه العتق انصرف إليه، و غيره يبقى على أصل الرقّ قليلاً كان أم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كان جارياً على ظاهر الإقرار فمقتضاه الحكم بانعتاق جميع مماليكه؛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مضاف و هو يفيد العموم،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تقرير السؤال و إعادته، فيكون إقراراً بعتق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قاصرة الدلالة عن إفادة قصر الحكم على ما في نفس الأمر و إطراح الإقرار ظاهراً، من حيث إنّها مقطوعة ضعيفة السند إلّا أنّ الشيخ لايراعي في عمله تصحيح الرواية خصوصاً في النهاية، و تبعه الجماعة زاعمين انجبار الضعف بالشهرة، فلذلك رتّبوا الحكم على ما في نفس الأمر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يشكل بما لو كان المعتَق دون العدد الكثير و قد أجاب به بل بصيغة جمع الكثرة، فكيف ينصرف الإقرار إلى ما أعتقه خاصّةً و تحصل المطابقة بين عتقه لواحد 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 مماليكي؟و لأجل ذلك استقرب العلّامة في القواعد اشتراط الكثرة في المعتق</w:t>
      </w:r>
      <w:r>
        <w:rPr>
          <w:rStyle w:val="FootnoteAnchor"/>
          <w:rtl w:val="true"/>
        </w:rPr>
        <w:footnoteReference w:id="1256"/>
      </w:r>
      <w:r>
        <w:rPr>
          <w:rFonts w:ascii="IRNazanin" w:hAnsi="IRNazanin" w:eastAsia="IRNazanin"/>
          <w:color w:val="111111"/>
          <w:sz w:val="28"/>
          <w:sz w:val="28"/>
          <w:szCs w:val="28"/>
          <w:rtl w:val="true"/>
          <w:lang w:bidi="fa-IR"/>
        </w:rPr>
        <w:t>لتطابق لفظ الإقرار و الإشكال فيه أقوى من الإطلاق؛ لأنّه لايجري على الظاهر و لا على ما في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الظاهر فلما ذكرناه من استلزام الإقرار عتق الجميع من حيث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مضاف مفيد للعموم و قد أقرّه في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في نفس الأمر؛ فلأنّ العتق لم يقع فيه إلّا على من باشر عتقه خاصّةً، و صيغة الإقرار ليست من الأسباب المنشئة لعتق باقي العدد المعتبر في الكثرة تتمّةٌ لما وقع عليه العتق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اعتذر له ولده فخر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إذا أعتق ثلاثة من مماليكه يصدق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مماليكي حقيقةً، فإذا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أعتقت مماليكك؟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هي تقتضي إعادة السؤال و تقريره، فيكون إقراراً بعتق المماليك الذين انعتقوا، فلايلزم بغيرهم؛ لأصالة البراءة، و لأنّ الإقرار إنّما نحمله على التحقيق و المتيقّن لا على ما فيه احتمال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يشترط في الاقتصار عليه كثرةٌ بحيث يصدق عليه الجمع حقيقةً أم لا؟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القولين أنّ اللفظ إنّما يحمل على الإقرار على أصل الحقيقة، و من حيث أصل البراءة، و من جواز التجوّز به فعلى عدم الاشتراط يكتفى بالواحد، و على عدمه لايكتفى بالواحد، و يلزم بعتق ما يصدق عليه الجمع، و يكون في الباقي كالمشتبه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هذا البحث مبنيّاً على الحكم بمجرّد الإقرار ظاهراً، أمّا البحث عمّا في نفس الأمر فلاينعتق إلّا ما أوقع عليه العتق</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الكلام نظر من وجوه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الفرق بين المتنازع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 مماليكي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مقتضى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لمن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 مماليكك؟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قوله عن ثلاثة من مماليكه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مماليكي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اشتركا في صيغة العموم؛ لأنّ لفظ العموم يستغرق ما يصلح له و يدخل فيه دون غيره،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 مماليكي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لجميع من هو داخل في ملكه و إن بلغوا ألفاً، فيتناولهم العموم،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مماليكي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يتناول المشار إليهم دون غيرهم، فلايلزم من صدق قوله عن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مماليكي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الحكم بعتق ثلاثةٍ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 مماليكي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بلفظه على الجميع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إقراراً بعتق المماليك الذين انعتقوا فلا يلزم بغيرهم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لايتمّ إلّا بحسب نفس الأمر، أمّا بحسب الظاهر فقد وجد الإقرار بالعتق الدالّ بالوضع على الجميع فلا يختصّ بالبعض، و بهذا ينقطع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اعترف بأنّ الحكم مبنيّ على الظاهر لا على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الإقرار إنّما نحمله على التحقيق و المتيقّن لا على ما فيه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به المتيقّن بحسب مدلول اللفظ فمسلّم لكن لاينفعه في الاقتصار على الثلاثة؛ لأنّ مدلول اللفظ و المتيقّن منه متناول لجميع مماليكه بالنظر إلى عموم لفظ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أراد المتيقّن في نفس الأمر و نفي المحتمل خروجه و إن دلّ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فساده؛ لأنّ الإنسان مؤاخذ بما يدلّ عليه لفظه و إن احتمل في نفس الأمر خلافه، 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عليّ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يحكم عليه بها؛ لدلالة لفظه على كونها مستحقّةً عليه و إن كان من المحتمل في نفس الأمر براءته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 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قد أعتق أحداً منهم، فإنّه يؤخذ بإقراره، و يحكم عليه بعتق الجميع أو البعض على حسب ما قد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الخلاف في الحكم بعتق واحدٍ خاصّةً أو أقلّ الجمع على الظاهر مع وجود اللفظ الدالّ على الجمع و العموم غير مطابق، بل اللازم من العمل بالظاهر الحكم عليه بعتق الجميع أو الجمع، أمّا الاقتصار على الواحد فلايقتضيه اللفظ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لايقول أحد بأنّ من أقرّ بشيء بصيغة الجمع فضلاً عن العموم يلزمه واحد خاصّةً، وإنّما الخلاف في حمل الجمع على اثنين أو على ثلاثة فصاعداً، أمّا الواحد فليس محلّ نظر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في هذه المسألة العمل بالظاهر، و الحكم عليه بعتق الجميع؛ نظراً إلى مدلول لفظه، و أمّا فيما بينه و بين الله تعالى فلايحكم عليه إلّا بعتق من أعتقه خاصّةً، و لايزيد عنه إلى أقلّ الجمع لو كان أقلّ منه قطعاً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دلّت القرائن على أنّه لايريد باللفظ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مرّ على عاشر فأراد أن يأخذ </w:t>
      </w:r>
      <w:bookmarkStart w:id="383" w:name="pg10270_80382"/>
    </w:p>
    <w:p>
      <w:pPr>
        <w:pStyle w:val="Heading5"/>
        <w:numPr>
          <w:ilvl w:val="4"/>
          <w:numId w:val="1"/>
        </w:numPr>
        <w:rPr/>
      </w:pPr>
      <w:bookmarkStart w:id="384" w:name="__RefHeading___Toc3860250_1067777946"/>
      <w:bookmarkStart w:id="385" w:name="_Toc139"/>
      <w:bookmarkEnd w:id="383"/>
      <w:bookmarkEnd w:id="384"/>
      <w:r>
        <w:rPr>
          <w:rtl w:val="true"/>
        </w:rPr>
        <w:t>لو نذر عتق أمته إن وطئها</w:t>
      </w:r>
      <w:bookmarkEnd w:id="385"/>
    </w:p>
    <w:p>
      <w:pPr>
        <w:pStyle w:val="BookText"/>
        <w:rPr/>
      </w:pPr>
      <w:r>
        <w:rPr>
          <w:rFonts w:ascii="Amiri" w:hAnsi="Amiri" w:eastAsia="Amiri" w:cs="Amiri"/>
          <w:color w:val="111111"/>
          <w:sz w:val="28"/>
          <w:sz w:val="28"/>
          <w:szCs w:val="28"/>
          <w:rtl w:val="true"/>
          <w:lang w:bidi="ar-SA"/>
        </w:rPr>
        <w:t>الرابعة • لو نذر عتق أمته إن وطئها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أخرجها من ملكه انحلّت اليمين، و لو أعادها بملك مستأنف لم تعد اليمين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عليهم مظلمةً فأقرّ بذلك، مع ظهور إرادته بخلاف مدلول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اتّجه عدم الحكم عليه به ظاهراً كما لايحكم به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دلّت رواية الوليد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من مصر و معي رقيق، فمررت بالعاشر فسألني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أحرار كلّهم، فقدمت المدينة فدخلت على أبي الحسن علیه السلام فأخبرته بقولي للعاشر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عليك شيء</w:t>
      </w:r>
      <w:r>
        <w:rPr>
          <w:rFonts w:eastAsia="IRNazanin" w:cs="IRNazanin"/>
          <w:color w:val="111111"/>
          <w:sz w:val="28"/>
          <w:szCs w:val="28"/>
          <w:rtl w:val="true"/>
          <w:lang w:bidi="fa-IR"/>
        </w:rPr>
        <w:t>»</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يحكم عليه بظاهر إقراره، و أقرّه على ما فى نفس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كذلك الرواية السابقة ظاهرة في إرادة ما في نفس الأمر لا الظاهر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يجب العتق لمن أعتق</w:t>
      </w:r>
      <w:r>
        <w:rPr>
          <w:rFonts w:eastAsia="IRNazanin" w:cs="IRNazanin"/>
          <w:color w:val="111111"/>
          <w:sz w:val="28"/>
          <w:szCs w:val="28"/>
          <w:rtl w:val="true"/>
          <w:lang w:bidi="fa-IR"/>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عتق أمته إن وطئها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هذا الحكم صحيحة 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تكون له الأمة فيقول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يأتيها فهي حرّة ، ثم يبيعها من رجل، ثمّ يشتريها بعد ذلك،قال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يأتيها قد خرجت عن ملكه</w:t>
      </w:r>
      <w:r>
        <w:rPr>
          <w:rFonts w:eastAsia="IRNazanin" w:cs="IRNazanin"/>
          <w:color w:val="111111"/>
          <w:sz w:val="28"/>
          <w:szCs w:val="28"/>
          <w:rtl w:val="true"/>
          <w:lang w:bidi="fa-IR"/>
        </w:rPr>
        <w:t>»</w:t>
      </w:r>
      <w:r>
        <w:rPr>
          <w:rStyle w:val="FootnoteAnchor"/>
          <w:rtl w:val="true"/>
        </w:rPr>
        <w:footnoteReference w:id="1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وقفت على رادّ لها إلّا ما يظهر من ابن إدريس</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و ظاهرها يدلّ على صحّة تعليق العتق على شرط مطلقاً، لكنّ الأصحاب لمّا لم يقولوا به حملوها على النذر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تعدّي حكمها إلى غير الأمة و إلى التعليق بغير الوطء وجهان، من مخالفتها للأصل حيث إنّ خروجها عن ملكه لا مدخل له في انحلال النذر؛ لأنّ غايته أن تصير أجنبیّة منه و النذر یصحّ تعلقه بالأجنبیّة، كنذر عتقها إن ملكها و هي في ملك غيره ابتداءً كما تقدّم في </w:t>
      </w:r>
      <w:bookmarkStart w:id="386" w:name="pg10270_80383"/>
    </w:p>
    <w:p>
      <w:pPr>
        <w:pStyle w:val="Heading5"/>
        <w:numPr>
          <w:ilvl w:val="4"/>
          <w:numId w:val="1"/>
        </w:numPr>
        <w:rPr/>
      </w:pPr>
      <w:bookmarkStart w:id="387" w:name="__RefHeading___Toc3860252_1067777946"/>
      <w:bookmarkStart w:id="388" w:name="_Toc140"/>
      <w:bookmarkEnd w:id="386"/>
      <w:bookmarkEnd w:id="387"/>
      <w:r>
        <w:rPr>
          <w:rtl w:val="true"/>
        </w:rPr>
        <w:t>لو نذر عتق كلّ عبد قديم</w:t>
      </w:r>
      <w:bookmarkEnd w:id="388"/>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عتق كلّ عبد قديم انصرف إلى من مضى عليه في ملكه ستّة أشهر فصاعداً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نظائره</w:t>
      </w:r>
      <w:r>
        <w:rPr>
          <w:rStyle w:val="FootnoteAnchor"/>
          <w:rtl w:val="true"/>
        </w:rPr>
        <w:footnoteReference w:id="1262"/>
      </w:r>
      <w:r>
        <w:rPr>
          <w:rFonts w:ascii="Amiri" w:hAnsi="Amiri" w:eastAsia="Amiri" w:cs="Amiri"/>
          <w:color w:val="111111"/>
          <w:sz w:val="28"/>
          <w:sz w:val="28"/>
          <w:szCs w:val="28"/>
          <w:rtl w:val="true"/>
          <w:lang w:bidi="ar-SA"/>
        </w:rPr>
        <w:t>، و من الإيماء في الرواية إلى العلّة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خرجت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يوجب التعدّي إلى ما توجد فيه العلّة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حملها على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جواز التصرّف في المنذور المعلّق على شرط قبل حصول الشرط، و فيه خلاف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الحكم بانحلال النذر ما إذا لم يعمّم نذره و لو بالنيّة بما يشمل الملك العائد، و إلّا فلا إشكال في بقاء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نذر عتق كلّ عبد قديم انصرف إلى من مضى عليه في ملكه ستّة أشهر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ذكرها الشيخ فى النهاية</w:t>
      </w:r>
      <w:r>
        <w:rPr>
          <w:rStyle w:val="FootnoteAnchor"/>
          <w:rtl w:val="true"/>
        </w:rPr>
        <w:footnoteReference w:id="1263"/>
      </w:r>
      <w:r>
        <w:rPr>
          <w:rFonts w:ascii="Amiri" w:hAnsi="Amiri" w:eastAsia="Amiri" w:cs="Amiri"/>
          <w:color w:val="111111"/>
          <w:sz w:val="28"/>
          <w:sz w:val="28"/>
          <w:szCs w:val="28"/>
          <w:rtl w:val="true"/>
          <w:lang w:bidi="ar-SA"/>
        </w:rPr>
        <w:t>، و تبعه عليها جماعة المتأخّرين</w:t>
      </w:r>
      <w:r>
        <w:rPr>
          <w:rStyle w:val="FootnoteAnchor"/>
          <w:rtl w:val="true"/>
        </w:rPr>
        <w:footnoteReference w:id="1264"/>
      </w:r>
      <w:r>
        <w:rPr>
          <w:rFonts w:ascii="Amiri" w:hAnsi="Amiri" w:eastAsia="Amiri" w:cs="Amiri"/>
          <w:color w:val="111111"/>
          <w:sz w:val="28"/>
          <w:sz w:val="28"/>
          <w:szCs w:val="28"/>
          <w:rtl w:val="true"/>
          <w:lang w:bidi="ar-SA"/>
        </w:rPr>
        <w:t>حتّى ابن إدريس</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الأصل فيها رواية داود النهدي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سعيد المكاري على أبي الحسن الرضا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عن مسألة رجل قال 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مملوك لي قديم فهو حرّ لوجه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يقول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عَادَ كَالْعُرْجُونِ الْقَدِيمِ</w:t>
      </w:r>
      <w:r>
        <w:rPr>
          <w:rFonts w:eastAsia="IRNazanin" w:cs="IRNazanin"/>
          <w:color w:val="111111"/>
          <w:sz w:val="28"/>
          <w:szCs w:val="28"/>
          <w:rtl w:val="true"/>
          <w:lang w:bidi="fa-IR"/>
        </w:rPr>
        <w:t>»</w:t>
      </w:r>
      <w:r>
        <w:rPr>
          <w:rStyle w:val="FootnoteAnchor"/>
          <w:rtl w:val="true"/>
        </w:rPr>
        <w:footnoteReference w:id="1266"/>
      </w:r>
      <w:r>
        <w:rPr>
          <w:rFonts w:ascii="Amiri" w:hAnsi="Amiri" w:eastAsia="Amiri" w:cs="Amiri"/>
          <w:color w:val="111111"/>
          <w:sz w:val="28"/>
          <w:sz w:val="28"/>
          <w:szCs w:val="28"/>
          <w:rtl w:val="true"/>
          <w:lang w:bidi="ar-SA"/>
        </w:rPr>
        <w:t>فما كان من مماليكه أتى له ستّة أشهر فهو قديم حرّ</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الرواية كما ترى اشتملت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للذكر و الأُنثى، ولكنّ الشيخ عبر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المصنّف و الجماعة، و تمادى الأمر إلى أن توقّف العلامة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تعدّي الحكم إلى الأمة</w:t>
      </w:r>
      <w:r>
        <w:rPr>
          <w:rStyle w:val="FootnoteAnchor"/>
          <w:rtl w:val="true"/>
        </w:rPr>
        <w:footnoteReference w:id="1268"/>
      </w:r>
      <w:r>
        <w:rPr>
          <w:rFonts w:ascii="Amiri" w:hAnsi="Amiri" w:eastAsia="Amiri" w:cs="Amiri"/>
          <w:color w:val="111111"/>
          <w:sz w:val="28"/>
          <w:sz w:val="28"/>
          <w:szCs w:val="28"/>
          <w:rtl w:val="true"/>
          <w:lang w:bidi="ar-SA"/>
        </w:rPr>
        <w:t>من حيث إنّ هذا الحكم على خلاف الأصل لا دليل عليه من جهة العرف و لا اللغة، و إنّما مستنده ،الشرع، مع أنّ الرواية ضعيفة السند</w:t>
      </w:r>
      <w:r>
        <w:rPr>
          <w:rStyle w:val="FootnoteAnchor"/>
          <w:rtl w:val="true"/>
        </w:rPr>
        <w:footnoteReference w:id="1269"/>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اعتذر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بأن المسألة إجماعيّة، و أن الإجماع لم يقع إلّا على العبد</w:t>
      </w:r>
      <w:r>
        <w:rPr>
          <w:rStyle w:val="FootnoteAnchor"/>
          <w:rtl w:val="true"/>
        </w:rPr>
        <w:footnoteReference w:id="1270"/>
      </w:r>
      <w:r>
        <w:rPr>
          <w:rFonts w:ascii="Amiri" w:hAnsi="Amiri" w:eastAsia="Amiri" w:cs="Amiri"/>
          <w:color w:val="111111"/>
          <w:sz w:val="28"/>
          <w:sz w:val="28"/>
          <w:szCs w:val="28"/>
          <w:rtl w:val="true"/>
          <w:lang w:bidi="ar-SA"/>
        </w:rPr>
        <w:t>فلذلك استشكل والده حكم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على وجهٍ يكون حجّةً ممنوع، بل كثير من العلماء كابن الجنيد و سلّار و الصدوق لم يتعرّضوا لها، و إنّما الأصل فيها الشيخ، و طريقته في النهاية الاستناد إلى الروايات من غير مراعاة طريقها كما هو المعلوم من عادته، ولكن اتّباع ابن إدريس له حملهم على شبهة الإجماع، حيث إنّه لايعتمد أخبار الآحاد مطلقاً، فعمله بمضمونها يدلّ على فهمه أنّه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المتأخّرين اختلفوا في تعدّي الحكم إلى نذر الصدقة بالمال القديم و الإقرار به و إبراء کلّ غريم قديم و نحو ذلك، بشبهة أنّ القديم قد صار حقيقة شرعيّة في ذلك القدر فيتعدّى؛ معتضداً بتعليل الرواية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عَادَ كَالْعُرْجُونِ الْقَدِيم</w:t>
      </w:r>
      <w:r>
        <w:rPr>
          <w:rFonts w:eastAsia="Amiri" w:cs="Amiri" w:ascii="Amiri" w:hAnsi="Amiri"/>
          <w:color w:val="111111"/>
          <w:sz w:val="28"/>
          <w:szCs w:val="28"/>
          <w:rtl w:val="true"/>
          <w:lang w:bidi="ar-SA"/>
        </w:rPr>
        <w:t>»</w:t>
      </w:r>
      <w:r>
        <w:rPr>
          <w:rStyle w:val="FootnoteAnchor"/>
          <w:rtl w:val="true"/>
        </w:rPr>
        <w:footnoteReference w:id="1271"/>
      </w:r>
      <w:r>
        <w:rPr>
          <w:rFonts w:ascii="Amiri" w:hAnsi="Amiri" w:eastAsia="Amiri" w:cs="Amiri"/>
          <w:color w:val="111111"/>
          <w:sz w:val="28"/>
          <w:sz w:val="28"/>
          <w:szCs w:val="28"/>
          <w:rtl w:val="true"/>
          <w:lang w:bidi="ar-SA"/>
        </w:rPr>
        <w:t>، فإنّه يقتضي ثبوت القدم بالمدّة المذكورة مطلقاً، و من معارضة اللغة و العرف، و منع تحقّقه شرعاً لضعف المستند، و قصر الإجماع المدّعى على مورده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قصر الجميع عن ستّة أشهر، ففي عتق أوّلهم تملّكاً اتّحد أم تعدّد، أو بطلان النذر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الصحّة لو اتّفق ملك الجميع دفعةً ففي انعتاق الجميع أو البطلان لفقد الوصف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الرجوع في غير موضع الوفاق إلى العرف، فإن لم يدلّ على اتّصاف شيء من متعلّق النذر بالقدم بطل</w:t>
      </w:r>
      <w:r>
        <w:rPr>
          <w:rFonts w:eastAsia="Amiri" w:cs="Amiri" w:ascii="Amiri" w:hAnsi="Amiri"/>
          <w:color w:val="111111"/>
          <w:sz w:val="28"/>
          <w:szCs w:val="28"/>
          <w:rtl w:val="true"/>
          <w:lang w:bidi="ar-SA"/>
        </w:rPr>
        <w:t xml:space="preserve">. </w:t>
      </w:r>
      <w:bookmarkStart w:id="389" w:name="pg10270_80385"/>
    </w:p>
    <w:p>
      <w:pPr>
        <w:pStyle w:val="Heading5"/>
        <w:numPr>
          <w:ilvl w:val="4"/>
          <w:numId w:val="1"/>
        </w:numPr>
        <w:rPr/>
      </w:pPr>
      <w:bookmarkStart w:id="390" w:name="__RefHeading___Toc3860254_1067777946"/>
      <w:bookmarkStart w:id="391" w:name="_Toc141"/>
      <w:bookmarkEnd w:id="389"/>
      <w:bookmarkEnd w:id="390"/>
      <w:r>
        <w:rPr>
          <w:rtl w:val="true"/>
        </w:rPr>
        <w:t>مال العبد المعتَق لمن؟</w:t>
      </w:r>
      <w:bookmarkEnd w:id="391"/>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عبده و له مال فماله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يعلم به المولى فهو له، وإن علمه فهو للمعتَق إلّا أن يستثنيه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عبده و له مال فماله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مبنیّة على أنّ المملوك هل يصلح لأن يملك شيئاً حال كونه مملوكاً أم لا؟ فالأكثر على العدم؛ عملاً بظاهر الآية</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أن يملك</w:t>
      </w:r>
      <w:r>
        <w:rPr>
          <w:rStyle w:val="FootnoteAnchor"/>
          <w:rtl w:val="true"/>
        </w:rPr>
        <w:footnoteReference w:id="1273"/>
      </w:r>
      <w:r>
        <w:rPr>
          <w:rFonts w:ascii="Amiri" w:hAnsi="Amiri" w:eastAsia="Amiri" w:cs="Amiri"/>
          <w:color w:val="111111"/>
          <w:sz w:val="28"/>
          <w:sz w:val="28"/>
          <w:szCs w:val="28"/>
          <w:rtl w:val="true"/>
          <w:lang w:bidi="ar-SA"/>
        </w:rPr>
        <w:t>عملاً بروايات</w:t>
      </w:r>
      <w:r>
        <w:rPr>
          <w:rStyle w:val="FootnoteAnchor"/>
          <w:rtl w:val="true"/>
        </w:rPr>
        <w:footnoteReference w:id="1274"/>
      </w:r>
      <w:r>
        <w:rPr>
          <w:rFonts w:ascii="Amiri" w:hAnsi="Amiri" w:eastAsia="Amiri" w:cs="Amiri"/>
          <w:color w:val="111111"/>
          <w:sz w:val="28"/>
          <w:sz w:val="28"/>
          <w:szCs w:val="28"/>
          <w:rtl w:val="true"/>
          <w:lang w:bidi="ar-SA"/>
        </w:rPr>
        <w:t>كثيرة دالّة عليه، و منها الصحيح</w:t>
      </w:r>
      <w:r>
        <w:rPr>
          <w:rStyle w:val="FootnoteAnchor"/>
          <w:rtl w:val="true"/>
        </w:rPr>
        <w:footnoteReference w:id="1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الأولى حملها على إباحة تصرّفه فيما يأذن له فيه من فاضل الضريبة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أحلنا ملكه و كان بيده مال فهو للمولى، سواء أعتق أم بقي على الرقّيّة ما لم يعلم أنّ أصله من جهة خارجة عن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جوّزنا ملكه فأعتقه وبيده مال فهو له إن علم به المولى و لم يستثنه، وإلّا فهو للمولى؛ لصحيحة زرارة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أعتق عبداً له و للعبد مال لمن المال؟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يعلم أنّ له مالاً تبعه ماله، و إلّا فهو له</w:t>
      </w:r>
      <w:r>
        <w:rPr>
          <w:rFonts w:eastAsia="IRNazanin" w:cs="IRNazanin"/>
          <w:color w:val="111111"/>
          <w:sz w:val="28"/>
          <w:szCs w:val="28"/>
          <w:rtl w:val="true"/>
          <w:lang w:bidi="fa-IR"/>
        </w:rPr>
        <w:t>»</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و في رواية أُخرى عن زرارة عن أبي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كاتب الرجل مملوكه أو أعتقه و هو يعلم أنّ له مالاً، و لم يكن استثنى السيّد المال حين أعتقه فهو للعبد</w:t>
      </w:r>
      <w:r>
        <w:rPr>
          <w:rFonts w:eastAsia="IRNazanin" w:cs="IRNazanin"/>
          <w:color w:val="111111"/>
          <w:sz w:val="28"/>
          <w:szCs w:val="28"/>
          <w:rtl w:val="true"/>
          <w:lang w:bidi="fa-IR"/>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توقّف العلّامة في المختلف مع حكمه بعدم ملك العبد؛ نظراً إلى صحّة الرواية</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الاستدلال بها نظر؛ لأنّ الأُولى وإن كانت صحيحة إّلا أنّه ليس فيها أنّه مع استثناء المولى يكون له، بل أطلق فيها أنّه مع علمه بالمال يكون للعبد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الثانیّة و إن دلّت على الحكم المدّعى في القول، إلّا أنّ في طريقها ابن بكير و حاله مشهور</w:t>
      </w:r>
      <w:r>
        <w:rPr>
          <w:rStyle w:val="FootnoteAnchor"/>
          <w:rtl w:val="true"/>
        </w:rPr>
        <w:footnoteReference w:id="1279"/>
      </w:r>
      <w:r>
        <w:rPr>
          <w:rFonts w:ascii="IRNazanin" w:hAnsi="IRNazanin" w:eastAsia="IRNazanin"/>
          <w:color w:val="111111"/>
          <w:sz w:val="28"/>
          <w:sz w:val="28"/>
          <w:szCs w:val="28"/>
          <w:rtl w:val="true"/>
          <w:lang w:bidi="fa-IR"/>
        </w:rPr>
        <w:t>، لكن نقل الكشّي إجماع العصابة على تصحيح ما یصحّ عنه وإن كان فطحيّاً</w:t>
      </w:r>
      <w:r>
        <w:rPr>
          <w:rStyle w:val="FootnoteAnchor"/>
          <w:rtl w:val="true"/>
        </w:rPr>
        <w:footnoteReference w:id="1280"/>
      </w:r>
      <w:r>
        <w:rPr>
          <w:rFonts w:ascii="Amiri" w:hAnsi="Amiri" w:eastAsia="Amiri" w:cs="Amiri"/>
          <w:color w:val="111111"/>
          <w:sz w:val="28"/>
          <w:sz w:val="28"/>
          <w:szCs w:val="28"/>
          <w:rtl w:val="true"/>
          <w:lang w:bidi="ar-SA"/>
        </w:rPr>
        <w:t>، فعلى هذا يمكن الاستناد إلى روايته، و تحمل الأُولى على ما لو لم يستثنه؛ حملاً للمطلق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توقّف ملك المولى على استثناء المال لا فرق بين أن يقدّم العتق على الاستثناء و يؤخّره مع الاتّصال؛ لأنّ الكلام جملة واحدة لا يتمّ إلا بآخره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اشترط الشيخ تقديم الاستثناء على التحرير</w:t>
      </w:r>
      <w:r>
        <w:rPr>
          <w:rStyle w:val="FootnoteAnchor"/>
          <w:rtl w:val="true"/>
        </w:rPr>
        <w:footnoteReference w:id="1281"/>
      </w:r>
      <w:r>
        <w:rPr>
          <w:rFonts w:ascii="IRNazanin" w:hAnsi="IRNazanin" w:eastAsia="IRNazanin"/>
          <w:color w:val="111111"/>
          <w:sz w:val="28"/>
          <w:sz w:val="28"/>
          <w:szCs w:val="28"/>
          <w:rtl w:val="true"/>
          <w:lang w:bidi="fa-IR"/>
        </w:rPr>
        <w:t>الرواية أبي جرير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قال المملوكه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ولي مالك،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يبدأ بالحرّيّة قبل العتق،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 مالك و أنت حرّ برضى المملوك</w:t>
      </w:r>
      <w:r>
        <w:rPr>
          <w:rFonts w:eastAsia="IRNazanin" w:cs="IRNazanin"/>
          <w:color w:val="111111"/>
          <w:sz w:val="28"/>
          <w:szCs w:val="28"/>
          <w:rtl w:val="true"/>
          <w:lang w:bidi="fa-IR"/>
        </w:rPr>
        <w:t>»</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إذا قدم التحرير انعتق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فلايقع الاستثناء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 الرواية تضمّنت اعتبار رضى المملوك و لايقولون به و نمنع حصول التحرير قبل تمام الكلام؛ لأنّ الشرط من جملة الصيغة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العلّامة في المختلف أسند الرواية إلى حريز و جعلها صحيحةً</w:t>
      </w:r>
      <w:r>
        <w:rPr>
          <w:rStyle w:val="FootnoteAnchor"/>
          <w:rtl w:val="true"/>
        </w:rPr>
        <w:footnoteReference w:id="1283"/>
      </w:r>
      <w:r>
        <w:rPr>
          <w:rFonts w:ascii="IRNazanin" w:hAnsi="IRNazanin" w:eastAsia="IRNazanin"/>
          <w:color w:val="111111"/>
          <w:sz w:val="28"/>
          <w:sz w:val="28"/>
          <w:szCs w:val="28"/>
          <w:rtl w:val="true"/>
          <w:lang w:bidi="fa-IR"/>
        </w:rPr>
        <w:t>و تبعه ولده</w:t>
      </w:r>
      <w:r>
        <w:rPr>
          <w:rStyle w:val="FootnoteAnchor"/>
          <w:rtl w:val="true"/>
        </w:rPr>
        <w:footnoteReference w:id="1284"/>
      </w:r>
      <w:r>
        <w:rPr>
          <w:rFonts w:ascii="Amiri" w:hAnsi="Amiri" w:eastAsia="Amiri" w:cs="Amiri"/>
          <w:color w:val="111111"/>
          <w:sz w:val="28"/>
          <w:sz w:val="28"/>
          <w:szCs w:val="28"/>
          <w:rtl w:val="true"/>
          <w:lang w:bidi="ar-SA"/>
        </w:rPr>
        <w:t>و الشهيد في الدروس</w:t>
      </w:r>
      <w:r>
        <w:rPr>
          <w:rStyle w:val="FootnoteAnchor"/>
          <w:rtl w:val="true"/>
        </w:rPr>
        <w:footnoteReference w:id="1285"/>
      </w:r>
      <w:r>
        <w:rPr>
          <w:rFonts w:ascii="Amiri" w:hAnsi="Amiri" w:eastAsia="Amiri" w:cs="Amiri"/>
          <w:color w:val="111111"/>
          <w:sz w:val="28"/>
          <w:sz w:val="28"/>
          <w:szCs w:val="28"/>
          <w:rtl w:val="true"/>
          <w:lang w:bidi="ar-SA"/>
        </w:rPr>
        <w:t>و جماعة</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bookmarkStart w:id="392" w:name="pg10270_80387"/>
    </w:p>
    <w:p>
      <w:pPr>
        <w:pStyle w:val="Heading5"/>
        <w:numPr>
          <w:ilvl w:val="4"/>
          <w:numId w:val="1"/>
        </w:numPr>
        <w:rPr/>
      </w:pPr>
      <w:bookmarkStart w:id="393" w:name="__RefHeading___Toc3860256_1067777946"/>
      <w:bookmarkStart w:id="394" w:name="_Toc142"/>
      <w:bookmarkEnd w:id="392"/>
      <w:bookmarkEnd w:id="393"/>
      <w:r>
        <w:rPr>
          <w:rtl w:val="true"/>
        </w:rPr>
        <w:t>إذا أعتق ثلث عبيده</w:t>
      </w:r>
      <w:bookmarkEnd w:id="394"/>
    </w:p>
    <w:p>
      <w:pPr>
        <w:pStyle w:val="BookText"/>
        <w:rPr/>
      </w:pPr>
      <w:r>
        <w:rPr>
          <w:rFonts w:ascii="IRNazanin" w:hAnsi="IRNazanin" w:eastAsia="IRNazanin"/>
          <w:color w:val="111111"/>
          <w:sz w:val="28"/>
          <w:sz w:val="28"/>
          <w:szCs w:val="28"/>
          <w:rtl w:val="true"/>
          <w:lang w:bidi="fa-IR"/>
        </w:rPr>
        <w:t xml:space="preserve">السابعة • إذا أعتق ثلث عبيده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الثلث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يكتب فى ثلاث رقاع اسم اثنين في کلّ رقعة، ثم يخرج على الحرّيّة أو الرقّيّة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أخرج على الحرّيّة كفت الواحدة، و إن أخرج على الرقّيّة افتقر إلى إخراج اثنين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تساووا عدداً و قيمةً، أو اختلفت القيمة مع إمكان التعديل أثلاثاً فلا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اختلفت القيمة و لم يمكن التعديل أخرج ثلثهم قيمةً  و طرح اعتبار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تعذّر التعديل عدداً و قيمة أخرجنا على الحرّيّة حتّى يستوفي الثلث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قصرت قيمة المخرج أكملنا الثلث و لو بجزء من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الموجود في الكافي و التهذيب و 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بالجيم، و هو الصواب؛ لأنّ حريزاً لم يرو عن الكاظم علیه السلام، بخلاف أبي جرير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زكريّا بن إدريس الأشعري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عن الصادق علیه السلام و الكاظم علیه السلام و الرضاعلیه السلام</w:t>
      </w:r>
      <w:r>
        <w:rPr>
          <w:rStyle w:val="FootnoteAnchor"/>
          <w:rtl w:val="true"/>
        </w:rPr>
        <w:footnoteReference w:id="1287"/>
      </w:r>
      <w:r>
        <w:rPr>
          <w:rFonts w:ascii="Amiri" w:hAnsi="Amiri" w:eastAsia="Amiri" w:cs="Amiri"/>
          <w:color w:val="111111"/>
          <w:sz w:val="28"/>
          <w:sz w:val="28"/>
          <w:szCs w:val="28"/>
          <w:rtl w:val="true"/>
          <w:lang w:bidi="ar-SA"/>
        </w:rPr>
        <w:t>، و هو ممدوح غير موثّق، فيكون من الحسن لا من الصحيح، ففيما نقلوه خللان، لفظي و معنوي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أعتق ثلث عبيده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الثلث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يكتب في ثلاث رقاع اسم اثنين في کلّ 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أعتق جزءاً من عبيده مشاعاً كالثلث، أو أعتق المريض الجميع فلم ينفذ إلّا في الثلث، و احتيج إلى إخراج الجزء المذكور استخرج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كيفيّتها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أسماء العبيد في رقاع، ثمّ يخرج على الرقّ أو الحرّيّة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في الرقاع الرقّ و الحرّيّة و يخرج على أسماء العبيد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والمرويّ عن النبي صلّى الله عليه و وآله و سلّم في ذلك جمع كلّ ثلث في رقعة، و قد كانوا ستّةً فجزّأهم ثلاثة أجزاء اثنين اثنين</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الذي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يتمّ مع تساويهم قيمةً، و قبول العدد للتجزئة أثلاثاً كالستّة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هذا، فله كتبة اسم کلّ اثنين في رقعة من غير أن يتعرّض في الكتابة للحرّيّة و الرقيّة، ثمّ تستر و تخرج فإن أخرج على الحرّيّة عتق الاثنان الخارجان أوّل مرّة، و صارت الأربعة المتخلّفة أرقّاء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أخرج على الرقّيّة استرقّ الخارجان و احتيج إلى إخراج أُخرى، و يتخيّر حينئذٍ بين الإخراج على الحرّيّة و الرقّيّة، و على أيّهما أُخرج حكم للخارج به، و بقي من في الرقعة الأُخرى للآخر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كتب في الرقاع الحرّيّة و الرقّيّة من غير أن يكتب أسماء العبيد بالطريق الثاني فليكتب في رقعة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رقعتين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نسبة المطلوب في القلّة و الكثرة، ثمّ يخرج باسم أحد الأجزاء الثلاثة الذين ترتّبوا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خرجت رقعة الحرّيّة انفصل الأمر، و إن خرجت رقعة الرقّ استرقّ المخصوصون بها و أخرجت أُخرى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ستّ رقاع في الفرض المذكور، إمّا بأسماء الستّة اسم كلّ واحد في رقعة، ثم يخرج على الحرّيّة أو الرقّيّة كما مرّ إلى أن يستوفي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يكتب</w:t>
      </w:r>
    </w:p>
    <w:p>
      <w:pPr>
        <w:pStyle w:val="BookText"/>
        <w:rPr/>
      </w:pPr>
      <w:r>
        <w:rPr>
          <w:rFonts w:ascii="Amiri" w:hAnsi="Amiri" w:eastAsia="Amiri" w:cs="Amiri"/>
          <w:color w:val="111111"/>
          <w:sz w:val="28"/>
          <w:sz w:val="28"/>
          <w:szCs w:val="28"/>
          <w:rtl w:val="true"/>
          <w:lang w:bidi="ar-SA"/>
        </w:rPr>
        <w:t xml:space="preserve">في 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على واحد واحد إلى أن يستوفيه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الطريق أعدل؛ لأنّ جمع کلّ اثنين على حكمٍ واحدٍ يمنع من افتراقهما في الرقّيّة و الحرّيّة، و من الممكن خروج أحدهما حرّاً و الآخر رقّاً، لكنّ المشهور بين الفقهاء هو الأوّل؛ لوروده في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الأقوى جواز العمل على الجميع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إذا أمكن تجزيتهم أثلاثاً بالعدد و القيمة، كستّة قيمةُ كلّ واحد منهم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كذا لو اختلفت القيمة مع إمكان تعديلهم أثلاثاً بالعدد، كستّة قيمةُ ثلاثة منهم ستّمائة، کلّ واحد مائتان، و ثلاثة ثلاثمائة كلّ واحد مائة، فيضمّ كلّ خسيس إلى نفيس و يجعلان 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اختلفت القيمة و أمكن التعديل بها دون العدد، كما لو كان قيمة واحد من الستّة مائتين، و قيمة اثنين مائتين، و قيمة ثلاثة مائتين، ففي تعديلهم بالقيمة أو العدد وجهان، أظهرهما اعتبار القيمة، فيجعل الواحد ثلثاً و الاثنين ثلثاً و الثلاثة ثلثاً؛ لأنّ المقصود الذاتي من العبيد الماليّة دون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اعتبار العدد موافقة المرويّ من فعل النبي صلّی الله علیه و آله و سلّم، مع استبعاد تساوي الستّة قيمة بكلّ وجه، و في بعض الأخبار أنّهم كانوا متساوين قيمة</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ولو أمكن التعديل عدداً خاصّةً، كستّة قيمة اثنين مائة، و اثنين مائة و خمسون، و اثنين ثلاثمائة، قسّموا ثلاثة بالعدد، فإن أُخرج على الحرّيّة فخرج اثنان يتساويان في الثلث قيمةً فلا كلام، وإن خرجا ناقصين عتقا و أكمل الثلث من الباقين بالقرعة، و إن خرجا زائدين أُعيدت القرعة بينهما و عتق من تخرجه للحرّيّة، و من الآخر تتمّة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يمكن التعديل عدداً و لا قيمةً كخمسة قيمة واحدٍ مائة و اثنين مائة، و اثنين ثلاثمائة، ففي تجزيتهم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تجزيتهم ثلاثة بالعدد، مراعاةً لتقريب القيمة إلى التسوية 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فعل</w:t>
      </w:r>
    </w:p>
    <w:p>
      <w:pPr>
        <w:pStyle w:val="BookText"/>
        <w:rPr/>
      </w:pPr>
      <w:r>
        <w:rPr>
          <w:rFonts w:ascii="Amiri" w:hAnsi="Amiri" w:eastAsia="Amiri" w:cs="Amiri"/>
          <w:color w:val="111111"/>
          <w:sz w:val="28"/>
          <w:sz w:val="28"/>
          <w:szCs w:val="28"/>
          <w:rtl w:val="true"/>
          <w:lang w:bidi="ar-SA"/>
        </w:rPr>
        <w:t>ذلك تقريباً إلى المرويّ و إن لم يكن مثله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بالطريق الثالث خاصّةً، فيكتب خمس رقاع ويخرج كما فصّل إلى أن يستوفي الثلث و لو بجزء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اختاره المصنّف و لم يذكر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الثامنة • من اشترى أمةً نسيئةً و لم ينقد ثمنها، فأعتقها و تزوّجها و مات و لم يخلّف سواها بطل عتقه و نكاحه، و ردّت على البائع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حملت كان ولدها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لايبطل العتق و لايرقّ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قيمة الخمسة متساويةً فعلى الأوّل يجزّئهم اثنين و اثنين و واحداً، و على الثاني يكتب خمس رقاع بأسمائهم و يخرج على الحرّيّة أو الرقّيّة إلى أن يستوفي الثلث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جواز استعمال هذه في جميع الفروض، خصوصاً مع تعذّر التعديل كما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اعتبار القرعة بكتبة الرقاع هو المعروف بين الفقهاء؛ لأنّه موافق للرواية عن النبيّ صلّی الله علیه وآله و سلّم، و أبعد عن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ينبغى أن تكون متساويةً، و أن تُدرج في بنادق، و تجعل في حجر من لم يحضر عملها و أن تغطّى بثوب، و يدخل من يخرجها يده من تحت الثوب،كلّ ذلك ليكون أبعد عن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تعيّن العمل بالرقاع نظر؛ لعدم دليل مخصّص، و كما روي من فعل النبيّ صلّی الله علیه وآله و سلّم بالرقاع، كذلك روي أنّه أقرع في بعض الغنائم بالبعر، و أنّه أقرع مرّةً أخرى بالنوى</w:t>
      </w:r>
      <w:r>
        <w:rPr>
          <w:rStyle w:val="FootnoteAnchor"/>
          <w:rtl w:val="true"/>
        </w:rPr>
        <w:footnoteReference w:id="1290"/>
      </w:r>
      <w:r>
        <w:rPr>
          <w:rFonts w:ascii="Amiri" w:hAnsi="Amiri" w:eastAsia="Amiri" w:cs="Amiri"/>
          <w:color w:val="111111"/>
          <w:sz w:val="28"/>
          <w:sz w:val="28"/>
          <w:szCs w:val="28"/>
          <w:rtl w:val="true"/>
          <w:lang w:bidi="ar-SA"/>
        </w:rPr>
        <w:t>، فلو قيل بجواز القرعة بذلك كلّه و أشباهه كان وجهاً لحصول الغرض، و إن كان الوقوف مع المشهور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البحث آتٍ في جميع أفراد القرعة الواقعة في القسمة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أمةً نسيئةً و لم ينقد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البحث في هذه المسألة و الكلام على الرواية مستوفي في كتاب النكاح</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 أنّها ضعيفة الأسناد</w:t>
      </w:r>
      <w:r>
        <w:rPr>
          <w:rStyle w:val="FootnoteAnchor"/>
          <w:rtl w:val="true"/>
        </w:rPr>
        <w:footnoteReference w:id="1292"/>
      </w:r>
      <w:r>
        <w:rPr>
          <w:rFonts w:ascii="Amiri" w:hAnsi="Amiri" w:eastAsia="Amiri" w:cs="Amiri"/>
          <w:color w:val="111111"/>
          <w:sz w:val="28"/>
          <w:sz w:val="28"/>
          <w:szCs w:val="28"/>
          <w:rtl w:val="true"/>
          <w:lang w:bidi="ar-SA"/>
        </w:rPr>
        <w:t>مضطربة، وإن كان قد وصفها بالصحّة جماعة</w:t>
      </w:r>
      <w:r>
        <w:rPr>
          <w:rStyle w:val="FootnoteAnchor"/>
          <w:rtl w:val="true"/>
        </w:rPr>
        <w:footnoteReference w:id="1293"/>
      </w:r>
      <w:r>
        <w:rPr>
          <w:rFonts w:ascii="Amiri" w:hAnsi="Amiri" w:eastAsia="Amiri" w:cs="Amiri"/>
          <w:color w:val="111111"/>
          <w:sz w:val="28"/>
          <w:sz w:val="28"/>
          <w:szCs w:val="28"/>
          <w:rtl w:val="true"/>
          <w:lang w:bidi="ar-SA"/>
        </w:rPr>
        <w:t xml:space="preserve">، و مخالفة </w:t>
      </w:r>
    </w:p>
    <w:p>
      <w:pPr>
        <w:pStyle w:val="BookText"/>
        <w:rPr/>
      </w:pPr>
      <w:r>
        <w:rPr>
          <w:rFonts w:ascii="Amiri" w:hAnsi="Amiri" w:eastAsia="Amiri" w:cs="Amiri"/>
          <w:color w:val="111111"/>
          <w:sz w:val="28"/>
          <w:sz w:val="28"/>
          <w:szCs w:val="28"/>
          <w:rtl w:val="true"/>
          <w:lang w:bidi="ar-SA"/>
        </w:rPr>
        <w:t>التاسعة • إذا أوصى بعتق عبد فخرج من الثلث لزم الوارث إعتاقه، فإن امتنع أعتقه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بحرّيّته حين الإعتاق لا حين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اكتسبه قبل الإعتاق و بعد الوفاة يكون له؛ لاستقرار سبب العتق بالوفاة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للوارث؛ لتحقّق الرقّ عند الاكتساب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لأُصول المذهب الدالّة على صحّة البيع و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لمصادفتهما ملكاً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انعقاد الولد حرّاً، فلا مقتضى لبطلان ذلك و رجوع الولد إلى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تكلّف بحملها على ما يوافق الأُصول متكلّفون بغير ثمرة، فيراجع تحقيق ذلك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اختاره المصنّف و جعله أشبه هو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أوصى بعتق عبد فخرج من الثلث لزم الوارث إعتاقه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بكون كسبه بين الموت و الإعتاق له للشيخ في المبسوط ؛ مستدلّاً بما أشار إليه المصنّف من استقرار سبب العتق بالوفاة</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تنقيحه أنّ السبب المقتضي لانتقال مال الموصي عن ملك الوارث و انصرافه إلى الوصيّة مستند إلى الوصيّة و الموت، فكلّ منهما جزء السبب، و بالموت يتمّ السبب، فيكون العبد الموصى بعتقه بعد الموت بمنزلة الحرّ و إن توقّفت حرّيّته على الإعتاق، فيتبعه الكسب، لكن لا يملكه إلّا بعد العتق؛ لأنّه قبله رقيق لايملك وإنّما كان أحقّ به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استقرار السبب بالموت، بل هو مركّب من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و الموت و إيقاع صيغة العتق، كما يتوقّف ملك الوصيّة إن كانت لمعيّن على قبوله مضافاً إلى الوصيّة و موت الموصي، فقبل القبول لايملك وإن حصل الأمران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سبب العتق قد تمّ و استقرّ لزم أن يثبت معلوله و هو العتق، و هو لم يقل به حيث حكم برقّه، وإنّما يتحرّر بالإعتاق و متى لم يكن تامّاً لم يثبت معلوله، و الملك متوقّف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امتنع خلوّ الملك من مالك، و لم يكن العبد مالكاً لنفسه قبل العتق فهو للوارث، إذ لا ثالث</w:t>
      </w:r>
      <w:r>
        <w:rPr>
          <w:rFonts w:eastAsia="Amiri" w:cs="Amiri" w:ascii="Amiri" w:hAnsi="Amiri"/>
          <w:color w:val="111111"/>
          <w:sz w:val="28"/>
          <w:szCs w:val="28"/>
          <w:rtl w:val="true"/>
          <w:lang w:bidi="ar-SA"/>
        </w:rPr>
        <w:t xml:space="preserve">. </w:t>
      </w:r>
      <w:bookmarkStart w:id="395" w:name="pg10270_80392"/>
    </w:p>
    <w:p>
      <w:pPr>
        <w:pStyle w:val="Heading5"/>
        <w:numPr>
          <w:ilvl w:val="4"/>
          <w:numId w:val="1"/>
        </w:numPr>
        <w:rPr/>
      </w:pPr>
      <w:bookmarkStart w:id="396" w:name="__RefHeading___Toc3860258_1067777946"/>
      <w:bookmarkStart w:id="397" w:name="_Toc143"/>
      <w:bookmarkEnd w:id="395"/>
      <w:bookmarkEnd w:id="396"/>
      <w:r>
        <w:rPr>
          <w:rtl w:val="true"/>
        </w:rPr>
        <w:t>إذا أعتق مملوكه عن غيره</w:t>
      </w:r>
      <w:bookmarkEnd w:id="397"/>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أعتق مملوكه عن غيره بإذنه وقع العتق عن الآمر و ينتقل إلى الآمر عند الأمر بالعتق؛ ليتحقّق العتق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الانتقال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الله تعالى جعل الإرث بعد الوصيّة النافذة</w:t>
      </w:r>
      <w:r>
        <w:rPr>
          <w:rStyle w:val="FootnoteAnchor"/>
          <w:rtl w:val="true"/>
        </w:rPr>
        <w:footnoteReference w:id="1295"/>
      </w:r>
      <w:r>
        <w:rPr>
          <w:rFonts w:ascii="Amiri" w:hAnsi="Amiri" w:eastAsia="Amiri" w:cs="Amiri"/>
          <w:color w:val="111111"/>
          <w:sz w:val="28"/>
          <w:sz w:val="28"/>
          <w:szCs w:val="28"/>
          <w:rtl w:val="true"/>
          <w:lang w:bidi="ar-SA"/>
        </w:rPr>
        <w:t>، و الفرض هنا كذلك و ذلك يمنع من ملك الوارث، غايته أن يكون الملك مراعىّ بالإعتاق فيتبعه الكسب ويكشف عن سبق ملكه، كما يكشف قبول الموصى له عن ملك الوصيّة من حين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حكمه ما لو أوصى بعين توقف في بعض الجهات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الموصى على وجه لايتوقّف على صيغة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عنّي العين الفلانیّة في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فنماؤها بعد الموت و قبل الإخراج في الجهة تابع لها قطعاً؛ لتعيّنها لتلك الجهة و خروجها عن ملك الوارث بالموت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أعتق مملوكه عن غيره بإذنه وقع العتق عن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أعتق مملوكه عن غيره بإذنه فالمشهور بين الأصحاب و غيرهم صحّة العتق و وقوعه عن الآمر، خلافاً لابن إدريس حيث حكم بوقوعه عن المعتق</w:t>
      </w:r>
      <w:r>
        <w:rPr>
          <w:rStyle w:val="FootnoteAnchor"/>
          <w:rtl w:val="true"/>
        </w:rPr>
        <w:footnoteReference w:id="1296"/>
      </w:r>
      <w:r>
        <w:rPr>
          <w:rFonts w:ascii="IRNazanin" w:hAnsi="IRNazanin" w:eastAsia="IRNazanin"/>
          <w:color w:val="111111"/>
          <w:sz w:val="28"/>
          <w:sz w:val="28"/>
          <w:szCs w:val="28"/>
          <w:rtl w:val="true"/>
          <w:lang w:bidi="fa-IR"/>
        </w:rPr>
        <w:t>نظراً إلى أنّ وقوع العتق عن الشخص مترتّب على ملكه له؛ لقوله 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في ملك</w:t>
      </w:r>
      <w:r>
        <w:rPr>
          <w:rFonts w:eastAsia="IRNazanin" w:cs="IRNazanin"/>
          <w:color w:val="111111"/>
          <w:sz w:val="28"/>
          <w:szCs w:val="28"/>
          <w:rtl w:val="true"/>
          <w:lang w:bidi="fa-IR"/>
        </w:rPr>
        <w:t>»</w:t>
      </w:r>
      <w:r>
        <w:rPr>
          <w:rStyle w:val="FootnoteAnchor"/>
          <w:rtl w:val="true"/>
        </w:rPr>
        <w:footnoteReference w:id="1297"/>
      </w:r>
      <w:r>
        <w:rPr>
          <w:rFonts w:ascii="Amiri" w:hAnsi="Amiri" w:eastAsia="Amiri" w:cs="Amiri"/>
          <w:color w:val="111111"/>
          <w:sz w:val="28"/>
          <w:sz w:val="28"/>
          <w:szCs w:val="28"/>
          <w:rtl w:val="true"/>
          <w:lang w:bidi="ar-SA"/>
        </w:rPr>
        <w:t xml:space="preserve">، و هو منتفٍ عن الآمر و موجود في المعتِق، فيقع عنه لا عن الآمر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التزم القائلون بوقوعه عن الآمر بانتقال الملك إليه ليتحقّق شرط صحّة العتق عنه، و استدلّوا على الأمرين بصحيحة بريد بن معاوية العجلي عن الباقر ععلیه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كان عليه عتق رقبة فمات قبل أن يعتق، فانطلق ابنه فابتاع رجلاً من كسبه فأعتقه عن أبيه، و أنّ المعتَق أصاب بعد ذلك مالاً ثمّ مات و تركه، لمن تكون تركته؟ 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كانت الرقبة التي كانت على أبيه في ظهار أو شكر أو واجب عليه فإنّ المعتَق سائبة لا سبيل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لأحد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الرقبة على أبيه تطوّعاً و قد كان أبوه أمره أن يعتق عنه نسمةً فإنّ ولاء المعتَق ميراث لجميع ولد الميّت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ابنه الذي اشترى الرقبة فأعتقها عن أبيه من ماله بعد موت أبيه تطوّعاً منه من غير أن يكون أبوه أمره بذلك فإنّ ولاءه و ميراثه للذي اشتراه من ماله و أعتقه عن أبيه إذا لم يكن للمعتَق وارث من قرابته</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الدلالة أنّ ثبوت الولاء للآمر فرع انتقال الملك إليه و وقوع عنقه عنه، و قد أثبته له فيثبت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لأنّه قبل الموت لايمكن تصوّر الملك؛ لأنّ المفروض أنّ الولد إنّما اشترى النسمة بعد موته، فكيف يحكم بملكه لها قبل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الموت لايعقل ملك الميّت لما قد تجدّد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الولاء حكم شرعي إذا جعله الشارع حقّاً لمن أعتق عنه و إن لم يكن مالكاً صحّ، و هو هنا كذلك، و لايقتضى</w:t>
      </w:r>
      <w:r>
        <w:rPr>
          <w:rStyle w:val="FootnoteAnchor"/>
          <w:rtl w:val="true"/>
        </w:rPr>
        <w:footnoteReference w:id="1299"/>
      </w:r>
      <w:r>
        <w:rPr>
          <w:rFonts w:ascii="Amiri" w:hAnsi="Amiri" w:eastAsia="Amiri" w:cs="Amiri"/>
          <w:color w:val="111111"/>
          <w:sz w:val="28"/>
          <w:sz w:val="28"/>
          <w:szCs w:val="28"/>
          <w:rtl w:val="true"/>
          <w:lang w:bidi="ar-SA"/>
        </w:rPr>
        <w:t>التزام ملك الميّت بعد موته لمال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يمكن الجواب بأنّ الميّت يمكن أن يملك بعد الموت إذا كان قد أحدث سبباً له و إن لم يتمّ كما لو نصب شبكةً حيّاً ثم وقع فيها صيدٌ بعد وفاته، و هنا كذلك؛ لأنّ أمره بالعتق جزء لسبب الملك أو تمام السبب و العتق شرط، فصحّ أن ينكشف به ملکه قبل موته، و الرواية الصحيحة مؤيّدة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اختلف العلماء في وقت انتقال الملك إلى الآمر على أقوال كثيرة، تقدّم البحث فيها في باب الكفّارات</w:t>
      </w:r>
      <w:r>
        <w:rPr>
          <w:rStyle w:val="FootnoteAnchor"/>
          <w:rtl w:val="true"/>
        </w:rPr>
        <w:footnoteReference w:id="1300"/>
      </w:r>
      <w:r>
        <w:rPr>
          <w:rFonts w:ascii="IRNazanin" w:hAnsi="IRNazanin" w:eastAsia="IRNazanin"/>
          <w:color w:val="111111"/>
          <w:sz w:val="28"/>
          <w:sz w:val="28"/>
          <w:szCs w:val="28"/>
          <w:rtl w:val="true"/>
          <w:lang w:bidi="fa-IR"/>
        </w:rPr>
        <w:t>، فلتراجع منه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المصنّف هنا تردّد في وقت الانتقال، من حيث إنّ اشتراط وقوع العتق في الملك يقتضي سبق الملك عليه فيحصل بالأمر، و من أنّه لو لم يعتق عنه لم يملك إجماعاً</w:t>
      </w:r>
      <w:r>
        <w:rPr>
          <w:rFonts w:eastAsia="Amiri" w:cs="Amiri" w:ascii="Amiri" w:hAnsi="Amiri"/>
          <w:color w:val="111111"/>
          <w:sz w:val="28"/>
          <w:szCs w:val="28"/>
          <w:rtl w:val="true"/>
          <w:lang w:bidi="ar-SA"/>
        </w:rPr>
        <w:t xml:space="preserve">. </w:t>
      </w:r>
      <w:bookmarkStart w:id="398" w:name="pg10270_80394"/>
    </w:p>
    <w:p>
      <w:pPr>
        <w:pStyle w:val="Heading5"/>
        <w:numPr>
          <w:ilvl w:val="4"/>
          <w:numId w:val="1"/>
        </w:numPr>
        <w:rPr/>
      </w:pPr>
      <w:bookmarkStart w:id="399" w:name="__RefHeading___Toc3860260_1067777946"/>
      <w:bookmarkStart w:id="400" w:name="_Toc144"/>
      <w:bookmarkEnd w:id="398"/>
      <w:bookmarkEnd w:id="399"/>
      <w:r>
        <w:rPr>
          <w:rtl w:val="true"/>
        </w:rPr>
        <w:t>العتق في مرض الموت</w:t>
      </w:r>
      <w:bookmarkEnd w:id="400"/>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العتق في مرض الموت يمضي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تفریعان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أعتق ثلاث إماء في مرض الموت و لا مال له سواهنَّ أُخرجت واحدة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بها حمل تجدّد بعد الإعتاق فهو حرّ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سابقاً على الإعتاق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أمره فدلّ على أنّ الأمر بمجرّده لايكفي في الملك، بل العتق موجب لملك الآمر أو شرط فيه، فلايكون المشروط و المسبّب متقدّماً، و من أنّ عدم تقدّمه على العتق يفوّت المطلوب منه و هو وقوع العتق في ملكٍ، و قد قال المصنّف فيما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الاقتصار على الثمرة، و هو صحّة العتق و براءة ذمّة الآمر و ما عداه تخمين</w:t>
      </w:r>
      <w:r>
        <w:rPr>
          <w:rStyle w:val="FootnoteAnchor"/>
          <w:rtl w:val="true"/>
        </w:rPr>
        <w:footnoteReference w:id="1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وجه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 في مرض الموت يمضي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الأصل و الأوّل 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جزئي من جزئيّات منجزّات المريض المتبرّع بها، و قد تقدّم الخلاف في كونها من الأصل أو من الثلث</w:t>
      </w:r>
      <w:r>
        <w:rPr>
          <w:rStyle w:val="FootnoteAnchor"/>
          <w:rtl w:val="true"/>
        </w:rPr>
        <w:footnoteReference w:id="1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القولين في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نسبة القول الأوّل إلى الرواية مطلقاً ضرب من التردّد؛ لأنّ مجرّد الرواية به لاتدلّ على ترجيحه؛ لجواز كون الرواية مردودة بوجه من الوجوه، و هو هنا كذلك، فإنّها ضعيفة السند كما بيّنّاه سابقاً</w:t>
      </w:r>
      <w:r>
        <w:rPr>
          <w:rStyle w:val="FootnoteAnchor"/>
          <w:rtl w:val="true"/>
        </w:rPr>
        <w:footnoteReference w:id="1303"/>
      </w:r>
      <w:r>
        <w:rPr>
          <w:rFonts w:ascii="Amiri" w:hAnsi="Amiri" w:eastAsia="Amiri" w:cs="Amiri"/>
          <w:color w:val="111111"/>
          <w:sz w:val="28"/>
          <w:sz w:val="28"/>
          <w:szCs w:val="28"/>
          <w:rtl w:val="true"/>
          <w:lang w:bidi="ar-SA"/>
        </w:rPr>
        <w:t>، و المصنّف في تلك المسألة أيضاً لم يرجّح أحد القولين و عذره واضح، وإن كان القول الأوّل هو الأشهر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أعتق ثلاث إماء في مرض الموت و لا مال له سواهنّ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أعتق ثلاثة في مرض الموت لايملك غيرهم ثمّ مات أحدهم، اُقرع بين الميّت و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خرجت الحرّيّة لمن مات حكم له بالحرّيّة و لو خرجت على أحد الحيّين حكم على الميّت بكونه مات رقّاً، لكن لايحتسب من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يقرع بين الحيّين و يحرّر منهما ما يحتمله الثلث من التركة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عجز أحدهما عن الثلث أُكمل الثلث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فضل منه كان فاضله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بتبعيّة الحمل لأُمّه في العتق و غيره للشيخ</w:t>
      </w:r>
      <w:r>
        <w:rPr>
          <w:rStyle w:val="FootnoteAnchor"/>
          <w:rtl w:val="true"/>
        </w:rPr>
        <w:footnoteReference w:id="1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الجنيد</w:t>
      </w:r>
      <w:r>
        <w:rPr>
          <w:rStyle w:val="FootnoteAnchor"/>
          <w:rtl w:val="true"/>
        </w:rPr>
        <w:footnoteReference w:id="1305"/>
      </w:r>
      <w:r>
        <w:rPr>
          <w:rFonts w:ascii="Amiri" w:hAnsi="Amiri" w:eastAsia="Amiri" w:cs="Amiri"/>
          <w:color w:val="111111"/>
          <w:sz w:val="28"/>
          <w:sz w:val="28"/>
          <w:szCs w:val="28"/>
          <w:rtl w:val="true"/>
          <w:lang w:bidi="ar-SA"/>
        </w:rPr>
        <w:t>لأنّه كالجزء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الأكثر على أنّه في حكم المنفصل، فلايتبعها في العتق و لا في البيع و لا غيرهما ما لم يصرّح بإدخاله</w:t>
      </w:r>
    </w:p>
    <w:p>
      <w:pPr>
        <w:pStyle w:val="BookText"/>
        <w:rPr/>
      </w:pPr>
      <w:r>
        <w:rPr>
          <w:rFonts w:ascii="IRNazanin" w:hAnsi="IRNazanin" w:eastAsia="IRNazanin"/>
          <w:color w:val="111111"/>
          <w:sz w:val="28"/>
          <w:sz w:val="28"/>
          <w:szCs w:val="28"/>
          <w:rtl w:val="true"/>
          <w:lang w:bidi="fa-IR"/>
        </w:rPr>
        <w:t xml:space="preserve">و في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أُخرجت واحدة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على أنّ کلّ واحدة منهنّ ثلث التركة، فلوكنّ مختلفات في القيمة أُخرج الثلث خاصّةً و لو من جزء منها أو بجزء من غيرها فما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تقدير دخوله معها في العتق يعتبر من الثلث كأُمّه، بمعنى تقويمها به و اعتبار قيمتها </w:t>
      </w:r>
      <w:r>
        <w:rPr>
          <w:rStyle w:val="FootnoteAnchor"/>
          <w:rtl w:val="true"/>
        </w:rPr>
        <w:footnoteReference w:id="1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عدم دخوله لا بدّ من تقويمه أيضاً ليحتسب على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ولد قبل موت المعتِق قوّم منفصلاً حين الوفاة على ما تقرّر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بقي حملاً إلى أن مات قوّم حملاً و إن انفصل بعد ذلك؛ لأنّ الزيادة بالوضع حصلت في ملك الوارث إن اتّفقت</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أعتق ثلاثة في مرض الموت لايملك غيرهم ثمّ مات أحدهم، أُقرع بين الميّت و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أعتق ثلاثة أعبد في مرض الموت و هو لايملك غيرهم، فمات أحدهم قبل موت السيّد أو بعده قبل قبض الوارث أُقرع بين الميّت و الحيّين، و لاينزل الميّت كالمعدوم وإن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أبقينا للوارث مثلي ما فات؛ لأنّ الميّت إنّما مات بعد العتق، فهو صالح للحرّيّة و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أُقرع بينهم و خرج له سهم العتق بان أنّه مات حرّاً موروثاً عنه، و رقّ الآخران على تقدير تساويهم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فمئونة تجهيزه لو فرضت بعد القرعة على وارثه أو بيت المال، و إن خرج له سهم الرقّ لم يحتسب على الورثة؛ لأنّهم يبغون المال و منفعته، ويحتسب به عن المعتِق؛لأنّ المعتِق يبغي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تعاد القرعة بين العبدين كما لو لم يكن إلّا عبدان فأعتقهما، فمن خرج له سهم العتق عتق ثلثاه و رقّ ثلثه و العبد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خرج سهم العتق ابتداءً على أحد الحيّين فكذلك يعتق ثلثاه و تبيّن موت الآخر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موته بعد قبض الوارث ففي احتسابه عليه وجهان، أصحّهما نعم، حتّى لو خرجت القرعة لأحد الحيّين عتق كلّه؛ و ذلك لأنّ الميّت دخل في أيديهم و ضمانهم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العدم أنّهم لايتسلّطون على التصرّف و إن ثبتت أيديهم الحسّيّة، فيكون كما لو مات قبل ثبوت أيديهم، و إطلاق المصنّف عدم احتسابه على الورثة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الصورة بحالها و مات اثنان أُقرع بينهم أيضاً، فإن خرج سهم العتق على أحد</w:t>
      </w:r>
    </w:p>
    <w:p>
      <w:pPr>
        <w:pStyle w:val="BookText"/>
        <w:rPr/>
      </w:pPr>
      <w:r>
        <w:rPr>
          <w:rFonts w:ascii="Amiri" w:hAnsi="Amiri" w:eastAsia="Amiri" w:cs="Amiri"/>
          <w:color w:val="111111"/>
          <w:sz w:val="28"/>
          <w:sz w:val="28"/>
          <w:szCs w:val="28"/>
          <w:rtl w:val="true"/>
          <w:lang w:bidi="ar-SA"/>
        </w:rPr>
        <w:t>الميّتين عتق نصفه خاصّةً، و حصل للورثة مثلاه و هو العبد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خرج سهم الرقّ عليه أقرعنا بين الميّت الآخر و بين الحيّ، فإن خرج سهم الحرّيّة على الميّت الآخر أعتقنا نصفه الآخر، و إن خرج سهم الرقّ عليه لم يحتسب على الورثة، و أعتقنا ثلث العبد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موت الميّت منهم بالقتل الموجب للقيمة دخل القتيل في القرعة مطلقاً؛ لأنّ قيمته تقوم مقامه على تقدير رقيّتّه فلايفوت الوارث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خرج سهم العتق لأحد الحيّين عتق كلّه، و للورثة الآخر و قيمة القتيل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خرج للقتيل بان أنّه قتل حرّاً و على قاتله الدية لورثته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تساويهم قيمةً كما فرضناه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اختلفت القيمة أُعتق ثلث الجميع بالقيمة، فإذا خرجت لأحد و كان بقدر الثلث فذاك، و إن نقص أكمل من الآخر، وإن زاد كان فاضله رقّاً</w:t>
      </w:r>
      <w:r>
        <w:rPr>
          <w:rFonts w:eastAsia="IRNazanin" w:cs="IRNazanin"/>
          <w:color w:val="111111"/>
          <w:sz w:val="28"/>
          <w:szCs w:val="28"/>
          <w:rtl w:val="true"/>
          <w:lang w:bidi="fa-IR"/>
        </w:rPr>
        <w:t xml:space="preserve">. </w:t>
      </w:r>
      <w:bookmarkStart w:id="401" w:name="pg10270_80397"/>
    </w:p>
    <w:p>
      <w:pPr>
        <w:pStyle w:val="Heading4"/>
        <w:numPr>
          <w:ilvl w:val="3"/>
          <w:numId w:val="1"/>
        </w:numPr>
        <w:rPr/>
      </w:pPr>
      <w:bookmarkStart w:id="402" w:name="__RefHeading___Toc3860262_1067777946"/>
      <w:bookmarkStart w:id="403" w:name="_Toc145"/>
      <w:bookmarkEnd w:id="401"/>
      <w:bookmarkEnd w:id="402"/>
      <w:r>
        <w:rPr>
          <w:rtl w:val="true"/>
        </w:rPr>
        <w:t>العتق بالسراية</w:t>
      </w:r>
      <w:bookmarkEnd w:id="403"/>
    </w:p>
    <w:p>
      <w:pPr>
        <w:pStyle w:val="Heading5"/>
        <w:numPr>
          <w:ilvl w:val="4"/>
          <w:numId w:val="1"/>
        </w:numPr>
        <w:rPr/>
      </w:pPr>
      <w:bookmarkStart w:id="404" w:name="__RefHeading___Toc3860264_1067777946"/>
      <w:bookmarkStart w:id="405" w:name="_Toc146"/>
      <w:bookmarkEnd w:id="404"/>
      <w:r>
        <w:rPr>
          <w:rtl w:val="true"/>
        </w:rPr>
        <w:t>اشارة</w:t>
      </w:r>
      <w:bookmarkEnd w:id="4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السراية</w:t>
      </w:r>
    </w:p>
    <w:p>
      <w:pPr>
        <w:pStyle w:val="Heading5"/>
        <w:numPr>
          <w:ilvl w:val="4"/>
          <w:numId w:val="1"/>
        </w:numPr>
        <w:rPr/>
      </w:pPr>
      <w:bookmarkStart w:id="406" w:name="__RefHeading___Toc3860266_1067777946"/>
      <w:bookmarkStart w:id="407" w:name="_Toc147"/>
      <w:bookmarkEnd w:id="406"/>
      <w:r>
        <w:rPr>
          <w:rtl w:val="true"/>
        </w:rPr>
        <w:t>شروط العتق بالسراية</w:t>
      </w:r>
      <w:bookmarkEnd w:id="407"/>
    </w:p>
    <w:p>
      <w:pPr>
        <w:pStyle w:val="BookText"/>
        <w:rPr/>
      </w:pPr>
      <w:r>
        <w:rPr>
          <w:rFonts w:ascii="IRNazanin" w:hAnsi="IRNazanin" w:eastAsia="IRNazanin"/>
          <w:color w:val="111111"/>
          <w:sz w:val="28"/>
          <w:sz w:val="28"/>
          <w:szCs w:val="28"/>
          <w:rtl w:val="true"/>
          <w:lang w:bidi="fa-IR"/>
        </w:rPr>
        <w:t>فمن أعتق شقصاً من عبده سرى العتق فيه کلّه إذا كان المعتِق صحيحاً جائز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له فيه شريك قوّم عليه إن كان موسراً، و سعى العبد في فكّ ما بقي منه إن كان المعتِق معسراً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الإضرار فكّه إن كان موسراً، و بطل إن كان معسراً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قصد القربة عتقت حصّته، و سعى العبد في حصّة الشريك، و لم يجب على المعتِق فكّه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السراية فمن أعتق شقصاً من عبده سرى العتق فيه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 حصول العتق في باقي المملوك بالسراية إليه من الجزء الذي اُعتق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الأصل فيه قول النبيّ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أعتق شركاً له من عبد و له مال قوّم عليه الباقي</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طريق الخاصّة رواية غياث بن إبراهيم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أعتق بعض غلامه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 ليس لله شريك</w:t>
      </w:r>
      <w:r>
        <w:rPr>
          <w:rFonts w:eastAsia="IRNazanin" w:cs="IRNazanin"/>
          <w:color w:val="111111"/>
          <w:sz w:val="28"/>
          <w:szCs w:val="28"/>
          <w:rtl w:val="true"/>
          <w:lang w:bidi="fa-IR"/>
        </w:rPr>
        <w:t>»</w:t>
      </w:r>
      <w:r>
        <w:rPr>
          <w:rStyle w:val="FootnoteAnchor"/>
          <w:rtl w:val="true"/>
        </w:rPr>
        <w:footnoteReference w:id="13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رواية طلحة بن زيد عنه علیه السلام أنّ رجلاً أعتق بعض غلامه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 کلّه ليس لله شريك</w:t>
      </w:r>
      <w:r>
        <w:rPr>
          <w:rFonts w:eastAsia="IRNazanin" w:cs="IRNazanin"/>
          <w:color w:val="111111"/>
          <w:sz w:val="28"/>
          <w:szCs w:val="28"/>
          <w:rtl w:val="true"/>
          <w:lang w:bidi="fa-IR"/>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أعمّ من كون العبد المعتَق بعضه مشتركاً بينه و بين غيره و مختصّاً به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صحيحة الحلبي عن أبي عبد الله علیه السلام في جارية كانت بين اثنين فأعتق أحدهما نصيبه </w:t>
      </w:r>
    </w:p>
    <w:p>
      <w:pPr>
        <w:pStyle w:val="BookText"/>
        <w:rPr/>
      </w:pPr>
      <w:r>
        <w:rPr>
          <w:rFonts w:ascii="Amiri" w:hAnsi="Amiri" w:eastAsia="Amiri" w:cs="Amiri"/>
          <w:color w:val="111111"/>
          <w:sz w:val="28"/>
          <w:sz w:val="28"/>
          <w:szCs w:val="28"/>
          <w:rtl w:val="true"/>
          <w:lang w:bidi="ar-SA"/>
        </w:rPr>
        <w:t>فإن عجز العبد أو امتنع من السعي كان له من نفسه ما أعتق، و للشريك ما بقي، و كان كسبه بينه و بين الشريك، و نفقته و فطرته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موسراً كلّف أن يضمن، و إن كان معسراً أخدمت بالحصص</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السيّد المحقّق جمال الدين أحمد بن طاوس في كتابه ملاذ علماء الإمامية الميل إلى عدم السراية على معتق بعض مملوكه إلى الباقي</w:t>
      </w:r>
      <w:r>
        <w:rPr>
          <w:rStyle w:val="FootnoteAnchor"/>
          <w:rtl w:val="true"/>
        </w:rPr>
        <w:footnoteReference w:id="1311"/>
      </w:r>
      <w:r>
        <w:rPr>
          <w:rFonts w:ascii="IRNazanin" w:hAnsi="IRNazanin" w:eastAsia="IRNazanin"/>
          <w:color w:val="111111"/>
          <w:sz w:val="28"/>
          <w:sz w:val="28"/>
          <w:szCs w:val="28"/>
          <w:rtl w:val="true"/>
          <w:lang w:bidi="fa-IR"/>
        </w:rPr>
        <w:t>نظراً إلى ضعف المستند، مع معارضته بروایات تدلّ علی عدمه، كرواية حمزة بن حمران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الرجل أعتق بعض جاريته ثمّ قذفها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لاتتزوّج حتّى تؤدّي ما عليها، و يعتق النصف الآخر</w:t>
      </w:r>
      <w:r>
        <w:rPr>
          <w:rFonts w:eastAsia="IRNazanin" w:cs="IRNazanin"/>
          <w:color w:val="111111"/>
          <w:sz w:val="28"/>
          <w:szCs w:val="28"/>
          <w:rtl w:val="true"/>
          <w:lang w:bidi="fa-IR"/>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صحيحة عبد الله بن سنان عن الصادق علیه السلام في امرأة أعتقت ثلث خادمها عند موتها أعلى أهلها أن يكاتبوها إن شاؤوا وإن أبوا؟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ولكن لها من نفسها ثلثها، و للوارث ثلثاها يستخدمها بحساب الذي له منها، و يكون لها من نفسها بحساب ما أُعتق منها</w:t>
      </w:r>
      <w:r>
        <w:rPr>
          <w:rFonts w:eastAsia="IRNazanin" w:cs="IRNazanin"/>
          <w:color w:val="111111"/>
          <w:sz w:val="28"/>
          <w:szCs w:val="28"/>
          <w:rtl w:val="true"/>
          <w:lang w:bidi="fa-IR"/>
        </w:rPr>
        <w:t>»</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و رواية مالك بن عطيّة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أعتق نصف جاريته، ثمّ إنّه كاتبها على النصف الآخر بعد ذلك،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فليشترط عليها أنّها إن عجزت عن نجومها تردّ في الرقّ في نصف رقبتها</w:t>
      </w:r>
      <w:r>
        <w:rPr>
          <w:rFonts w:eastAsia="IRNazanin" w:cs="IRNazanin"/>
          <w:color w:val="111111"/>
          <w:sz w:val="28"/>
          <w:szCs w:val="28"/>
          <w:rtl w:val="true"/>
          <w:lang w:bidi="fa-IR"/>
        </w:rPr>
        <w:t>».</w:t>
      </w:r>
      <w:r>
        <w:rPr>
          <w:rStyle w:val="FootnoteAnchor"/>
          <w:rtl w:val="true"/>
        </w:rPr>
        <w:footnoteReference w:id="1314"/>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عذر السيّد في ضعف سند الرواية على تقدير ملكه للباقي واضح، و ما استدلّ به من الروايات على عدمه أوضح سنداً، لكنّ السراية على الشريك قد ثبتت بالصحيح، و هو يقتضي السراية على ملكه بطريق أولى؛ لاشتراكهما في الدلالة على تشوّق الشرع لتكميل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العتق، و إذا أكمل و الباقي لغيره و احتيج إلى أداء المال إليه فلأنّ يكمل و الباقي له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الروايات مؤيّدةً و إن ضعف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ابن سنان يمكن حملها على ما إذا لم تملك غيرها، فيحجر عليها فيما زاد عن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حمل رواية حمزة على أنّه لايملك نصفها الآخر</w:t>
      </w:r>
      <w:r>
        <w:rPr>
          <w:rFonts w:eastAsia="Amiri" w:cs="Amiri" w:ascii="Amiri" w:hAnsi="Amiri"/>
          <w:color w:val="111111"/>
          <w:sz w:val="28"/>
          <w:szCs w:val="28"/>
          <w:rtl w:val="true"/>
          <w:lang w:bidi="ar-SA"/>
        </w:rPr>
        <w:t>.</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 xml:space="preserve">إذا تقرّر ذلك فسراية العتق إلى نصيب الشريك مشروطة بيسار المعتِق، كما ينبّه عليه قوله صلّی الله علیه وآله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موسراً كلّف أن يضمن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القول باختصاص السراية بقصد الإضرار بالشريك مع اليسار و أنّه مع قصد القربة لايقوّم عليه مطلقاً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316"/>
      </w:r>
      <w:r>
        <w:rPr>
          <w:rFonts w:ascii="IRNazanin" w:hAnsi="IRNazanin" w:eastAsia="IRNazanin"/>
          <w:color w:val="111111"/>
          <w:sz w:val="28"/>
          <w:sz w:val="28"/>
          <w:szCs w:val="28"/>
          <w:rtl w:val="true"/>
          <w:lang w:bidi="fa-IR"/>
        </w:rPr>
        <w:t>، استناداً إلى حسنة الحلبي عن الصادق علیه السلام أنّه سُئل عن رجلين كان بينهما عبد فأعتق أحدهما نصيبه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مضارّاً كلّف أن يعتقه كلّه، و إلّا استسعى العبد في النصف الآخر</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ردّه ابن إدريس بأنّ قصد القربة شرط في صحّة العتق، و قصد المضارّة ينافيها</w:t>
      </w:r>
      <w:r>
        <w:rPr>
          <w:rStyle w:val="FootnoteAnchor"/>
          <w:rtl w:val="true"/>
        </w:rPr>
        <w:footnoteReference w:id="1318"/>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أُجييب بأنّ المراد بالإضرار تقويمه على الشريك قهراً وإعتاق نصيبه الله تعالى، و مثل هذا لاينافي القربة، وإنّما ينافيها تمحّض القصد للإضرار</w:t>
      </w:r>
      <w:r>
        <w:rPr>
          <w:rStyle w:val="FootnoteAnchor"/>
          <w:rtl w:val="true"/>
        </w:rPr>
        <w:footnoteReference w:id="1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الأشهر التقويم على الموسر مطلقاً ؛ عملاً بصحيحة الحلبي و غيرها من الأخبار</w:t>
      </w:r>
      <w:r>
        <w:rPr>
          <w:rStyle w:val="FootnoteAnchor"/>
          <w:rtl w:val="true"/>
        </w:rPr>
        <w:footnoteReference w:id="1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الإعسار يسعى العبد في فكّ باقيه بجميع كسبه، لا بحصّته من الحرّيّة على الأظهر،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هايأ شريكه في نفسه صحّ، و تناولت المهايأة المعتاد و النادر، كالصيد و الالتقاط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المملوك بين ثلاثةٍ فأعتق اثنان قوّمت حصّة الثالث عليهما بالسويّة، تساوت حصصهما فيه أو اختلفت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كالكتابة في كونه فكّاً للرقبة من الرقّيّة بجملة الكسب، و استقرار الملك بعجز المملوك، و عتق ما قابل المدفوع منه كما في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يفترقان في اشتراطه بسبق عتق شيءٍمنه دونها، و عدم اشتراطه بعقد و لاتقدير للعوض و لا للأجل بل بقيمة المثل 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هایاً شريكه في نفسه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المهايأة على تقدير عجزه على وجه الاختيار لا الإجبار، بخلاف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بتناولها للكسب مطلقاً وإن كان نادراً هو المذهب ؛ لعموم الأدلّة</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لايتناول النادر</w:t>
      </w:r>
      <w:r>
        <w:rPr>
          <w:rStyle w:val="FootnoteAnchor"/>
          <w:rtl w:val="true"/>
        </w:rPr>
        <w:footnoteReference w:id="1322"/>
      </w:r>
      <w:r>
        <w:rPr>
          <w:rFonts w:ascii="Amiri" w:hAnsi="Amiri" w:eastAsia="Amiri" w:cs="Amiri"/>
          <w:color w:val="111111"/>
          <w:sz w:val="28"/>
          <w:sz w:val="28"/>
          <w:szCs w:val="28"/>
          <w:rtl w:val="true"/>
          <w:lang w:bidi="ar-SA"/>
        </w:rPr>
        <w:t>استناداً إلى أنّها معاوضة فلو تناولته لجهلت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لأنّ المنفعة في المدّة المعلومة مضبوطة على وجه يرفع الجهالة، و خصوصيات الكسب غير مقصودة، و لو اعتبرت لزم الجهل بها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المملوك بين ثلاثةٍ فأعتق اثنان قوّمت حصّة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المملوك بين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أعتق اثنان منهم نصيبهما، فإن كان مترتّباً قوّم على السابق نصيب الآخرين، و لغا المتأخّر إن جعلنا السراية تحصل بالإعتاق و سيأتي البحث فيه</w:t>
      </w:r>
      <w:r>
        <w:rPr>
          <w:rFonts w:eastAsia="Amiri" w:cs="Amiri" w:ascii="Amiri" w:hAnsi="Amiri"/>
          <w:color w:val="111111"/>
          <w:sz w:val="28"/>
          <w:szCs w:val="28"/>
          <w:rtl w:val="true"/>
          <w:lang w:bidi="ar-SA"/>
        </w:rPr>
        <w:t>.</w:t>
      </w:r>
      <w:r>
        <w:rPr>
          <w:rStyle w:val="FootnoteAnchor"/>
          <w:rtl w:val="true"/>
        </w:rPr>
        <w:footnoteReference w:id="1323"/>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أعتقا نصيبهما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بأن نطقا به دفعةً، أو وكّلا رجلاً بالإعتاق عنهما فأعتق نصيبهما معاً، أو وکلّ أحدهما الآخر، أو علّقاه على شرط واحد، و إن كان التعليق مترتّباً فوجد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أحدهما موسراً قوّم عليه نصيب الثالث، و إن كانا موسرين قوّم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تعتبر القيمة وقت العتق؛ لأنّه وقت 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نصيب الثالث عليهما بالسويّة لا على قدر الملكين؛ لأنّ القيمة الواجبة هنا سبيلها سبيل ضمان المتلفات، و لايفترق الحال فيها بين قلّة الأسباب و كثرتها، ألا ترى أنّه لو جرح واحد جراحة و الآخر جراحات و سرى فمات المجروح منهما تكون الدية عليهما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لبعض العامّة وجه أنّ القيمة عليهما على عدد الأنصباء كالشفعة</w:t>
      </w:r>
      <w:r>
        <w:rPr>
          <w:rStyle w:val="FootnoteAnchor"/>
          <w:rtl w:val="true"/>
        </w:rPr>
        <w:footnoteReference w:id="1324"/>
      </w:r>
      <w:r>
        <w:rPr>
          <w:rFonts w:ascii="Amiri" w:hAnsi="Amiri" w:eastAsia="Amiri" w:cs="Amiri"/>
          <w:color w:val="111111"/>
          <w:sz w:val="28"/>
          <w:sz w:val="28"/>
          <w:szCs w:val="28"/>
          <w:rtl w:val="true"/>
          <w:lang w:bidi="ar-SA"/>
        </w:rPr>
        <w:t>، فإذا أعتق صاحب النصف و صاحب السدس غرم صاحب النصف ثلاثة أرباع قيمة الثلث، و صاحب السدس ربعها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بثبوت الفرق، فإنّ الأخذ بالشفعة من فوائد الملك و مرافقة فيكون على قدر الملك كالثمرة و النتاج، بخلاف القيمة الواجبة هنا كما بيّنّاه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الفرق بين الأمرين فقد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الشفعة على الرؤوس</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تعتبر القيمة وقت العتق؛ لأنّه وقت 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ثبوت الحكم كذلك سواء قلنا بانعتاقه بالعتق أم بالأداء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على الأوّل ظاهر، و أمّا على الثاني فإنّه وإن لم ينعتق بالفعل قبل الأداء لكن قد تعلّق به حقّ العتق و استحقّ الشريك المطالبة بالقيمة، و ذلك فرع ثبوتها وإن توقّف العتق بالفعل على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كونه وقت الحيلولة أنّه يحجر على الشريك في حصّته وإن لم ينتقل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العلّامة في كتبه وافق المصنّف على إطلاق اعتبار يوم العتق</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ترتّب القيمة على وقت العتق بالفعل، فإن جعلناه بالإعتاق اعتبرت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على القول بالمراعاة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باشتراطه بالأداء يعتبر القيمة عنده</w:t>
      </w:r>
      <w:r>
        <w:rPr>
          <w:rFonts w:eastAsia="Amiri" w:cs="Amiri" w:ascii="Amiri" w:hAnsi="Amiri"/>
          <w:color w:val="111111"/>
          <w:sz w:val="28"/>
          <w:szCs w:val="28"/>
          <w:rtl w:val="true"/>
          <w:lang w:bidi="ar-SA"/>
        </w:rPr>
        <w:t xml:space="preserve">. </w:t>
      </w:r>
      <w:bookmarkStart w:id="408" w:name="pg10270_80402"/>
    </w:p>
    <w:p>
      <w:pPr>
        <w:pStyle w:val="BookText"/>
        <w:rPr/>
      </w:pPr>
      <w:bookmarkEnd w:id="40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وتنعتق حصّة الشريك بأداء القيمة لا بالإعتاق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الظاهر من كلام المبسوط، فإنّه نقل القول بانعتاقه بالعتق، و فرّع عليه فروعاً منها اعتبار القيمة وقت العتق، ثمّ نقل القول الآخر</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و في الدروس أطلق اعتبار القيمة وقت الأداء بعد أن اختار انعتاقه بالأداء</w:t>
      </w:r>
      <w:r>
        <w:rPr>
          <w:rStyle w:val="FootnoteAnchor"/>
          <w:rtl w:val="true"/>
        </w:rPr>
        <w:footnoteReference w:id="1328"/>
      </w:r>
      <w:r>
        <w:rPr>
          <w:rFonts w:ascii="Amiri" w:hAnsi="Amiri" w:eastAsia="Amiri" w:cs="Amiri"/>
          <w:color w:val="111111"/>
          <w:sz w:val="28"/>
          <w:sz w:val="28"/>
          <w:szCs w:val="28"/>
          <w:rtl w:val="true"/>
          <w:lang w:bidi="ar-SA"/>
        </w:rPr>
        <w:t>، و لم يذكر اعتبارها يوم العتق و هو موافق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تنعتق حصّة الشريك بأداء القيمة لا بالإعتاق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مراعى</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3860268_1067777946"/>
      <w:bookmarkStart w:id="410" w:name="_Toc148"/>
      <w:bookmarkEnd w:id="409"/>
      <w:r>
        <w:rPr>
          <w:rtl w:val="true"/>
        </w:rPr>
        <w:t>وقت انعتاق نصيب الشريك مع اجتماع شروط السراية</w:t>
      </w:r>
      <w:bookmarkEnd w:id="410"/>
    </w:p>
    <w:p>
      <w:pPr>
        <w:pStyle w:val="BookText"/>
        <w:rPr/>
      </w:pPr>
      <w:r>
        <w:rPr>
          <w:rFonts w:ascii="Amiri" w:hAnsi="Amiri" w:eastAsia="Amiri" w:cs="Amiri"/>
          <w:color w:val="111111"/>
          <w:sz w:val="28"/>
          <w:sz w:val="28"/>
          <w:szCs w:val="28"/>
          <w:rtl w:val="true"/>
          <w:lang w:bidi="ar-SA"/>
        </w:rPr>
        <w:t>اختلف في وقت انعتاق نصيب الشريك مع اجتماع شروط السراية، فقال الشيخ في الخلاف</w:t>
      </w:r>
      <w:r>
        <w:rPr>
          <w:rStyle w:val="FootnoteAnchor"/>
          <w:rtl w:val="true"/>
        </w:rPr>
        <w:footnoteReference w:id="1329"/>
      </w:r>
      <w:r>
        <w:rPr>
          <w:rFonts w:ascii="Amiri" w:hAnsi="Amiri" w:eastAsia="Amiri" w:cs="Amiri"/>
          <w:color w:val="111111"/>
          <w:sz w:val="28"/>
          <w:sz w:val="28"/>
          <w:szCs w:val="28"/>
          <w:rtl w:val="true"/>
          <w:lang w:bidi="ar-SA"/>
        </w:rPr>
        <w:t>، و قبله المفيد</w:t>
      </w:r>
      <w:r>
        <w:rPr>
          <w:rStyle w:val="FootnoteAnchor"/>
          <w:rtl w:val="true"/>
        </w:rPr>
        <w:footnoteReference w:id="1330"/>
      </w:r>
      <w:r>
        <w:rPr>
          <w:rFonts w:ascii="Amiri" w:hAnsi="Amiri" w:eastAsia="Amiri" w:cs="Amiri"/>
          <w:color w:val="111111"/>
          <w:sz w:val="28"/>
          <w:sz w:val="28"/>
          <w:szCs w:val="28"/>
          <w:rtl w:val="true"/>
          <w:lang w:bidi="ar-SA"/>
        </w:rPr>
        <w:t>و المصنّف و العلّامة</w:t>
      </w:r>
      <w:r>
        <w:rPr>
          <w:rStyle w:val="FootnoteAnchor"/>
          <w:rtl w:val="true"/>
        </w:rPr>
        <w:footnoteReference w:id="1331"/>
      </w:r>
      <w:r>
        <w:rPr>
          <w:rFonts w:ascii="Amiri" w:hAnsi="Amiri" w:eastAsia="Amiri" w:cs="Amiri"/>
          <w:color w:val="111111"/>
          <w:sz w:val="28"/>
          <w:sz w:val="28"/>
          <w:szCs w:val="28"/>
          <w:rtl w:val="true"/>
          <w:lang w:bidi="ar-SA"/>
        </w:rPr>
        <w:t>و الشهيد</w:t>
      </w:r>
      <w:r>
        <w:rPr>
          <w:rStyle w:val="FootnoteAnchor"/>
          <w:rtl w:val="true"/>
        </w:rPr>
        <w:footnoteReference w:id="1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أداء القيمة؛ لأنّ للأداء مدخلاً في العلّيّة، و لهذا لاينعتق مع الإعسار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لو أعتق بالإعتاق لزم الإضرار بالشريك بتقدير هرب المعتَق أو تلف ماله، و لصحيحة محمد بن قيس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شريكاً في عبد أو أمة، قليل أو كثير، فأعتق حصّته و له سعة فليشتر من صاحبه فيعتق كلّه</w:t>
      </w:r>
      <w:r>
        <w:rPr>
          <w:rFonts w:eastAsia="IRNazanin" w:cs="IRNazanin"/>
          <w:color w:val="111111"/>
          <w:sz w:val="28"/>
          <w:szCs w:val="28"/>
          <w:rtl w:val="true"/>
          <w:lang w:bidi="fa-IR"/>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بشرائه منه أداؤه قيمة نصيبه؛ لعدم اعتبار الشراء الحقيقي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مراعى بالأداء، فإن أدّى تبيّن العتق من حينه وإلّا تبيّن الرقّ</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جمع بين الأدلّة، و تحرّز من الإضرار المدّعى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ينعتق بالإعتاق</w:t>
      </w:r>
      <w:r>
        <w:rPr>
          <w:rStyle w:val="FootnoteAnchor"/>
          <w:rtl w:val="true"/>
        </w:rPr>
        <w:footnoteReference w:id="1335"/>
      </w:r>
      <w:r>
        <w:rPr>
          <w:rFonts w:ascii="Amiri" w:hAnsi="Amiri" w:eastAsia="Amiri" w:cs="Amiri"/>
          <w:color w:val="111111"/>
          <w:sz w:val="28"/>
          <w:sz w:val="28"/>
          <w:szCs w:val="28"/>
          <w:rtl w:val="true"/>
          <w:lang w:bidi="ar-SA"/>
        </w:rPr>
        <w:t xml:space="preserve">، أي باللفظ المقتضي لعتق نصيبه؛ لأنّ ذلك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مقتضى السراية، و مدلول الأخبار الدالّة عليها، كقول النبيّ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العبد بين اثنين فأعتق أحدهما نصيبه وكان له مال فقد عتق كلّه</w:t>
      </w:r>
      <w:r>
        <w:rPr>
          <w:rFonts w:eastAsia="IRNazanin" w:cs="IRNazanin"/>
          <w:color w:val="111111"/>
          <w:sz w:val="28"/>
          <w:szCs w:val="28"/>
          <w:rtl w:val="true"/>
          <w:lang w:bidi="fa-IR"/>
        </w:rPr>
        <w:t>»</w:t>
      </w:r>
      <w:r>
        <w:rPr>
          <w:rStyle w:val="FootnoteAnchor"/>
          <w:rtl w:val="true"/>
        </w:rPr>
        <w:footnoteReference w:id="1336"/>
      </w:r>
      <w:r>
        <w:rPr>
          <w:rFonts w:ascii="Amiri" w:hAnsi="Amiri" w:eastAsia="Amiri" w:cs="Amiri"/>
          <w:color w:val="111111"/>
          <w:sz w:val="28"/>
          <w:sz w:val="28"/>
          <w:szCs w:val="28"/>
          <w:rtl w:val="true"/>
          <w:lang w:bidi="ar-SA"/>
        </w:rPr>
        <w:t xml:space="preserve">، و يروی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حرّ كلّه</w:t>
      </w:r>
      <w:r>
        <w:rPr>
          <w:rFonts w:eastAsia="Amiri" w:cs="Amiri" w:ascii="Amiri" w:hAnsi="Amiri"/>
          <w:color w:val="111111"/>
          <w:sz w:val="28"/>
          <w:szCs w:val="28"/>
          <w:rtl w:val="true"/>
          <w:lang w:bidi="ar-SA"/>
        </w:rPr>
        <w:t>»</w:t>
      </w:r>
      <w:r>
        <w:rPr>
          <w:rStyle w:val="FootnoteAnchor"/>
          <w:rtl w:val="true"/>
        </w:rPr>
        <w:footnoteReference w:id="1337"/>
      </w:r>
      <w:r>
        <w:rPr>
          <w:rFonts w:ascii="Amiri" w:hAnsi="Amiri" w:eastAsia="Amiri" w:cs="Amiri"/>
          <w:color w:val="111111"/>
          <w:sz w:val="28"/>
          <w:sz w:val="28"/>
          <w:szCs w:val="28"/>
          <w:rtl w:val="true"/>
          <w:lang w:bidi="ar-SA"/>
        </w:rPr>
        <w:t xml:space="preserve">، 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عتيق</w:t>
      </w:r>
      <w:r>
        <w:rPr>
          <w:rFonts w:eastAsia="Amiri" w:cs="Amiri" w:ascii="Amiri" w:hAnsi="Amiri"/>
          <w:color w:val="111111"/>
          <w:sz w:val="28"/>
          <w:szCs w:val="28"/>
          <w:rtl w:val="true"/>
          <w:lang w:bidi="ar-SA"/>
        </w:rPr>
        <w:t>»</w:t>
      </w:r>
      <w:r>
        <w:rPr>
          <w:rStyle w:val="FootnoteAnchor"/>
          <w:rtl w:val="true"/>
        </w:rPr>
        <w:footnoteReference w:id="1338"/>
      </w:r>
      <w:r>
        <w:rPr>
          <w:rFonts w:ascii="IRNazanin" w:hAnsi="IRNazanin" w:eastAsia="IRNazanin"/>
          <w:color w:val="111111"/>
          <w:sz w:val="28"/>
          <w:sz w:val="28"/>
          <w:szCs w:val="28"/>
          <w:rtl w:val="true"/>
          <w:lang w:bidi="fa-IR"/>
        </w:rPr>
        <w:t>، و قول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 ليس لله شريك</w:t>
      </w:r>
      <w:r>
        <w:rPr>
          <w:rFonts w:eastAsia="IRNazanin" w:cs="IRNazanin"/>
          <w:color w:val="111111"/>
          <w:sz w:val="28"/>
          <w:szCs w:val="28"/>
          <w:rtl w:val="true"/>
          <w:lang w:bidi="fa-IR"/>
        </w:rPr>
        <w:t>»</w:t>
      </w:r>
      <w:r>
        <w:rPr>
          <w:rStyle w:val="FootnoteAnchor"/>
          <w:rtl w:val="true"/>
        </w:rPr>
        <w:footnoteReference w:id="1339"/>
      </w:r>
      <w:r>
        <w:rPr>
          <w:rFonts w:ascii="IRNazanin" w:hAnsi="IRNazanin" w:eastAsia="IRNazanin"/>
          <w:color w:val="111111"/>
          <w:sz w:val="28"/>
          <w:sz w:val="28"/>
          <w:szCs w:val="28"/>
          <w:rtl w:val="true"/>
          <w:lang w:bidi="fa-IR"/>
        </w:rPr>
        <w:t>، و قول الصادق علیه السلام في رواية سليمان بن خالد</w:t>
      </w:r>
      <w:r>
        <w:rPr>
          <w:rStyle w:val="FootnoteAnchor"/>
          <w:rtl w:val="true"/>
        </w:rPr>
        <w:footnoteReference w:id="1340"/>
      </w:r>
      <w:r>
        <w:rPr>
          <w:rFonts w:ascii="Amiri" w:hAnsi="Amiri" w:eastAsia="Amiri" w:cs="Amiri"/>
          <w:color w:val="111111"/>
          <w:sz w:val="28"/>
          <w:sz w:val="28"/>
          <w:szCs w:val="28"/>
          <w:rtl w:val="true"/>
          <w:lang w:bidi="ar-SA"/>
        </w:rPr>
        <w:t>و غيره</w:t>
      </w:r>
      <w:r>
        <w:rPr>
          <w:rStyle w:val="FootnoteAnchor"/>
          <w:rtl w:val="true"/>
        </w:rPr>
        <w:footnoteReference w:id="1341"/>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أفسد على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الإفساد إنّما حصل بالعتق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توقّف العلّامة في كثير من كتبه</w:t>
      </w:r>
      <w:r>
        <w:rPr>
          <w:rStyle w:val="FootnoteAnchor"/>
          <w:rtl w:val="true"/>
        </w:rPr>
        <w:footnoteReference w:id="1342"/>
      </w:r>
      <w:r>
        <w:rPr>
          <w:rFonts w:ascii="IRNazanin" w:hAnsi="IRNazanin" w:eastAsia="IRNazanin"/>
          <w:color w:val="111111"/>
          <w:sz w:val="28"/>
          <w:sz w:val="28"/>
          <w:szCs w:val="28"/>
          <w:rtl w:val="true"/>
          <w:lang w:bidi="fa-IR"/>
        </w:rPr>
        <w:t>و ولده</w:t>
      </w:r>
      <w:r>
        <w:rPr>
          <w:rStyle w:val="FootnoteAnchor"/>
          <w:rtl w:val="true"/>
        </w:rPr>
        <w:footnoteReference w:id="1343"/>
      </w:r>
      <w:r>
        <w:rPr>
          <w:rFonts w:ascii="Amiri" w:hAnsi="Amiri" w:eastAsia="Amiri" w:cs="Amiri"/>
          <w:color w:val="111111"/>
          <w:sz w:val="28"/>
          <w:sz w:val="28"/>
          <w:szCs w:val="28"/>
          <w:rtl w:val="true"/>
          <w:lang w:bidi="ar-SA"/>
        </w:rPr>
        <w:t>و الشهيد في الشرح</w:t>
      </w:r>
      <w:r>
        <w:rPr>
          <w:rStyle w:val="FootnoteAnchor"/>
          <w:rtl w:val="true"/>
        </w:rPr>
        <w:footnoteReference w:id="1344"/>
      </w:r>
      <w:r>
        <w:rPr>
          <w:rFonts w:ascii="Amiri" w:hAnsi="Amiri" w:eastAsia="Amiri" w:cs="Amiri"/>
          <w:color w:val="111111"/>
          <w:sz w:val="28"/>
          <w:sz w:val="28"/>
          <w:szCs w:val="28"/>
          <w:rtl w:val="true"/>
          <w:lang w:bidi="ar-SA"/>
        </w:rPr>
        <w:t>، مع أنّه رجّح في الدروس اعتبار الأداء</w:t>
      </w:r>
      <w:r>
        <w:rPr>
          <w:rStyle w:val="FootnoteAnchor"/>
          <w:rtl w:val="true"/>
        </w:rPr>
        <w:footnoteReference w:id="1345"/>
      </w:r>
      <w:r>
        <w:rPr>
          <w:rFonts w:ascii="Amiri" w:hAnsi="Amiri" w:eastAsia="Amiri" w:cs="Amiri"/>
          <w:color w:val="111111"/>
          <w:sz w:val="28"/>
          <w:sz w:val="28"/>
          <w:szCs w:val="28"/>
          <w:rtl w:val="true"/>
          <w:lang w:bidi="ar-SA"/>
        </w:rPr>
        <w:t>، لصحيحة ابن قيس</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 نظر؛ لأنّ ابن قيس الذي يروي عن الباقر علیه السلام مشترك بين الثقة</w:t>
      </w:r>
      <w:r>
        <w:rPr>
          <w:rStyle w:val="FootnoteAnchor"/>
          <w:rtl w:val="true"/>
        </w:rPr>
        <w:footnoteReference w:id="1347"/>
      </w:r>
      <w:r>
        <w:rPr>
          <w:rFonts w:ascii="Amiri" w:hAnsi="Amiri" w:eastAsia="Amiri" w:cs="Amiri"/>
          <w:color w:val="111111"/>
          <w:sz w:val="28"/>
          <w:sz w:val="28"/>
          <w:szCs w:val="28"/>
          <w:rtl w:val="true"/>
          <w:lang w:bidi="ar-SA"/>
        </w:rPr>
        <w:t>و غيره</w:t>
      </w:r>
      <w:r>
        <w:rPr>
          <w:rStyle w:val="FootnoteAnchor"/>
          <w:rtl w:val="true"/>
        </w:rPr>
        <w:footnoteReference w:id="1348"/>
      </w:r>
      <w:r>
        <w:rPr>
          <w:rFonts w:ascii="Amiri" w:hAnsi="Amiri" w:eastAsia="Amiri" w:cs="Amiri"/>
          <w:color w:val="111111"/>
          <w:sz w:val="28"/>
          <w:sz w:val="28"/>
          <w:szCs w:val="28"/>
          <w:rtl w:val="true"/>
          <w:lang w:bidi="ar-SA"/>
        </w:rPr>
        <w:t>، فلا تكون الرواية صحيحةً مطلقاً، وإنّما صحّتها إضافيّة بالنسبة إلى غيره، و ذلك غير كافٍ في الحكم بها حيث يعتبر الصحيح أو يعارض غيره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الأخبار من الجانبين ليست من الصحيح، و الأخبار الدالّة على اعتبار وقت العتق أكثر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فيتفرّع على الأقوال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عتق اثنين من الشركاء الثلاثة مترتّبين</w:t>
      </w:r>
      <w:r>
        <w:rPr>
          <w:rStyle w:val="FootnoteAnchor"/>
          <w:rtl w:val="true"/>
        </w:rPr>
        <w:footnoteReference w:id="1349"/>
      </w:r>
      <w:r>
        <w:rPr>
          <w:rFonts w:ascii="Amiri" w:hAnsi="Amiri" w:eastAsia="Amiri" w:cs="Amiri"/>
          <w:color w:val="111111"/>
          <w:sz w:val="28"/>
          <w:sz w:val="28"/>
          <w:szCs w:val="28"/>
          <w:rtl w:val="true"/>
          <w:lang w:bidi="ar-SA"/>
        </w:rPr>
        <w:t>، فإن قلنا ينعتق بالإعتاق قوّم على المعتق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بالأداء و لم يكن الأوّل أدّى قوّم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بالمراعاة احتمل تقويمه عليهما أيضاً؛ لأنّ عتق الثاني صادف ملكاً فوقع صحيحاً فاستويا في الحصّة الأخرى، و تقديم الأوّل؛ لأنّه بالأداء تبيّن انعتاق نصيب الشريك قبل أن يعتق فوقع عتقه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اعتبار القيمة، فإن قلنا يعتق بالإعتاق اعتبرت من حينه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قلنا بالمراعاة و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بالأداء، فوجهان، من أنّ التلف يحصل بالأداء فلايعتبر قبله، و من أنّ الحجر</w:t>
      </w:r>
    </w:p>
    <w:p>
      <w:pPr>
        <w:pStyle w:val="BookText"/>
        <w:rPr/>
      </w:pPr>
      <w:r>
        <w:rPr>
          <w:rFonts w:ascii="Amiri" w:hAnsi="Amiri" w:eastAsia="Amiri" w:cs="Amiri"/>
          <w:color w:val="111111"/>
          <w:sz w:val="28"/>
          <w:sz w:val="28"/>
          <w:szCs w:val="28"/>
          <w:rtl w:val="true"/>
          <w:lang w:bidi="ar-SA"/>
        </w:rPr>
        <w:t>على المالك يحصل يوم العتق، و هو الذي اختاره المصنّف فيما تقدّم، و علّله بالحيلولة</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المسألة وجه ثالث باعتبار أقصى القيم من يوم الإعتاق إلى يوم الأداء؛ لأنّ الإعتاق سبب يدوم أثره إلى التلف، فيكون بمثابة جراحة العبد ثمّ يموت بعد مدّة، فإنّه يعتبر أقصى قيمة من حين جرحه إلى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هذا الضمان بمنزلة ضمان الإتلاف</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أعسر المعتِق بعد الإعتاق و قبل أداء القيمة، فإن أثبتنا السراية بنفس الإعتاق فالقيمة في ذمّته، و إن قلنا بالآخرين لم يعتق نصيب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موته فلايؤثّر على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التعجيل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التوقّف فلأنّ القيمة تؤخذ من تركته كالدين، و الإعتاق صار مستحقّاً عليه في حال الحياة، و قديوجد سبب الضمان في الحياة و يتأخّر الوجوب عنها، كمن حفر بئراً في محلّ عدواناً فتردّى فيها بهيمة أو إنسان بعد موته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العبد قبل أداء القيمة، فإن قلنا يحصل بالإعتاق مات حرّاً موروثاً منه، و يؤخذ قيمة نصيب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بالتبيّن وقف إلى أداء القيمة، فإذا أدّيت بان أنّ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بتأخّر السراية إلى وقت الأداء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أظهرهما أنّها تسقط؛ لأنّ وجوب القيمة لتحصيل العتق و الميّت لايعتق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المنع؛ لأنّه مال استحقّ فى الحياة فلايسقط بالموت، و على هذا فتبيّن بالأداء أنّ</w:t>
      </w:r>
    </w:p>
    <w:p>
      <w:pPr>
        <w:pStyle w:val="BookText"/>
        <w:rPr/>
      </w:pPr>
      <w:r>
        <w:rPr>
          <w:rFonts w:ascii="Amiri" w:hAnsi="Amiri" w:eastAsia="Amiri" w:cs="Amiri"/>
          <w:color w:val="111111"/>
          <w:sz w:val="28"/>
          <w:sz w:val="28"/>
          <w:szCs w:val="28"/>
          <w:rtl w:val="true"/>
          <w:lang w:bidi="ar-SA"/>
        </w:rPr>
        <w:t>العتق حصل قبل موته، و بهذا يظهر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الشريك نصيبه قبل أخذ القيمة لم ينفذ إن أثبتنا السراية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BookText"/>
        <w:rPr/>
      </w:pPr>
      <w:r>
        <w:rPr>
          <w:rFonts w:ascii="Amiri" w:hAnsi="Amiri" w:eastAsia="Amiri" w:cs="Amiri"/>
          <w:color w:val="111111"/>
          <w:sz w:val="28"/>
          <w:sz w:val="28"/>
          <w:szCs w:val="28"/>
          <w:rtl w:val="true"/>
          <w:lang w:bidi="ar-SA"/>
        </w:rPr>
        <w:t>أخرّناها إلى أداء القيمة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لاينفذ أيضاً؛ لأنّ المعتق استحقّ أن يتملّكه بالقيمة ليعتق عليه و يكون ولاؤه له، و لايجوز صرف العتق عن المستحقّ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ينفذ؛ لمصادفته الملك، و لأنّ المقصود تكميل العتق و قد حصل و أغنى عن</w:t>
      </w:r>
    </w:p>
    <w:p>
      <w:pPr>
        <w:pStyle w:val="BookText"/>
        <w:rPr/>
      </w:pPr>
      <w:r>
        <w:rPr>
          <w:rFonts w:ascii="Amiri" w:hAnsi="Amiri" w:eastAsia="Amiri" w:cs="Amiri"/>
          <w:color w:val="111111"/>
          <w:sz w:val="28"/>
          <w:sz w:val="28"/>
          <w:szCs w:val="28"/>
          <w:rtl w:val="true"/>
          <w:lang w:bidi="ar-SA"/>
        </w:rPr>
        <w:t>التكليف بأداء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قلنا بنفوذ الإعتاق ففي نفوذ البيع و الهبة و نحوهما وجهان، من أنّه مالك، و من الحجر عليه في مثل هذه التصرّفات، و إنّما أجزنا العتق لموافقته لمطلوب الشارع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وطئ الشريك الجارية قبل أداء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بتعجيل السراية</w:t>
      </w:r>
      <w:r>
        <w:rPr>
          <w:rStyle w:val="FootnoteAnchor"/>
          <w:rtl w:val="true"/>
        </w:rPr>
        <w:footnoteReference w:id="1352"/>
      </w:r>
      <w:r>
        <w:rPr>
          <w:rFonts w:ascii="Amiri" w:hAnsi="Amiri" w:eastAsia="Amiri" w:cs="Amiri"/>
          <w:color w:val="111111"/>
          <w:sz w:val="28"/>
          <w:sz w:val="28"/>
          <w:szCs w:val="28"/>
          <w:rtl w:val="true"/>
          <w:lang w:bidi="ar-SA"/>
        </w:rPr>
        <w:t>يكون كوطء الحرّة، فيلزمه حكمه في حالتي الاختيار و الإجبار، وإن قلنا بتوقّفه على الأداء وجب نصف المهر بنصفها الحرّ مع الإكراه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القول بالمراعاة</w:t>
      </w:r>
      <w:r>
        <w:rPr>
          <w:rStyle w:val="FootnoteAnchor"/>
          <w:rtl w:val="true"/>
        </w:rPr>
        <w:footnoteReference w:id="1353"/>
      </w:r>
      <w:r>
        <w:rPr>
          <w:rFonts w:ascii="Amiri" w:hAnsi="Amiri" w:eastAsia="Amiri" w:cs="Amiri"/>
          <w:color w:val="111111"/>
          <w:sz w:val="28"/>
          <w:sz w:val="28"/>
          <w:szCs w:val="28"/>
          <w:rtl w:val="true"/>
          <w:lang w:bidi="ar-SA"/>
        </w:rPr>
        <w:t xml:space="preserve">يحتمل ذلك أيضاً، لكونها حال الوطء مملوكة له، و ثبوت جميعه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هرب المعتِق صُبّر عليه حتّى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أعسر أُنظر إلى الإيسار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اختلفا في القيمة فالقول قول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الشريك لأنّه ينتزع نصيبه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بعد الأداء لانكشاف كونها حرّة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حدّ من جهة الحصّة؛ لحصول الشبهة بالاختلاف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فروع الباب كثيرة تتنبّه ممّا ذكرناه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هرب المعتق صُبّر عليه حتّى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أعسر أُنظر إلى الإيسار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في ذلك متفرّع على الخلاف السابق، فإن قلنا بعتقه معجّلاً بالإعتاق كانت القيمة</w:t>
      </w:r>
    </w:p>
    <w:p>
      <w:pPr>
        <w:pStyle w:val="BookText"/>
        <w:rPr/>
      </w:pPr>
      <w:r>
        <w:rPr>
          <w:rFonts w:ascii="Amiri" w:hAnsi="Amiri" w:eastAsia="Amiri" w:cs="Amiri"/>
          <w:color w:val="111111"/>
          <w:sz w:val="28"/>
          <w:sz w:val="28"/>
          <w:szCs w:val="28"/>
          <w:rtl w:val="true"/>
          <w:lang w:bidi="ar-SA"/>
        </w:rPr>
        <w:t>ديناً عليه، فإن أدّاها برئ، وإن هرب أو أعسر انتظر وقت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بتوقّفه على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تفريعه أنّ الحكم كذلك، بمعنى أنّ حقّ المعتِق لايبطل بذلك بل يستمرّ إلى أن يمكن الأداء؛ لوجود السبب الموجب له و هو الإعتاق، وإن توقّف على شرط آخر أو على تمام السبب فلايكون كالحقّ الفوري يبطل بالتأخير، و حينئذٍ فيبقى بالنسبة إلى الشريك رقيقاً إلى أن يؤدّي إليه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يرتفع الحجر عنه بذلك؟</w:t>
      </w:r>
    </w:p>
    <w:p>
      <w:pPr>
        <w:pStyle w:val="BookText"/>
        <w:rPr/>
      </w:pPr>
      <w:r>
        <w:rPr>
          <w:rFonts w:ascii="Amiri" w:hAnsi="Amiri" w:eastAsia="Amiri" w:cs="Amiri"/>
          <w:color w:val="111111"/>
          <w:sz w:val="28"/>
          <w:sz w:val="28"/>
          <w:szCs w:val="28"/>
          <w:rtl w:val="true"/>
          <w:lang w:bidi="ar-SA"/>
        </w:rPr>
        <w:t>يحتمله؛ حذراً من تعطيل ملكه عليه بغير بدل، و من أنّ علّيّة العتق قد ثبتت فيلزم، و الفائدة في المنع من نقله عن الملك ببيع و نحوه لا في استخدامه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اختلفا في القيمة فالقول قول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اختلفا في قيمة الشقص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مائة، و قال الشريك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مائتان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المملوك حاضراً و العهد قريب،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قيمته وقت الأداء، فصل الأمر بمراجعة المقوّمين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 العبد أو غاب أو تقادم العهد و اعتبرنا قيمته يوم العتق ففي المصدَّق منهما باليمين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اختاره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المعتِق؛ لأنّه الغارم، كما إذا اختلف المالك و الغاصب في قيمة المغصوب بعد تلفه، فإنّ الغاصب مصدَّق، و لأصالة البراءة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الزائد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المعتِق فيه عيباً فالقول قول الشريك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اليسار المعتبر هو أن يكون مالكاً بقدر قيمة نصيب الشريك، فاضلاً عن قوت يومه وليلته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المصدَّق الشريك</w:t>
      </w:r>
      <w:r>
        <w:rPr>
          <w:rStyle w:val="FootnoteAnchor"/>
          <w:rtl w:val="true"/>
        </w:rPr>
        <w:footnoteReference w:id="1354"/>
      </w:r>
      <w:r>
        <w:rPr>
          <w:rFonts w:ascii="Amiri" w:hAnsi="Amiri" w:eastAsia="Amiri" w:cs="Amiri"/>
          <w:color w:val="111111"/>
          <w:sz w:val="28"/>
          <w:sz w:val="28"/>
          <w:szCs w:val="28"/>
          <w:rtl w:val="true"/>
          <w:lang w:bidi="ar-SA"/>
        </w:rPr>
        <w:t>لأنّ المعتق يتملّك عليه قهراً، فيصدّق المتملك عليه، و لاينتزع من يده إلّا بما يرضيه، كما إذا اختلف الشفيع و المشتري في الثمن المأخوذ به فإن المصدَّق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بني القولان على الخلاف السابق، فإن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السراية تتعجّل بالعتق فالمصدَّق المعتِق؛ لأنّه 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تتأخّر فالمصدَّق الشريك؛ لأنّ ملكه باقٍ، فلاينتزع إلّا بما يقوله، كما في المشتري مع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مع حكمه بتأخّر العتق إلى الأداء قدّم قول المعتِق خلاف البناء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أنّه المنكر حقيقةً، حيث إنّ الأصل عدم الزيادة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ادّعى المعتِق فيه عيباً فالقول قول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يقدّم قول الشريك مع أنّ العيب يوجب نقص القيمة و قد يقدّم قول الغارم فيها؛ لأنّ</w:t>
      </w:r>
    </w:p>
    <w:p>
      <w:pPr>
        <w:pStyle w:val="BookText"/>
        <w:rPr/>
      </w:pPr>
      <w:r>
        <w:rPr>
          <w:rFonts w:ascii="Amiri" w:hAnsi="Amiri" w:eastAsia="Amiri" w:cs="Amiri"/>
          <w:color w:val="111111"/>
          <w:sz w:val="28"/>
          <w:sz w:val="28"/>
          <w:szCs w:val="28"/>
          <w:rtl w:val="true"/>
          <w:lang w:bidi="ar-SA"/>
        </w:rPr>
        <w:t>الأصل عدم العيب و كون المملوك على الخلقة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دعواه العيب في أصل الخلقة بأن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أكمه أو أخرس، فقال الشريك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بصيراً ناطقاً، و بين دعواه حدوث العيب بعد السلامة، بأن زعم ذهاب بصره أو كونه آبقاً أو سارقاً، بل الحكم في الثاني أولى؛ لأصالة عدم حدوث العيب مع اتّفاقهما على عدمه في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اليسار المعتبر هو أن يكون مالكاً بقدر قيمة نصيب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المراد من الموسر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من الأغنياء عرفاً، بل المراد به من يملك من المال ما يفي بقيمة نصيب شريكه و إن لم يملك غيره؛ لظاهر الخبر الذي تقدّم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ورث شقصاً ممّن ينعتق عليه،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مال قوّم عليه الباقي</w:t>
      </w:r>
      <w:r>
        <w:rPr>
          <w:rFonts w:eastAsia="IRNazanin" w:cs="IRNazanin"/>
          <w:color w:val="111111"/>
          <w:sz w:val="28"/>
          <w:szCs w:val="28"/>
          <w:rtl w:val="true"/>
          <w:lang w:bidi="fa-IR"/>
        </w:rPr>
        <w:t>»</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فيصرف في هذه الجهة كلّ ما يباع و يصرف في الديون ممّا زاد عن قوت يومه له و لعياله الواجبي النفقة و دست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العبارة أنّه لايُستثنى له المسكن و الخادم، و الأقوى استثناؤهما كما يُستثنيان في الدين؛ لأنّ هذا من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العبارة أيضاً يشمل ما إذا كان عليه دين مثل ما يملكه وأكثر، فلايمنع الدين 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القولين في المسألة</w:t>
      </w:r>
      <w:r>
        <w:rPr>
          <w:rStyle w:val="FootnoteAnchor"/>
          <w:rtl w:val="true"/>
        </w:rPr>
        <w:footnoteReference w:id="1356"/>
      </w:r>
      <w:r>
        <w:rPr>
          <w:rFonts w:ascii="Amiri" w:hAnsi="Amiri" w:eastAsia="Amiri" w:cs="Amiri"/>
          <w:color w:val="111111"/>
          <w:sz w:val="28"/>
          <w:sz w:val="28"/>
          <w:szCs w:val="28"/>
          <w:rtl w:val="true"/>
          <w:lang w:bidi="ar-SA"/>
        </w:rPr>
        <w:t>لأنّه مالك لما في يده نافذ التصرّف فيه، حتّى لو اشترى به عبداً فأعتقه نفذ، فكذلك يجوز أن يقوّم عليه، و عموم الخبر السابق يشمله، و الشريك حينئذٍ أسوأ</w:t>
      </w:r>
      <w:r>
        <w:rPr>
          <w:rStyle w:val="FootnoteAnchor"/>
          <w:rtl w:val="true"/>
        </w:rPr>
        <w:footnoteReference w:id="1357"/>
      </w:r>
      <w:r>
        <w:rPr>
          <w:rFonts w:ascii="Amiri" w:hAnsi="Amiri" w:eastAsia="Amiri" w:cs="Amiri"/>
          <w:color w:val="111111"/>
          <w:sz w:val="28"/>
          <w:sz w:val="28"/>
          <w:szCs w:val="28"/>
          <w:rtl w:val="true"/>
          <w:lang w:bidi="ar-SA"/>
        </w:rPr>
        <w:t>الغرماء؛ و لأنّه لو طالبه صاحب الدين وجب عليه إيفاؤه وإن كان للباقين ما يستغرق ماله، فلو كان وجود الدين المستغرق يجعله معسراً لحرمت مطالبته على كلّ واحد منهم كما تحرم مطالبة المعسر و العتق أولى؛ لأنّه مبنيّ على التغليب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القول بكونه معسراً التحاقه بالفقراء؛ و لذلك تحلّ له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الملازمة، فإنّ استحقاق الزكاة لايستلزم الإعسار بل هو أعمّ و الملك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قوله أن يكون مالكاً بقدر قيمة نصيب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ملك البعض لانفكّ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القولين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أجودهما عتق الميسور منه وإن قلّ 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 بأمر فأتوا منه ما استطعتم</w:t>
      </w:r>
      <w:r>
        <w:rPr>
          <w:rFonts w:eastAsia="Amiri" w:cs="Amiri" w:ascii="Amiri" w:hAnsi="Amiri"/>
          <w:color w:val="111111"/>
          <w:sz w:val="28"/>
          <w:szCs w:val="28"/>
          <w:rtl w:val="true"/>
          <w:lang w:bidi="ar-SA"/>
        </w:rPr>
        <w:t>»</w:t>
      </w:r>
      <w:r>
        <w:rPr>
          <w:rStyle w:val="FootnoteAnchor"/>
          <w:rtl w:val="true"/>
        </w:rPr>
        <w:footnoteReference w:id="1358"/>
      </w:r>
      <w:r>
        <w:rPr>
          <w:rFonts w:ascii="IRNazanin" w:hAnsi="IRNazanin" w:eastAsia="IRNazanin"/>
          <w:color w:val="111111"/>
          <w:sz w:val="28"/>
          <w:sz w:val="28"/>
          <w:szCs w:val="28"/>
          <w:rtl w:val="true"/>
          <w:lang w:bidi="fa-IR"/>
        </w:rPr>
        <w:t>، و خصوص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مال قوّم عليه الباقي</w:t>
      </w:r>
      <w:r>
        <w:rPr>
          <w:rFonts w:eastAsia="IRNazanin" w:cs="IRNazanin"/>
          <w:color w:val="111111"/>
          <w:sz w:val="28"/>
          <w:szCs w:val="28"/>
          <w:rtl w:val="true"/>
          <w:lang w:bidi="fa-IR"/>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ورث شقصاً ممّن ينعتق عليه،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 xml:space="preserve">». </w:t>
      </w:r>
      <w:bookmarkStart w:id="411" w:name="pg10270_80409"/>
    </w:p>
    <w:p>
      <w:pPr>
        <w:pStyle w:val="Heading5"/>
        <w:numPr>
          <w:ilvl w:val="4"/>
          <w:numId w:val="1"/>
        </w:numPr>
        <w:rPr/>
      </w:pPr>
      <w:bookmarkStart w:id="412" w:name="__RefHeading___Toc3860270_1067777946"/>
      <w:bookmarkStart w:id="413" w:name="_Toc149"/>
      <w:bookmarkEnd w:id="411"/>
      <w:bookmarkEnd w:id="412"/>
      <w:r>
        <w:rPr>
          <w:rtl w:val="true"/>
        </w:rPr>
        <w:t>لو أوصى بعتق بعض عبده و ليس له غيره</w:t>
      </w:r>
      <w:bookmarkEnd w:id="4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بعتق بعض عبده أو بعتقه و ليس له غيره لم يقوّم على الورثة 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أعتقه عند موته أُعتق من الثلث، و لم يقوّم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 أنّ من شرط السراية وقوع العتق بالاختيار؛ لأنّ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أعتق</w:t>
      </w:r>
      <w:r>
        <w:rPr>
          <w:rFonts w:eastAsia="Amiri" w:cs="Amiri" w:ascii="Amiri" w:hAnsi="Amiri"/>
          <w:color w:val="111111"/>
          <w:sz w:val="28"/>
          <w:szCs w:val="28"/>
          <w:rtl w:val="true"/>
          <w:lang w:bidi="ar-SA"/>
        </w:rPr>
        <w:t>»</w:t>
      </w:r>
      <w:r>
        <w:rPr>
          <w:rStyle w:val="FootnoteAnchor"/>
          <w:rtl w:val="true"/>
        </w:rPr>
        <w:footnoteReference w:id="1360"/>
      </w:r>
      <w:r>
        <w:rPr>
          <w:rFonts w:ascii="Amiri" w:hAnsi="Amiri" w:eastAsia="Amiri" w:cs="Amiri"/>
          <w:color w:val="111111"/>
          <w:sz w:val="28"/>
          <w:sz w:val="28"/>
          <w:szCs w:val="28"/>
          <w:rtl w:val="true"/>
          <w:lang w:bidi="ar-SA"/>
        </w:rPr>
        <w:t>و نحوه يعطي مباشرة العتق، و هو المعنيّ بالاختيار، و لأنّ الأصل عدم وجوب التقويم إلّا ما أخرجه الدليل، و لم يدلّ إلّا على المباشرة، فلايرد أنّ دلالته على نفي السراية فيما عداه من باب مفهوم الخطاب، و لما تقدّم من أنّ التقويم سبيله سبيل غرامة المتلفات</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يوجد منه في غير الاختياري صيغ</w:t>
      </w:r>
      <w:r>
        <w:rPr>
          <w:rStyle w:val="FootnoteAnchor"/>
          <w:rtl w:val="true"/>
        </w:rPr>
        <w:footnoteReference w:id="1362"/>
      </w:r>
      <w:r>
        <w:rPr>
          <w:rFonts w:ascii="Amiri" w:hAnsi="Amiri" w:eastAsia="Amiri" w:cs="Amiri"/>
          <w:color w:val="111111"/>
          <w:sz w:val="28"/>
          <w:sz w:val="28"/>
          <w:szCs w:val="28"/>
          <w:rtl w:val="true"/>
          <w:lang w:bidi="ar-SA"/>
        </w:rPr>
        <w:t>و لا قصد إتلاف، بخلاف ما لو اشترى و نحو ذلك من الأسباب الصادرة بالاختيار؛ فإنّ فعل السبب كفعل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في الخلاف يسري وإن ملكه بغير اختياره كالإرث؛ محتجّاً بالإجماع و الأخبار</w:t>
      </w:r>
      <w:r>
        <w:rPr>
          <w:rStyle w:val="FootnoteAnchor"/>
          <w:rtl w:val="true"/>
        </w:rPr>
        <w:footnoteReference w:id="1363"/>
      </w:r>
      <w:r>
        <w:rPr>
          <w:rFonts w:ascii="Amiri" w:hAnsi="Amiri" w:eastAsia="Amiri" w:cs="Amiri"/>
          <w:color w:val="111111"/>
          <w:sz w:val="28"/>
          <w:sz w:val="28"/>
          <w:szCs w:val="28"/>
          <w:rtl w:val="true"/>
          <w:lang w:bidi="ar-SA"/>
        </w:rPr>
        <w:t>مع أنّه في المبسوط ذهب إلى القول الأوّل</w:t>
      </w:r>
      <w:r>
        <w:rPr>
          <w:rStyle w:val="FootnoteAnchor"/>
          <w:rtl w:val="true"/>
        </w:rPr>
        <w:footnoteReference w:id="1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المعتمد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أوصى بعتق بعض عبده أو بعتقه و ليس 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عدم عتقه على الوارث على تقدير إعتاقه له بعد موت المورّث؛ فلأنّه لم يعتقه عن نفسه، وإنّما أعتقه عن المورّث فلا وجه للسراية عليه، و لا على الميّت و إن كان وقت الوصيّة موسراً؛ لانتقال التركة إلى الوارث بالموت فصار عند الإعتاق معسراً، فلايقوّم على من لايملك شيئاً وقت نفوذ العتق، كما لو وکلّ في عتق الشقص و هو موسر فأعتقه الوكيل بعد أن أعسر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للشيخ قول بالسراية عليه إن وسعه الثلث</w:t>
      </w:r>
      <w:r>
        <w:rPr>
          <w:rStyle w:val="FootnoteAnchor"/>
          <w:rtl w:val="true"/>
        </w:rPr>
        <w:footnoteReference w:id="1365"/>
      </w:r>
      <w:r>
        <w:rPr>
          <w:rFonts w:ascii="Amiri" w:hAnsi="Amiri" w:eastAsia="Amiri" w:cs="Amiri"/>
          <w:color w:val="111111"/>
          <w:sz w:val="28"/>
          <w:sz w:val="28"/>
          <w:szCs w:val="28"/>
          <w:rtl w:val="true"/>
          <w:lang w:bidi="ar-SA"/>
        </w:rPr>
        <w:t>لرواية أحمد بن زياد</w:t>
      </w:r>
      <w:r>
        <w:rPr>
          <w:rStyle w:val="FootnoteAnchor"/>
          <w:rtl w:val="true"/>
        </w:rPr>
        <w:footnoteReference w:id="1366"/>
      </w:r>
      <w:r>
        <w:rPr>
          <w:rFonts w:ascii="IRNazanin" w:hAnsi="IRNazanin" w:eastAsia="IRNazanin"/>
          <w:color w:val="111111"/>
          <w:sz w:val="28"/>
          <w:sz w:val="28"/>
          <w:szCs w:val="28"/>
          <w:rtl w:val="true"/>
          <w:lang w:bidi="fa-IR"/>
        </w:rPr>
        <w:t>، عن أبي الحسن علیه السلام</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والاعتبار بقيمة الموصى به بعد الوفاة، و بالمنجّز عند الإعتاق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الاعتبار في قيمة التركة بأقلّ الأمرين من حين الوفاة إلى حين القبض؛ لأنّ التالف بعد الوفاة غير معتبر و الزيادة مملوكة للوارث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إليه في الدروس؛ محتجّاً بسبق السبب على الموت</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طريق الرواية ضعف</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إذا أعتقه المريض؛ فلانّه محجور عليه فيما زاد على الثلث، فكان في غير الثلث معسراً، فلايسري عليه وإن باشر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فيه شريك فأعتق المريض نصيبه نظر إن خرج جميع العبد من الثلث قوّم عليه نصيب الشريك و عتق؛ لأنّ تصرّف المريض في ثلث ماله كتصرّف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يخرج إلّا نصيبه عتق نصيبه و لا 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خرج نصيبه و بعض نصيب الشريك قوّم عليه ذلك القدر على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فالمريض بالنسبة إلى الثلث كالصحيح في الکلّ، و فيما زاد على الثلث معسر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الاعتبار بقيمة الموصى به بعد الوفاة 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المريض و الميّت محجورين عمّا زاد عن الثلث اعتبر يساره عند نفوذ عتق الشقص في ثبوت 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قد أوصى بعتق الشقص فالاعتبار بقيمته عند الوفاة؛ لأنّ ذلك هو وقت خروجه عن الوارث و انتقال التركة إليه، فيعتبر وصول مثليه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نجّز عتقه في المرض فالعبرة بقيمته عند الإعتاق؛ لأنّه وقت خروجه عن ملكه المعتبر في نفوذه بقاء مقدار ضعفه 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لايعتبر وجود الضعف حينئذٍ؛ لاحتمال أن يتلف قبل موت المريض، بل المعتبر قيمته عند قبضه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أن لم يكن له مال عند العتق ولكن تجدّد قبل موته مقدار ذلك نفذ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انعكس فتلف المال قبل الموت، أو بعده قبل قبض الوارث له لم يحتسب عليه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عند الموت بقدر ضعفه ثمّ تجدّد له زيادة نماء بحيث يقابل حصّة الشريك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ضعفها لم يسر؛ لأنّ الزيادة ملك الوارث؛ لانتقال التركة إليه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ظهر أنّ المعتبر في التركة أقلّ الأمرين من حين الوفاة إلى حين قبض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للعلامة قول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العتق المنجّز و المؤخّر سواء في اعتبار القيمة عند الموت إن نقصت قيمة المنجّز؛ لأنّه لو بقي عبداً لم يتحفّظ على الورثة سوى قيمته الناقصة، فلم يتلف عليهم أكثر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زادت القيمة كانت بمنزلة الكسب؛ للعلم بعتق شيء منه وقت الإعتاق، فإذا زادت قيمة المعتَق لم يحسب من التركة و لا عليه، و أمّا الرق فتحسب زيادته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خلّف ضعف قيمته الأُولى من غيره فصاعداً عتق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خلّف أقلّ أو لم يخلّف شيئاً حسب نصيب الرقّيّة من التركة، فتكثر التركة فيكثر العتق فيقلّ الرقّ فتنقص التركة، فيقلّ العتق، و ذلك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قيمته وقت العتق مائة فصارت عند الوفاة إلى مائتين و لم يخلّف سواه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منه شيء، و له من زيادة القيمة شيء، و للورثة شيئان بإزاء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تقدير أربعة أشياء، فيعتق منه نصفه الذي هو الآن يساوي مائة و قد كان يساوي خمسين، و للورثة نصفه الذي يساوي مائة و هو ضعف ما عتق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بلغت قيمته ثلاثمائة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منه شيء، و له من زيادة القيمة شيئان، و للورثة شيئان ضعف ما عتق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في تقدير خمسة أشياءٍ ثلاثة له و اثنان للورثة، فيعتق منه مائة و ثمانون، و للورثة مائة و عشرون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صارت قيمته مائتين، و خلّف السيّد مائة غيره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منه شيء، و له من نفسه باعتبار زيادة القيمة شيء آخر، و للمولى منه و من المائة شيئان ضعف ما انعتق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فالمجموع في تقدير أربعة أشياءٍ شيئان للعبد من نفسه، و شيئان للورثة منه و من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فالشيء خمسة و سبعون فينعتق منه ثلاثة أرباعه و تسلم المائة و الربع الآخر للورثة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w:t>
      </w:r>
      <w:r>
        <w:rPr>
          <w:rStyle w:val="FootnoteAnchor"/>
          <w:rtl w:val="true"/>
        </w:rPr>
        <w:footnoteReference w:id="13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أعتق الحامل تحرّر الحمل و إن استثنى رقّه، على رواية السكوني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إشكال منشؤه عدم القصد إلى عتقه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فرض نقصان قيمة المنجّز عند الوفاة عنها عند الإعتاق فعلى قول العلّامة لايتغيّر الحكم لو لم يكن غيره، و اعتبرت القيمة عند الوفاة، وإن كان له غيره اعتبر ضعف قيمته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ذكره المصنّف يلزم الدور؛ لأنّ التركة معتبرة بالوفاة، فلايحصل للوارث ضعف ما عتق؛ لأنّ المعتق منه ثلثه، فلو كانت قيمته عند الإعتاق مائة فرجعت إلى خمسين، فثلثه يساوي عند الإعتاق ثلاثة وثلاثين وثلثاً، فيجب أن يكون لهم ضعفها عند الوفاة، و هو متعذّر؛ لأنّ الباقي منه نصف ما عتق، فينقص العتق عن الثلث، و كلّ ما فرض عتق كان للوارث ضعفه، فيكثر نصيب الوارث بقلّة العتق، و يكثر العتق بكثرة النصيب، فيقلّ النصيب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منه شيء ثمّ عاد إلى نصف شيء، فبقي العبد في تقدير خمسين إلّا نصف شيء يعدل ضعف ما عتق، فيكون الخمسون إلّا نصف شيء تعدل شيئين، فإذا جبرت و قابلت صارت خمسين كاملةً تعدل شيئين و نصفاً، فالشيء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حكمنا برجوع الشيء إلى نصف شيء تبيّنّا أن المعتَق خُمسه؛ لأنّ نصف شيء هو خُمس شيئين و نصف، و كان قيمة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خُمس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يوم الإعتاق و عاد إلى عشرة، و بقي للورثة أربعة أخماسه، و قيمته يوم الموت أربعون، و هو ضعف قيمة الجزء المعتَق منه يوم الإعتاق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 الحامل تحرّر الحمل وإن استثنى رقّه، على رواية السكوني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إشكال منشؤه عدم القصد إلى عتقه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المشهور بين الأصحاب أنّ عتق الحامل لايسري إلى الحمل و بالعكس؛ لأنّ السراية في</w:t>
      </w:r>
    </w:p>
    <w:p>
      <w:pPr>
        <w:pStyle w:val="BookText"/>
        <w:rPr/>
      </w:pPr>
      <w:r>
        <w:rPr>
          <w:rFonts w:ascii="Amiri" w:hAnsi="Amiri" w:eastAsia="Amiri" w:cs="Amiri"/>
          <w:color w:val="111111"/>
          <w:sz w:val="28"/>
          <w:sz w:val="28"/>
          <w:szCs w:val="28"/>
          <w:rtl w:val="true"/>
          <w:lang w:bidi="ar-SA"/>
        </w:rPr>
        <w:t>الأشقاص لا في الأشخاص</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الشيخ في النهاية</w:t>
      </w:r>
      <w:r>
        <w:rPr>
          <w:rStyle w:val="FootnoteAnchor"/>
          <w:rtl w:val="true"/>
        </w:rPr>
        <w:footnoteReference w:id="1371"/>
      </w:r>
      <w:r>
        <w:rPr>
          <w:rFonts w:ascii="Amiri" w:hAnsi="Amiri" w:eastAsia="Amiri" w:cs="Amiri"/>
          <w:color w:val="111111"/>
          <w:sz w:val="28"/>
          <w:sz w:val="28"/>
          <w:szCs w:val="28"/>
          <w:rtl w:val="true"/>
          <w:lang w:bidi="ar-SA"/>
        </w:rPr>
        <w:t xml:space="preserve">، و جماعة </w:t>
      </w:r>
      <w:r>
        <w:rPr>
          <w:rStyle w:val="FootnoteAnchor"/>
          <w:rtl w:val="true"/>
        </w:rPr>
        <w:footnoteReference w:id="1372"/>
      </w:r>
      <w:r>
        <w:rPr>
          <w:rFonts w:ascii="Amiri" w:hAnsi="Amiri" w:eastAsia="Amiri" w:cs="Amiri"/>
          <w:color w:val="111111"/>
          <w:sz w:val="28"/>
          <w:sz w:val="28"/>
          <w:szCs w:val="28"/>
          <w:rtl w:val="true"/>
          <w:lang w:bidi="ar-SA"/>
        </w:rPr>
        <w:t xml:space="preserve">إلى تبعيّة الحمل لها في العتق وإن استثناه؛ استناداً </w:t>
      </w:r>
      <w:bookmarkStart w:id="414" w:name="pg10270_80413"/>
    </w:p>
    <w:p>
      <w:pPr>
        <w:pStyle w:val="BookText"/>
        <w:rPr/>
      </w:pPr>
      <w:bookmarkEnd w:id="414"/>
      <w:r>
        <w:rPr>
          <w:rFonts w:ascii="IRNazanin" w:hAnsi="IRNazanin" w:eastAsia="IRNazanin"/>
          <w:color w:val="111111"/>
          <w:sz w:val="28"/>
          <w:sz w:val="28"/>
          <w:szCs w:val="28"/>
          <w:rtl w:val="true"/>
          <w:lang w:bidi="fa-IR"/>
        </w:rPr>
        <w:t>تفریع</w:t>
      </w:r>
    </w:p>
    <w:p>
      <w:pPr>
        <w:pStyle w:val="Heading5"/>
        <w:numPr>
          <w:ilvl w:val="4"/>
          <w:numId w:val="1"/>
        </w:numPr>
        <w:rPr/>
      </w:pPr>
      <w:bookmarkStart w:id="415" w:name="__RefHeading___Toc3860272_1067777946"/>
      <w:bookmarkStart w:id="416" w:name="_Toc150"/>
      <w:bookmarkEnd w:id="415"/>
      <w:r>
        <w:rPr>
          <w:rtl w:val="true"/>
        </w:rPr>
        <w:t>إذا ادّعى كلّ واحدٍ من الشريكين على صاحبه عتق نصيبه</w:t>
      </w:r>
      <w:bookmarkEnd w:id="4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كلّ واحدٍ من الشريكين على صاحبه عتق نصيبه كان على كلّ واحدٍ منهما اليمين لصاحبه، ثمّ يستقرّ رقّ نصيبهما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رواية السكوني عن الصادق، عن الباقر علیهما السللام في رجل أعتق أمةً و هي حبلى فاستثنى ما في بطنها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حرّة و ما في بطنها حرّ؛ لأنّ ما في بطنها منها</w:t>
      </w:r>
      <w:r>
        <w:rPr>
          <w:rFonts w:eastAsia="IRNazanin" w:cs="IRNazanin"/>
          <w:color w:val="111111"/>
          <w:sz w:val="28"/>
          <w:szCs w:val="28"/>
          <w:rtl w:val="true"/>
          <w:lang w:bidi="fa-IR"/>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 الرواية</w:t>
      </w:r>
      <w:r>
        <w:rPr>
          <w:rStyle w:val="FootnoteAnchor"/>
          <w:rtl w:val="true"/>
        </w:rPr>
        <w:footnoteReference w:id="1374"/>
      </w:r>
      <w:r>
        <w:rPr>
          <w:rFonts w:ascii="Amiri" w:hAnsi="Amiri" w:eastAsia="Amiri" w:cs="Amiri"/>
          <w:color w:val="111111"/>
          <w:sz w:val="28"/>
          <w:sz w:val="28"/>
          <w:szCs w:val="28"/>
          <w:rtl w:val="true"/>
          <w:lang w:bidi="ar-SA"/>
        </w:rPr>
        <w:t>، و موافقتها لمذهب العامّة</w:t>
      </w:r>
      <w:r>
        <w:rPr>
          <w:rStyle w:val="FootnoteAnchor"/>
          <w:rtl w:val="true"/>
        </w:rPr>
        <w:footnoteReference w:id="1375"/>
      </w:r>
      <w:r>
        <w:rPr>
          <w:rFonts w:ascii="Amiri" w:hAnsi="Amiri" w:eastAsia="Amiri" w:cs="Amiri"/>
          <w:color w:val="111111"/>
          <w:sz w:val="28"/>
          <w:sz w:val="28"/>
          <w:szCs w:val="28"/>
          <w:rtl w:val="true"/>
          <w:lang w:bidi="ar-SA"/>
        </w:rPr>
        <w:t>يمنع من العمل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على المشهور؛ لانفصاله عنها، فلاينعتق إلّا مع القصد إلى عتقه كما لو كان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ادّعى كلّ واحدٍ من الشريكين على صاحبه عتق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ادّعى كلّ واحدٍ من الشريكين الموسرين على صاحبه أنّك أعتقت نصيبك، و طالبه بالقيمة و أنكر صاحبه، فكلّ واحدٍ منهما مصدّق بيمينه فيما 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حلفا فلا مطالبة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أوقفنا العتق على الأداء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قلنا بالتوقّف و التبيّن فالعبد رقيق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جزم به المصنّف تفريعاً على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بتعجيل السراية عُتق جميع العبد؛ لاعتراف كلّ منهما بسراية العتق إلى نصيبه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المدّعي أحدهما خاصّةً على الآخر، فأنكر و لابيّنة فالمصدَّق المنكر أيضاً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حلف رقّ نصيبه، وإن نكل حلف المدّعي اليمين المردودة و استحقّ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يحكم بعتق نصيب المدّعى عليه حينئذٍ؟ وجهان، من أنّ اليمين المردودة إمّا كالبيّنة على المدّعى عليه أو كإقراره و كلاهما يوجب العتق، و من أنّ الدعوى إنّما توجّهت عليه بسبب القيمة، وإلّا فلا معنى للدعوى على إنسان بأنّه أعتق عبده وإنّما ذلك من وظيفة العبد، و هذا أقوى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لو شهد هذا المدّعي مع آخر ثبت العتق بشهادة الحسبة، و أمّا نصيب المدّعي فيبني عتقه على أنّ السراية هل تعجّل أو تتوقّف على الأداء؟ فعلى الأوّل يعتق؛ لاعترافه بسراية إعتاق المدّعى عليه إلى نصيبه، سواء حلف المدّعى عليه أم 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بالتوقّف بقي إلى أن يأخذ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أعتق نصيبه لم يسر إلى نصيب المنكر و إن كان المدّعي موسراً؛ لأنّه لم ينشئ العتق، فأشبه ما إذا ادّعى أحد الشريكين على رجل أنّك اشتريت نصيبي و أعتقته، و أنكر المدّعى عليه، فإنّه يعتق نصيب المدّعي و لايسري؛ و لأنّ نصيبه عتق لا باختياره بل قضيّةً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 نصيبك، فكان كما لو ورث بعض من يعتق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المدّعى عليه معسراً، و أنكر و حلف لم يعتق شيء من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اشترى المدّعي</w:t>
      </w:r>
    </w:p>
    <w:p>
      <w:pPr>
        <w:pStyle w:val="BookText"/>
        <w:rPr/>
      </w:pPr>
      <w:r>
        <w:rPr>
          <w:rFonts w:ascii="IRNazanin" w:hAnsi="IRNazanin" w:eastAsia="IRNazanin"/>
          <w:color w:val="111111"/>
          <w:sz w:val="28"/>
          <w:sz w:val="28"/>
          <w:szCs w:val="28"/>
          <w:rtl w:val="true"/>
          <w:lang w:bidi="fa-IR"/>
        </w:rPr>
        <w:t>نصیب شریکه بعد ذلك عتق ما اشتراه؛ لإقراره بأنّه أعتقه، و لايسري إلى الباقي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المتداعيان في الصورة الأُولى معسرين لم يعتق أيضاً، إلّا أن يشتري أحدهما نصيب الآخر فيحكم بعتق ما اشتراه؛ لاعترافه بأنّ شريكه أعتقه، و لايسري؛ لأنّه لم ينشئ إعتاقاً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تقدير إعسارهما يخرج العبد من أيديهما و يستسعى في قيمته لهما؛ لاعتراف كلّ منهما بأنّ نصيبه محلّ لاستسعاء العبد في فكّه بسبب ادّعائه عتق الآخر و عدم السراية، بخلاف ما إذا كانا موسرين، فإنّه يدّعي استحقاق القيمة في ذمّة شريكه فلايأخذها من المملوك و يحتمله؛ تنزيلاً لتعذّر الأداء منزلة الإعسار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أحدهما موسراً و الآخر معسراً عتق نصيب المعسر خاصّةً إن قلنا بتعجيل السراية؛</w:t>
      </w:r>
    </w:p>
    <w:p>
      <w:pPr>
        <w:pStyle w:val="BookText"/>
        <w:rPr/>
      </w:pPr>
      <w:r>
        <w:rPr>
          <w:rFonts w:ascii="Amiri" w:hAnsi="Amiri" w:eastAsia="Amiri" w:cs="Amiri"/>
          <w:color w:val="111111"/>
          <w:sz w:val="28"/>
          <w:sz w:val="28"/>
          <w:szCs w:val="28"/>
          <w:rtl w:val="true"/>
          <w:lang w:bidi="ar-SA"/>
        </w:rPr>
        <w:t>لاتّفاقهما عليه، أما من الموسر فبدعوى المباشرة، و أما من المعسر فبدعوى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شرطنا الأداء أو جعلناه كاشفاً لم يعتق نصيب المعسر، أمّا نصيب الموسر فلايعتق</w:t>
      </w:r>
    </w:p>
    <w:p>
      <w:pPr>
        <w:pStyle w:val="BookText"/>
        <w:rPr/>
      </w:pPr>
      <w:r>
        <w:rPr>
          <w:rFonts w:ascii="Amiri" w:hAnsi="Amiri" w:eastAsia="Amiri" w:cs="Amiri"/>
          <w:color w:val="111111"/>
          <w:sz w:val="28"/>
          <w:sz w:val="28"/>
          <w:szCs w:val="28"/>
          <w:rtl w:val="true"/>
          <w:lang w:bidi="ar-SA"/>
        </w:rPr>
        <w:t>مطلقاً؛ لإنكاره المباشرة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دعواه عتق المعسر لايقتضي السراية لفقد 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لاتقبل شهادة المعسر عليه؛ لأنّه يجرّ إلى نفسه نفعاً، لكنّه يحلف و يبرأ من القيمة و العتق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دفع المعتِق قيمة نصيب شريكه، هل ينعتق عند الدفع أو بعده؟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الأشبه أنّه بعد الدفع؛ ليقع العتق عن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بالاقتران كان حسناً</w:t>
      </w:r>
    </w:p>
    <w:p>
      <w:pPr>
        <w:pStyle w:val="BookText"/>
        <w:rPr/>
      </w:pPr>
      <w:r>
        <w:rPr>
          <w:rFonts w:ascii="IRNazanin" w:hAnsi="IRNazanin" w:eastAsia="IRNazanin"/>
          <w:color w:val="111111"/>
          <w:sz w:val="28"/>
          <w:sz w:val="28"/>
          <w:szCs w:val="28"/>
          <w:rtl w:val="true"/>
          <w:lang w:bidi="fa-IR"/>
        </w:rPr>
        <w:t>و إذا شهد بعض الورثة بعتق مملوك لهم مضى العتق في نصيبه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شهد آخر و كانا مرضيّين نفذ العتق فيه کلّه، و إلّا مضى في نصيبهما، و لايکلّف أحدهما شراء الباقي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دفع المعتِق قيمة نصيب شريكه، هل ينعتق عند الدفع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أيضاً من فروع الخلاف في تعجيل السراية و توقّفها، فإن قلنا بتعجيلها ترتّبت على العتق بغير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إن قلنا بالمراعاة مع كون الأداء كاشفاً عن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ما اختاره المصنّف من اشتراطه بالأداء ففى وقت الحكم بالسراية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اختاره الشيخ في المبسوط</w:t>
      </w:r>
      <w:r>
        <w:rPr>
          <w:rStyle w:val="FootnoteAnchor"/>
          <w:rtl w:val="true"/>
        </w:rPr>
        <w:footnoteReference w:id="1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تقع بعد أداء القيمة ليقع العتق عن ملك؛ لعموم قوله 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في ملك</w:t>
      </w:r>
      <w:r>
        <w:rPr>
          <w:rFonts w:eastAsia="IRNazanin" w:cs="IRNazanin"/>
          <w:color w:val="111111"/>
          <w:sz w:val="28"/>
          <w:szCs w:val="28"/>
          <w:rtl w:val="true"/>
          <w:lang w:bidi="fa-IR"/>
        </w:rPr>
        <w:t>»</w:t>
      </w:r>
      <w:r>
        <w:rPr>
          <w:rStyle w:val="FootnoteAnchor"/>
          <w:rtl w:val="true"/>
        </w:rPr>
        <w:footnoteReference w:id="1377"/>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ملك</w:t>
      </w:r>
      <w:r>
        <w:rPr>
          <w:rFonts w:eastAsia="Amiri" w:cs="Amiri" w:ascii="Amiri" w:hAnsi="Amiri"/>
          <w:color w:val="111111"/>
          <w:sz w:val="28"/>
          <w:szCs w:val="28"/>
          <w:rtl w:val="true"/>
          <w:lang w:bidi="ar-SA"/>
        </w:rPr>
        <w:t>»</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الولاء يثبت له و هو يقتضي وقوعه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مال إليه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يقعان معاً و يكون الملك قبل تمام الدفع</w:t>
      </w:r>
    </w:p>
    <w:p>
      <w:pPr>
        <w:pStyle w:val="BookText"/>
        <w:rPr/>
      </w:pPr>
      <w:r>
        <w:rPr>
          <w:rFonts w:ascii="Amiri" w:hAnsi="Amiri" w:eastAsia="Amiri" w:cs="Amiri"/>
          <w:color w:val="111111"/>
          <w:sz w:val="28"/>
          <w:sz w:val="28"/>
          <w:szCs w:val="28"/>
          <w:rtl w:val="true"/>
          <w:lang w:bidi="ar-SA"/>
        </w:rPr>
        <w:t>ضمنيّاً كما في عتق المأمور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حسن</w:t>
      </w:r>
    </w:p>
    <w:p>
      <w:pPr>
        <w:pStyle w:val="BookText"/>
        <w:rPr/>
      </w:pPr>
      <w:r>
        <w:rPr>
          <w:rFonts w:ascii="Amiri" w:hAnsi="Amiri" w:eastAsia="Amiri" w:cs="Amiri"/>
          <w:color w:val="111111"/>
          <w:sz w:val="28"/>
          <w:sz w:val="28"/>
          <w:szCs w:val="28"/>
          <w:rtl w:val="true"/>
          <w:lang w:bidi="ar-SA"/>
        </w:rPr>
        <w:t>ويجيء على القول بتعجيل السراية توجّه الحكم بعتقهما معاً أيضاً من غير تأخّر السراية</w:t>
      </w:r>
    </w:p>
    <w:p>
      <w:pPr>
        <w:pStyle w:val="BookText"/>
        <w:rPr/>
      </w:pPr>
      <w:r>
        <w:rPr>
          <w:rFonts w:ascii="IRNazanin" w:hAnsi="IRNazanin" w:eastAsia="IRNazanin"/>
          <w:color w:val="111111"/>
          <w:sz w:val="28"/>
          <w:sz w:val="28"/>
          <w:szCs w:val="28"/>
          <w:rtl w:val="true"/>
          <w:lang w:bidi="fa-IR"/>
        </w:rPr>
        <w:t>عنه؛ لما ذكر لظاهر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 کلّه ليس لله شريك</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شهد بعض الورثة بعتق مملوك لهم مضى العتق في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أنّه شهد بعتق المورّث له، و لذلك لم يسر عليه؛ لأنّه لم يعترف بالمباشرة التي هي </w:t>
      </w:r>
      <w:bookmarkStart w:id="417" w:name="pg10270_80416"/>
    </w:p>
    <w:p>
      <w:pPr>
        <w:pStyle w:val="Heading4"/>
        <w:numPr>
          <w:ilvl w:val="3"/>
          <w:numId w:val="1"/>
        </w:numPr>
        <w:rPr/>
      </w:pPr>
      <w:bookmarkStart w:id="418" w:name="__RefHeading___Toc3860274_1067777946"/>
      <w:bookmarkStart w:id="419" w:name="_Toc151"/>
      <w:bookmarkEnd w:id="417"/>
      <w:bookmarkEnd w:id="418"/>
      <w:r>
        <w:rPr>
          <w:rtl w:val="true"/>
        </w:rPr>
        <w:t>العتق بالملك</w:t>
      </w:r>
      <w:bookmarkEnd w:id="419"/>
    </w:p>
    <w:p>
      <w:pPr>
        <w:pStyle w:val="Heading5"/>
        <w:numPr>
          <w:ilvl w:val="4"/>
          <w:numId w:val="1"/>
        </w:numPr>
        <w:rPr/>
      </w:pPr>
      <w:bookmarkStart w:id="420" w:name="__RefHeading___Toc3860276_1067777946"/>
      <w:bookmarkStart w:id="421" w:name="_Toc152"/>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و أمّا 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ملك الرجل أو المرأة أحد الأبوين و إن علوا، أو أحد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ذكراناً أو إناثاً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نزلوا انعتق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ملك الرجل إحدى المحرّمات عليه 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لاينعتق على المرأة سوى العمودين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السراية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قبل في نصيبه لأنّه يستلزم الإقرار به وإن كان بصورة الشهادة؛ لأنّ الإقرار لايختصّ بلفظٍ بل ما دلّ عليه و هو حاصل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 على هذا الوجه شاهدان من الورثة عدلان، ثبت العتق في حقّهما و حقّ باقي</w:t>
      </w:r>
    </w:p>
    <w:p>
      <w:pPr>
        <w:pStyle w:val="BookText"/>
        <w:rPr/>
      </w:pPr>
      <w:r>
        <w:rPr>
          <w:rFonts w:ascii="Amiri" w:hAnsi="Amiri" w:eastAsia="Amiri" w:cs="Amiri"/>
          <w:color w:val="111111"/>
          <w:sz w:val="28"/>
          <w:sz w:val="28"/>
          <w:szCs w:val="28"/>
          <w:rtl w:val="true"/>
          <w:lang w:bidi="ar-SA"/>
        </w:rPr>
        <w:t>الورثة؛ لوجود المقتضي لقبول الشهادة و انتفاء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يكونا مرضيّين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مقبولي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 الإقرار في نصيبهما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كانا أزيد من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للعبد أن يحلف مع الواحد منهما بناءً على أنّ العتق لايثبت بالشاهد و اليمين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المسائل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القواعد حكم بثبوته بحلف العبد مع الشاهد في هذه المسائل</w:t>
      </w:r>
      <w:r>
        <w:rPr>
          <w:rStyle w:val="FootnoteAnchor"/>
          <w:rtl w:val="true"/>
        </w:rPr>
        <w:footnoteReference w:id="1380"/>
      </w:r>
      <w:r>
        <w:rPr>
          <w:rFonts w:ascii="Amiri" w:hAnsi="Amiri" w:eastAsia="Amiri" w:cs="Amiri"/>
          <w:color w:val="111111"/>
          <w:sz w:val="28"/>
          <w:sz w:val="28"/>
          <w:szCs w:val="28"/>
          <w:rtl w:val="true"/>
          <w:lang w:bidi="ar-SA"/>
        </w:rPr>
        <w:t>، و وافق على عدم الصحّة في باب الشهادات</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ملك الرجل أو المرأة أحد الأبوين وإن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ملك أحد أُصوله أو أحد أولاده وإن 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وإناثاً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الرجل أنّه يعتق عليه محارمه من النساء</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الأصل فيه قول النبيّ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يجزئ ولد والده إلّا أن يجده مملوكاً فيشتريه فيعتقه</w:t>
      </w:r>
      <w:r>
        <w:rPr>
          <w:rFonts w:eastAsia="IRNazanin" w:cs="IRNazanin"/>
          <w:color w:val="111111"/>
          <w:sz w:val="28"/>
          <w:szCs w:val="28"/>
          <w:rtl w:val="true"/>
          <w:lang w:bidi="fa-IR"/>
        </w:rPr>
        <w:t>»</w:t>
      </w:r>
      <w:r>
        <w:rPr>
          <w:rStyle w:val="FootnoteAnchor"/>
          <w:rtl w:val="true"/>
        </w:rPr>
        <w:footnoteReference w:id="1382"/>
      </w:r>
      <w:r>
        <w:rPr>
          <w:rFonts w:ascii="Amiri" w:hAnsi="Amiri" w:eastAsia="Amiri" w:cs="Amiri"/>
          <w:color w:val="111111"/>
          <w:sz w:val="28"/>
          <w:sz w:val="28"/>
          <w:szCs w:val="28"/>
          <w:rtl w:val="true"/>
          <w:lang w:bidi="ar-SA"/>
        </w:rPr>
        <w:t>يعني بالشراء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ملك الرجل من جهة الرضاع من ينعتق عليه بالنسب، هل ينعتق عليه؟</w:t>
      </w:r>
    </w:p>
    <w:p>
      <w:pPr>
        <w:pStyle w:val="BookText"/>
        <w:rPr/>
      </w:pPr>
      <w:r>
        <w:rPr>
          <w:rFonts w:ascii="Amiri" w:hAnsi="Amiri" w:eastAsia="Amiri" w:cs="Amiri"/>
          <w:color w:val="111111"/>
          <w:sz w:val="28"/>
          <w:sz w:val="28"/>
          <w:szCs w:val="28"/>
          <w:rtl w:val="true"/>
          <w:lang w:bidi="ar-SA"/>
        </w:rPr>
        <w:t>قيل و فهم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يَنبَغِي لِلرَّحْمَنِ أَن يَتَّخِذَ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آتِي الرَّحْمَنِ عَبْدًا</w:t>
      </w:r>
      <w:r>
        <w:rPr>
          <w:rFonts w:eastAsia="Amiri" w:cs="Amiri" w:ascii="Amiri" w:hAnsi="Amiri"/>
          <w:color w:val="111111"/>
          <w:sz w:val="28"/>
          <w:szCs w:val="28"/>
          <w:rtl w:val="true"/>
          <w:lang w:bidi="ar-SA"/>
        </w:rPr>
        <w:t>»</w:t>
      </w:r>
      <w:r>
        <w:rPr>
          <w:rStyle w:val="FootnoteAnchor"/>
          <w:rtl w:val="true"/>
        </w:rPr>
        <w:footnoteReference w:id="1383"/>
      </w:r>
      <w:r>
        <w:rPr>
          <w:rFonts w:ascii="Amiri" w:hAnsi="Amiri" w:eastAsia="Amiri" w:cs="Amiri"/>
          <w:color w:val="111111"/>
          <w:sz w:val="28"/>
          <w:sz w:val="28"/>
          <w:szCs w:val="28"/>
          <w:rtl w:val="true"/>
          <w:lang w:bidi="ar-SA"/>
        </w:rPr>
        <w:t>، و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اتَّخَذَ الرَّحْمَنُ وَلَدًا سُبْحَانَهُ بَلْ عِبَادٌ مُكْرَمُونَ</w:t>
      </w:r>
      <w:r>
        <w:rPr>
          <w:rFonts w:eastAsia="Amiri" w:cs="Amiri" w:ascii="Amiri" w:hAnsi="Amiri"/>
          <w:color w:val="111111"/>
          <w:sz w:val="28"/>
          <w:szCs w:val="28"/>
          <w:rtl w:val="true"/>
          <w:lang w:bidi="ar-SA"/>
        </w:rPr>
        <w:t>»</w:t>
      </w:r>
      <w:r>
        <w:rPr>
          <w:rStyle w:val="FootnoteAnchor"/>
          <w:rtl w:val="true"/>
        </w:rPr>
        <w:footnoteReference w:id="1384"/>
      </w:r>
      <w:r>
        <w:rPr>
          <w:rFonts w:ascii="Amiri" w:hAnsi="Amiri" w:eastAsia="Amiri" w:cs="Amiri"/>
          <w:color w:val="111111"/>
          <w:sz w:val="28"/>
          <w:sz w:val="28"/>
          <w:szCs w:val="28"/>
          <w:rtl w:val="true"/>
          <w:lang w:bidi="ar-SA"/>
        </w:rPr>
        <w:t>أنّ الولادة و العبوديّة لايجتمعان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لايملك الرجل والديه و لا ولده و لا عمته و لا خالته، و يملك أخاه و غيره من ذوي قرابته من الرجال</w:t>
      </w:r>
      <w:r>
        <w:rPr>
          <w:rFonts w:eastAsia="IRNazanin" w:cs="IRNazanin"/>
          <w:color w:val="111111"/>
          <w:sz w:val="28"/>
          <w:szCs w:val="28"/>
          <w:rtl w:val="true"/>
          <w:lang w:bidi="fa-IR"/>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روي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المرأة ما تملك من قرابتها؟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أحدٍ إلّا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 و أُمّها و ابنها، و ابنتها و زوجها</w:t>
      </w:r>
      <w:r>
        <w:rPr>
          <w:rFonts w:eastAsia="IRNazanin" w:cs="IRNazanin"/>
          <w:color w:val="111111"/>
          <w:sz w:val="28"/>
          <w:szCs w:val="28"/>
          <w:rtl w:val="true"/>
          <w:lang w:bidi="fa-IR"/>
        </w:rPr>
        <w:t>»</w:t>
      </w:r>
      <w:r>
        <w:rPr>
          <w:rStyle w:val="FootnoteAnchor"/>
          <w:rtl w:val="true"/>
        </w:rPr>
        <w:footnoteReference w:id="1386"/>
      </w:r>
      <w:r>
        <w:rPr>
          <w:rFonts w:ascii="Amiri" w:hAnsi="Amiri" w:eastAsia="Amiri" w:cs="Amiri"/>
          <w:color w:val="111111"/>
          <w:sz w:val="28"/>
          <w:sz w:val="28"/>
          <w:szCs w:val="28"/>
          <w:rtl w:val="true"/>
          <w:lang w:bidi="ar-SA"/>
        </w:rPr>
        <w:t>، و غير ذلك من الأخبار</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بالملك المنفيّ عن المذكورين الملك المستقرّ، و إلا فأصل الملك متحقّق في</w:t>
      </w:r>
    </w:p>
    <w:p>
      <w:pPr>
        <w:pStyle w:val="BookText"/>
        <w:rPr/>
      </w:pPr>
      <w:r>
        <w:rPr>
          <w:rFonts w:ascii="Amiri" w:hAnsi="Amiri" w:eastAsia="Amiri" w:cs="Amiri"/>
          <w:color w:val="111111"/>
          <w:sz w:val="28"/>
          <w:sz w:val="28"/>
          <w:szCs w:val="28"/>
          <w:rtl w:val="true"/>
          <w:lang w:bidi="ar-SA"/>
        </w:rPr>
        <w:t>الجميع، و من ثَمّ ترتّب عليه العتق المشروط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أن يدخل القريب في ملكه قهراً كالإرث، و اختياراً بعقد معاوضة كالشراء، و بغيره كالهبة و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فرّق بين عتق القريب و السراية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تثبت السراية إلّا عند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العتق صلة و إكرام للقريب فلايستدعي الاختيار، و السراية توجب التغريم و المؤاخذة، و إنّما يليق ذلك بحالة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ملك الرجل من جهة الرضاع من ينعتق عليه 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الأصحاب تبعاً لاختلاف الروايات في أنّ من ملك من الرضاع من ينعتق عليه لو </w:t>
      </w:r>
    </w:p>
    <w:p>
      <w:pPr>
        <w:pStyle w:val="BookText"/>
        <w:rPr/>
      </w:pPr>
      <w:r>
        <w:rPr>
          <w:rFonts w:ascii="Amiri" w:hAnsi="Amiri" w:eastAsia="Amiri" w:cs="Amiri"/>
          <w:color w:val="111111"/>
          <w:sz w:val="28"/>
          <w:sz w:val="28"/>
          <w:szCs w:val="28"/>
          <w:rtl w:val="true"/>
          <w:lang w:bidi="ar-SA"/>
        </w:rPr>
        <w:t>فيه روايتان أشهرهما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بالنسب هل ينعتق أم لا؟ فذهب الشيخ</w:t>
      </w:r>
      <w:r>
        <w:rPr>
          <w:rStyle w:val="FootnoteAnchor"/>
          <w:rtl w:val="true"/>
        </w:rPr>
        <w:footnoteReference w:id="1388"/>
      </w:r>
      <w:r>
        <w:rPr>
          <w:rFonts w:ascii="IRNazanin" w:hAnsi="IRNazanin" w:eastAsia="IRNazanin"/>
          <w:color w:val="111111"/>
          <w:sz w:val="28"/>
          <w:sz w:val="28"/>
          <w:szCs w:val="28"/>
          <w:rtl w:val="true"/>
          <w:lang w:bidi="fa-IR"/>
        </w:rPr>
        <w:t>و أتباعه</w:t>
      </w:r>
      <w:r>
        <w:rPr>
          <w:rStyle w:val="FootnoteAnchor"/>
          <w:rtl w:val="true"/>
        </w:rPr>
        <w:footnoteReference w:id="1389"/>
      </w:r>
      <w:r>
        <w:rPr>
          <w:rFonts w:ascii="IRNazanin" w:hAnsi="IRNazanin" w:eastAsia="IRNazanin"/>
          <w:color w:val="111111"/>
          <w:sz w:val="28"/>
          <w:sz w:val="28"/>
          <w:szCs w:val="28"/>
          <w:rtl w:val="true"/>
          <w:lang w:bidi="fa-IR"/>
        </w:rPr>
        <w:t xml:space="preserve">و أكثر المتأخّرين غير ابن إدريس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الانعتاق لصحيحة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ترضع غلاماً لها من مملوكة حتى فطمته، هل يحلّ لها بيعه؟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حرم عليها ثمنه، أليس قد قال رسول الله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يحرم من الرضاع ما يحرم من النسب؟ أليس قد صار ابنها؟</w:t>
      </w:r>
      <w:r>
        <w:rPr>
          <w:rFonts w:eastAsia="IRNazanin" w:cs="IRNazanin"/>
          <w:color w:val="111111"/>
          <w:sz w:val="28"/>
          <w:szCs w:val="28"/>
          <w:rtl w:val="true"/>
          <w:lang w:bidi="fa-IR"/>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صحيحة الحلبي عنه علیه السلام في امرأة أرضعت ابن جاريتها،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تعتقه</w:t>
      </w:r>
      <w:r>
        <w:rPr>
          <w:rFonts w:eastAsia="IRNazanin" w:cs="IRNazanin"/>
          <w:color w:val="111111"/>
          <w:sz w:val="28"/>
          <w:szCs w:val="28"/>
          <w:rtl w:val="true"/>
          <w:lang w:bidi="fa-IR"/>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رواية أبي بصير عنه علی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لايملك أُمّه من الرضاعة و لا أُخته و لا عمّته و لا خالته الرضاعة، إذا ملكهم عتقوا،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الذكور ما عدا الولد و الوالدين، و لايُملك من النساء ذات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كذلك يجري في الرضاع؟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1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 الكثيرة</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المفيد</w:t>
      </w:r>
      <w:r>
        <w:rPr>
          <w:rStyle w:val="FootnoteAnchor"/>
          <w:rtl w:val="true"/>
        </w:rPr>
        <w:footnoteReference w:id="1395"/>
      </w:r>
      <w:r>
        <w:rPr>
          <w:rFonts w:ascii="Amiri" w:hAnsi="Amiri" w:eastAsia="Amiri" w:cs="Amiri"/>
          <w:color w:val="111111"/>
          <w:sz w:val="28"/>
          <w:sz w:val="28"/>
          <w:szCs w:val="28"/>
          <w:rtl w:val="true"/>
          <w:lang w:bidi="ar-SA"/>
        </w:rPr>
        <w:t>و ابن أبي عقيل</w:t>
      </w:r>
      <w:r>
        <w:rPr>
          <w:rStyle w:val="FootnoteAnchor"/>
          <w:rtl w:val="true"/>
        </w:rPr>
        <w:footnoteReference w:id="1396"/>
      </w:r>
      <w:r>
        <w:rPr>
          <w:rFonts w:ascii="Amiri" w:hAnsi="Amiri" w:eastAsia="Amiri" w:cs="Amiri"/>
          <w:color w:val="111111"/>
          <w:sz w:val="28"/>
          <w:sz w:val="28"/>
          <w:szCs w:val="28"/>
          <w:rtl w:val="true"/>
          <w:lang w:bidi="ar-SA"/>
        </w:rPr>
        <w:t>و سلّار</w:t>
      </w:r>
      <w:r>
        <w:rPr>
          <w:rStyle w:val="FootnoteAnchor"/>
          <w:rtl w:val="true"/>
        </w:rPr>
        <w:footnoteReference w:id="1397"/>
      </w:r>
      <w:r>
        <w:rPr>
          <w:rFonts w:ascii="Amiri" w:hAnsi="Amiri" w:eastAsia="Amiri" w:cs="Amiri"/>
          <w:color w:val="111111"/>
          <w:sz w:val="28"/>
          <w:sz w:val="28"/>
          <w:szCs w:val="28"/>
          <w:rtl w:val="true"/>
          <w:lang w:bidi="ar-SA"/>
        </w:rPr>
        <w:t>و ابن إدريس</w:t>
      </w:r>
      <w:r>
        <w:rPr>
          <w:rStyle w:val="FootnoteAnchor"/>
          <w:rtl w:val="true"/>
        </w:rPr>
        <w:footnoteReference w:id="1398"/>
      </w:r>
      <w:r>
        <w:rPr>
          <w:rFonts w:ascii="Amiri" w:hAnsi="Amiri" w:eastAsia="Amiri" w:cs="Amiri"/>
          <w:color w:val="111111"/>
          <w:sz w:val="28"/>
          <w:sz w:val="28"/>
          <w:szCs w:val="28"/>
          <w:rtl w:val="true"/>
          <w:lang w:bidi="ar-SA"/>
        </w:rPr>
        <w:t xml:space="preserve">إلى عدم الانعتاق؛ لرواية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أبي جميلة عن أبي عتيبة قال قلت لأبي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بيني و بينه رضاع يحلّ لي بيعه؟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مملوك إن شئت بعه و إن شئت أمسكته، ولكن إذا ملك الرجل أبويه فهما حرّان</w:t>
      </w:r>
      <w:r>
        <w:rPr>
          <w:rFonts w:eastAsia="IRNazanin" w:cs="IRNazanin"/>
          <w:color w:val="111111"/>
          <w:sz w:val="28"/>
          <w:szCs w:val="28"/>
          <w:rtl w:val="true"/>
          <w:lang w:bidi="fa-IR"/>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رواية إسحاق بن عمّار عن الكاظم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كانت له خادم فولدت جاريةً، فأرضعت خادمه ابناً له، و أرضعت أُمّ ولده ابنة خادمه، فصار الرجل أبا بنت الخادم</w:t>
      </w:r>
    </w:p>
    <w:p>
      <w:pPr>
        <w:pStyle w:val="BookText"/>
        <w:rPr/>
      </w:pPr>
      <w:r>
        <w:rPr>
          <w:rFonts w:ascii="Amiri" w:hAnsi="Amiri" w:eastAsia="Amiri" w:cs="Amiri"/>
          <w:color w:val="111111"/>
          <w:sz w:val="28"/>
          <w:sz w:val="28"/>
          <w:szCs w:val="28"/>
          <w:rtl w:val="true"/>
          <w:lang w:bidi="ar-SA"/>
        </w:rPr>
        <w:t>من الرضاع، يبيعها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شاء باعها فانتفع بثمنها</w:t>
      </w:r>
      <w:r>
        <w:rPr>
          <w:rFonts w:eastAsia="Amiri" w:cs="Amiri" w:ascii="Amiri" w:hAnsi="Amiri"/>
          <w:color w:val="111111"/>
          <w:sz w:val="28"/>
          <w:szCs w:val="28"/>
          <w:rtl w:val="true"/>
          <w:lang w:bidi="ar-SA"/>
        </w:rPr>
        <w:t>»</w:t>
      </w:r>
      <w:r>
        <w:rPr>
          <w:rStyle w:val="FootnoteAnchor"/>
          <w:rtl w:val="true"/>
        </w:rPr>
        <w:footnoteReference w:id="140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رواية عبد الله بن سنان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اشترى الرجل أباه أو أخاه فملكه فهو حرّ إلّا ما كان من قبل الرضاع</w:t>
      </w:r>
      <w:r>
        <w:rPr>
          <w:rFonts w:eastAsia="IRNazanin" w:cs="IRNazanin"/>
          <w:color w:val="111111"/>
          <w:sz w:val="28"/>
          <w:szCs w:val="28"/>
          <w:rtl w:val="true"/>
          <w:lang w:bidi="fa-IR"/>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ورواية الحلبي عنه علیه السلام في بيع الأُمّ من الرضاعة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بذلك إذا احتاج</w:t>
      </w:r>
      <w:r>
        <w:rPr>
          <w:rFonts w:eastAsia="IRNazanin" w:cs="IRNazanin"/>
          <w:color w:val="111111"/>
          <w:sz w:val="28"/>
          <w:szCs w:val="28"/>
          <w:rtl w:val="true"/>
          <w:lang w:bidi="fa-IR"/>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أنّ الأخبار جميعها مشتركة في ضعف السند</w:t>
      </w:r>
      <w:r>
        <w:rPr>
          <w:rStyle w:val="FootnoteAnchor"/>
          <w:rtl w:val="true"/>
        </w:rPr>
        <w:footnoteReference w:id="1403"/>
      </w:r>
      <w:r>
        <w:rPr>
          <w:rFonts w:ascii="Amiri" w:hAnsi="Amiri" w:eastAsia="Amiri" w:cs="Amiri"/>
          <w:color w:val="111111"/>
          <w:sz w:val="28"/>
          <w:sz w:val="28"/>
          <w:szCs w:val="28"/>
          <w:rtl w:val="true"/>
          <w:lang w:bidi="ar-SA"/>
        </w:rPr>
        <w:t>، فلا تعارض الصحيح، و مع ذلك فالأُولى لا تدلّ على المطلوب؛ لأنّها ظاهرة في أنّ المراد من الغلام الأخ و ليس محلّ النزاع</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الشيخ حمل قوله في الرواية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المرضعة الخادم دون ابنتها، بقرينة قوله في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فيبيع الخادم و قد أرضعت ابناً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متعجّباً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ما أحبّ له أن يبيعها</w:t>
      </w:r>
      <w:r>
        <w:rPr>
          <w:rFonts w:eastAsia="IRNazanin" w:cs="IRNazanin"/>
          <w:color w:val="111111"/>
          <w:sz w:val="28"/>
          <w:szCs w:val="28"/>
          <w:rtl w:val="true"/>
          <w:lang w:bidi="fa-IR"/>
        </w:rPr>
        <w:t>»</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الثالثة على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بمعنى الواو العاطفة، و ذلك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العتق حين يتحقّق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معروف في اللغة</w:t>
      </w:r>
      <w:r>
        <w:rPr>
          <w:rStyle w:val="FootnoteAnchor"/>
          <w:rtl w:val="true"/>
        </w:rPr>
        <w:footnoteReference w:id="1405"/>
      </w:r>
      <w:r>
        <w:rPr>
          <w:rFonts w:ascii="Amiri" w:hAnsi="Amiri" w:eastAsia="Amiri" w:cs="Amiri"/>
          <w:color w:val="111111"/>
          <w:sz w:val="28"/>
          <w:sz w:val="28"/>
          <w:szCs w:val="28"/>
          <w:rtl w:val="true"/>
          <w:lang w:bidi="ar-SA"/>
        </w:rPr>
        <w:t>، وقد قيل منه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خَلِدِينَ فِيهَا مَادَامَتِ السَّمَوَاتُ وَالْأَرْضُ إِلَّا مَا شَاءَ رَبُّكَ</w:t>
      </w:r>
      <w:r>
        <w:rPr>
          <w:rFonts w:eastAsia="Amiri" w:cs="Amiri" w:ascii="Amiri" w:hAnsi="Amiri"/>
          <w:color w:val="111111"/>
          <w:sz w:val="28"/>
          <w:szCs w:val="28"/>
          <w:rtl w:val="true"/>
          <w:lang w:bidi="ar-SA"/>
        </w:rPr>
        <w:t>»</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 الرجل أباه فهو حرّ و ما كان من جهة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الرابعة على أن يكون إنّما أجاز بيع الأُمّ من الرضاع لأبي الغلام</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لايخفى ما في هذه المحامل من التكلّف و الأصحّ الأوّل؛ لصحّة رواياته و 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يثبت العتق حين يتحقّق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تحقّق العتق بعد الملك أو معه كالكلام في عتق السراية و عتق المأمور بعتقه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ينعتق بعده ليقع في ملك</w:t>
      </w:r>
      <w:r>
        <w:rPr>
          <w:rStyle w:val="FootnoteAnchor"/>
          <w:rtl w:val="true"/>
        </w:rPr>
        <w:footnoteReference w:id="1408"/>
      </w:r>
      <w:r>
        <w:rPr>
          <w:rFonts w:ascii="Amiri" w:hAnsi="Amiri" w:eastAsia="Amiri" w:cs="Amiri"/>
          <w:color w:val="111111"/>
          <w:sz w:val="28"/>
          <w:sz w:val="28"/>
          <w:szCs w:val="28"/>
          <w:rtl w:val="true"/>
          <w:lang w:bidi="ar-SA"/>
        </w:rPr>
        <w:t>، و ليتحقّق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أحد هؤلاء عُتق عليه، و لأنّ العقد لو اقتضى زوال الملك عن البائع من غير أن يثبت للمشتري؛ لما قوّم عليه لو اشترى بعضه، و لما تبعه أحكام البيع من وجوب الأرش و غيره، و هذا هو الظاهر من مذهب المصنّف، و صريح العلّامة</w:t>
      </w:r>
      <w:r>
        <w:rPr>
          <w:rStyle w:val="FootnoteAnchor"/>
          <w:rtl w:val="true"/>
        </w:rPr>
        <w:footnoteReference w:id="1409"/>
      </w:r>
      <w:r>
        <w:rPr>
          <w:rFonts w:ascii="Amiri" w:hAnsi="Amiri" w:eastAsia="Amiri" w:cs="Amiri"/>
          <w:color w:val="111111"/>
          <w:sz w:val="28"/>
          <w:sz w:val="28"/>
          <w:szCs w:val="28"/>
          <w:rtl w:val="true"/>
          <w:lang w:bidi="ar-SA"/>
        </w:rPr>
        <w:t>و جماعة</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ينعتق مع تمام البيع لا يتأخّر عنه أصلاً</w:t>
      </w: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ابن إدريس؛ محتجّاً بأنّ الإنسان لايملك من ذكر</w:t>
      </w:r>
      <w:r>
        <w:rPr>
          <w:rStyle w:val="FootnoteAnchor"/>
          <w:rtl w:val="true"/>
        </w:rPr>
        <w:footnoteReference w:id="1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الروايات ما يدلّ عليه</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بالملك المنفىّ الملك المستقرّ لا مطلق الملك، جمعاً بين الأدلّة</w:t>
      </w:r>
      <w:r>
        <w:rPr>
          <w:rFonts w:eastAsia="Amiri" w:cs="Amiri" w:ascii="Amiri" w:hAnsi="Amiri"/>
          <w:color w:val="111111"/>
          <w:sz w:val="28"/>
          <w:szCs w:val="28"/>
          <w:rtl w:val="true"/>
          <w:lang w:bidi="ar-SA"/>
        </w:rPr>
        <w:t xml:space="preserve">. </w:t>
      </w:r>
      <w:bookmarkStart w:id="422" w:name="pg10270_80421"/>
    </w:p>
    <w:p>
      <w:pPr>
        <w:pStyle w:val="Heading5"/>
        <w:numPr>
          <w:ilvl w:val="4"/>
          <w:numId w:val="1"/>
        </w:numPr>
        <w:rPr/>
      </w:pPr>
      <w:bookmarkStart w:id="423" w:name="__RefHeading___Toc3860278_1067777946"/>
      <w:bookmarkStart w:id="424" w:name="_Toc153"/>
      <w:bookmarkEnd w:id="422"/>
      <w:bookmarkEnd w:id="423"/>
      <w:r>
        <w:rPr>
          <w:rtl w:val="true"/>
        </w:rPr>
        <w:t>متی یتحقّق الانعتاق بالملك؟</w:t>
      </w:r>
      <w:bookmarkEnd w:id="4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ينعتق کلّه بالملك ينعتق بعضه بملك ذلك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ملك شقصاً ممّن ينعتق عليه لم يقوّم عليه إن كان معسراً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لو ملكه بغير اختياره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ملکه اختياراً و كان موسرا قال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ينعتق کلّه بالملك ينعتق بعضه بملك ذلك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في انعتاق القريب بملكه بين ملك جميعه و بعضه؛ لاشتراكهما في المعنى المقتضي للعتق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ملك البعض بغير اختياره كالإرث فقد تقدّم الخلاف في السراية على الباقي</w:t>
      </w:r>
      <w:r>
        <w:rPr>
          <w:rStyle w:val="FootnoteAnchor"/>
          <w:rtl w:val="true"/>
        </w:rPr>
        <w:footnoteReference w:id="1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ملکه باختیاره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اشتراه أو اتّهبه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يسري عليه؟ فيه قولان</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ذهب إليه الشيخ في المبسوط</w:t>
      </w:r>
      <w:r>
        <w:rPr>
          <w:rStyle w:val="FootnoteAnchor"/>
          <w:rtl w:val="true"/>
        </w:rPr>
        <w:footnoteReference w:id="1416"/>
      </w:r>
      <w:r>
        <w:rPr>
          <w:rFonts w:ascii="Amiri" w:hAnsi="Amiri" w:eastAsia="Amiri" w:cs="Amiri"/>
          <w:color w:val="111111"/>
          <w:sz w:val="28"/>
          <w:sz w:val="28"/>
          <w:szCs w:val="28"/>
          <w:rtl w:val="true"/>
          <w:lang w:bidi="ar-SA"/>
        </w:rPr>
        <w:t>، و جماعة</w:t>
      </w:r>
      <w:r>
        <w:rPr>
          <w:rStyle w:val="FootnoteAnchor"/>
          <w:rtl w:val="true"/>
        </w:rPr>
        <w:footnoteReference w:id="1417"/>
      </w:r>
      <w:r>
        <w:rPr>
          <w:rFonts w:ascii="Amiri" w:hAnsi="Amiri" w:eastAsia="Amiri" w:cs="Amiri"/>
          <w:color w:val="111111"/>
          <w:sz w:val="28"/>
          <w:sz w:val="28"/>
          <w:szCs w:val="28"/>
          <w:rtl w:val="true"/>
          <w:lang w:bidi="ar-SA"/>
        </w:rPr>
        <w:t>لأنّ ملكه مع العلم بأنّه ينعتق عليه بمنزلة مباشرته للعتق؛ لتساويهما في السببيّة، فيتناوله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أعتق شقصاً</w:t>
      </w:r>
      <w:r>
        <w:rPr>
          <w:rFonts w:eastAsia="Amiri" w:cs="Amiri" w:ascii="Amiri" w:hAnsi="Amiri"/>
          <w:color w:val="111111"/>
          <w:sz w:val="28"/>
          <w:szCs w:val="28"/>
          <w:rtl w:val="true"/>
          <w:lang w:bidi="ar-SA"/>
        </w:rPr>
        <w:t>»</w:t>
      </w:r>
      <w:r>
        <w:rPr>
          <w:rStyle w:val="FootnoteAnchor"/>
          <w:rtl w:val="true"/>
        </w:rPr>
        <w:footnoteReference w:id="1418"/>
      </w:r>
      <w:r>
        <w:rPr>
          <w:rFonts w:ascii="Amiri" w:hAnsi="Amiri" w:eastAsia="Amiri" w:cs="Amiri"/>
          <w:color w:val="111111"/>
          <w:sz w:val="28"/>
          <w:sz w:val="28"/>
          <w:szCs w:val="28"/>
          <w:rtl w:val="true"/>
          <w:lang w:bidi="ar-SA"/>
        </w:rPr>
        <w:t>لأنّ فاعل السبب اختياراً كفاعل المسبّب</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المصنّف تردّد في ذلك، من حيث إنّه إنّما اختار الملك لا العتق، فلايصدق عليه أنّه أعتق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نمنع أنّ اختيار السبب يوجب اختيار المسبّب مطلقاً أو فعله؛ يقتضي فعله؛ لأنّ المسبّب يترتّب على السبب على وجه الإيجاب لا الاختيار</w:t>
      </w:r>
      <w:r>
        <w:rPr>
          <w:rFonts w:eastAsia="Amiri" w:cs="Amiri" w:ascii="Amiri" w:hAnsi="Amiri"/>
          <w:color w:val="111111"/>
          <w:sz w:val="28"/>
          <w:szCs w:val="28"/>
          <w:rtl w:val="true"/>
          <w:lang w:bidi="ar-SA"/>
        </w:rPr>
        <w:t xml:space="preserve">. </w:t>
      </w:r>
      <w:bookmarkStart w:id="425" w:name="pg10270_80422"/>
    </w:p>
    <w:p>
      <w:pPr>
        <w:pStyle w:val="BookText"/>
        <w:rPr/>
      </w:pPr>
      <w:bookmarkEnd w:id="425"/>
      <w:r>
        <w:rPr>
          <w:rFonts w:ascii="IRNazanin" w:hAnsi="IRNazanin" w:eastAsia="IRNazanin"/>
          <w:color w:val="111111"/>
          <w:sz w:val="28"/>
          <w:sz w:val="28"/>
          <w:szCs w:val="28"/>
          <w:rtl w:val="true"/>
          <w:lang w:bidi="fa-IR"/>
        </w:rPr>
        <w:t>فرعان</w:t>
      </w:r>
    </w:p>
    <w:p>
      <w:pPr>
        <w:pStyle w:val="Heading5"/>
        <w:numPr>
          <w:ilvl w:val="4"/>
          <w:numId w:val="1"/>
        </w:numPr>
        <w:rPr/>
      </w:pPr>
      <w:bookmarkStart w:id="426" w:name="__RefHeading___Toc3860280_1067777946"/>
      <w:bookmarkStart w:id="427" w:name="_Toc154"/>
      <w:bookmarkEnd w:id="426"/>
      <w:r>
        <w:rPr>
          <w:rtl w:val="true"/>
        </w:rPr>
        <w:t>إذا أوصى لصبيّ أو مجنون بمن ينعتق</w:t>
      </w:r>
      <w:bookmarkEnd w:id="42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لصبيّ أو مجنون بمن ينعتق عليه فللوليّ أن يقبل إن لم يتوجّه به ضرر على المولّى عليه، فإن كان فيه ضرر لم يجزئ القبول؛ لأنّه لا غبطة، كالوصيّة بالمريض الفقير؛ تفصّياً من وجوب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بالفرق بين العالم بالحكم و النسب فيسري عليه، و الجاهل بهما أو بأحدهما</w:t>
      </w:r>
    </w:p>
    <w:p>
      <w:pPr>
        <w:pStyle w:val="BookText"/>
        <w:rPr/>
      </w:pPr>
      <w:r>
        <w:rPr>
          <w:rFonts w:ascii="Amiri" w:hAnsi="Amiri" w:eastAsia="Amiri" w:cs="Amiri"/>
          <w:color w:val="111111"/>
          <w:sz w:val="28"/>
          <w:sz w:val="28"/>
          <w:szCs w:val="28"/>
          <w:rtl w:val="true"/>
          <w:lang w:bidi="ar-SA"/>
        </w:rPr>
        <w:t>فلا يسري، كان حسناً؛ إذ لايتّجه اختيار المسبّب لمختار السبب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أوصى لصبيّ أو مجنون بمن ينعتق عليه فللوليّ أن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للوليّ أن يشتري قريب الطفل الذي يعتق عليه له، فإن فعل فالشراء باطل؛ لأنّه إتلاف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وهب الصبيّ أو المجنون قريبه أو أُوصي له به نظر إن كان الصبيّ معسراً جاز له قبوله، فإذا قبله عتق عليه؛ لأنّه لا ضرر فيه على الصبيّ بل هو جمال، و ربما كان له فيه منفعة، و قد يوسر فينفق على الصبيّ، و لا نظر إلى أنّ الصبيّ قد يوسر فتجب النفقة عليه، و إنّما يعتبر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على الوليّ القبول ؟ وجهان، من ظهور المصلحة للمولّى عليه بتخليص قريبه من الرقّ، مع انتفاء الضرر فكان أبلغ من حفظ ماله اليسير و التكسّب به على بعض الوجوه، و هو اختيار الشيخ في المبسوط</w:t>
      </w:r>
      <w:r>
        <w:rPr>
          <w:rStyle w:val="FootnoteAnchor"/>
          <w:rtl w:val="true"/>
        </w:rPr>
        <w:footnoteReference w:id="1419"/>
      </w:r>
      <w:r>
        <w:rPr>
          <w:rFonts w:ascii="Amiri" w:hAnsi="Amiri" w:eastAsia="Amiri" w:cs="Amiri"/>
          <w:color w:val="111111"/>
          <w:sz w:val="28"/>
          <w:sz w:val="28"/>
          <w:szCs w:val="28"/>
          <w:rtl w:val="true"/>
          <w:lang w:bidi="ar-SA"/>
        </w:rPr>
        <w:t>، و من أصالة العدم و هو ظاهر المصنّف؛ لاقتصاره على مجرّد الجواز، مع أنّه لاينافي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المولّى عليه موسراً، فإن كان القريب بحيث تجب نفقته في الحال بأن يكون زَمِناً أو غيرَ كسوب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يجزئ للوليّ القبول كيلا يتضرّر الصبيّ بالإنفاق عليه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لاتجب نفقته فعلى ما تقرّر في المعسر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أوصى له ببعض من ينعتق عليه و كان معسراً جاز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المولّى عليه موسراً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لايقبل لأنّه يلزمه افتكاكه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القبول إذ الأشبه أنّه لايقوّم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كالمريض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مبنيّ على أنّ العبد يملك، أو يريد بالفقير غير</w:t>
      </w:r>
    </w:p>
    <w:p>
      <w:pPr>
        <w:pStyle w:val="BookText"/>
        <w:rPr/>
      </w:pPr>
      <w:r>
        <w:rPr>
          <w:rFonts w:ascii="Amiri" w:hAnsi="Amiri" w:eastAsia="Amiri" w:cs="Amiri"/>
          <w:color w:val="111111"/>
          <w:sz w:val="28"/>
          <w:sz w:val="28"/>
          <w:szCs w:val="28"/>
          <w:rtl w:val="true"/>
          <w:lang w:bidi="ar-SA"/>
        </w:rPr>
        <w:t>الكسوب، لكن عطفه على المريض لايخلو حينئذٍ من منافرة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أحسن الشيخ في المبسوط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صحيحاً و لايكون أبداً إلّا فقيراً فإنّه مملوك نظرت إن كان مكتسباً لم تجب نفقته على ولده فعلى وليّه أن يقبله</w:t>
      </w:r>
      <w:r>
        <w:rPr>
          <w:rFonts w:eastAsia="Amiri" w:cs="Amiri" w:ascii="Amiri" w:hAnsi="Amiri"/>
          <w:color w:val="111111"/>
          <w:sz w:val="28"/>
          <w:szCs w:val="28"/>
          <w:rtl w:val="true"/>
          <w:lang w:bidi="ar-SA"/>
        </w:rPr>
        <w:t>»</w:t>
      </w:r>
      <w:r>
        <w:rPr>
          <w:rStyle w:val="FootnoteAnchor"/>
          <w:rtl w:val="true"/>
        </w:rPr>
        <w:footnoteReference w:id="1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أوصى له ببعض من ينعتق عليه و كان معسراً جاز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 في المسألة السابقة حكم ما إذا ملك الجميع، أمّا إذا أوصى له بالبعض أو وهبه، فإن كان المولّى عليه معسراً قبله الوليّ، لما تقدّم من عدم الضرر، بل فيه الجمال و المنفعة بلا مؤونة و لا تقويم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موسراً زاد النظر في غرامة السراية و إن لم تجب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حينئذٍ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لايقبل</w:t>
      </w:r>
      <w:r>
        <w:rPr>
          <w:rStyle w:val="FootnoteAnchor"/>
          <w:rtl w:val="true"/>
        </w:rPr>
        <w:footnoteReference w:id="1421"/>
      </w:r>
      <w:r>
        <w:rPr>
          <w:rFonts w:ascii="Amiri" w:hAnsi="Amiri" w:eastAsia="Amiri" w:cs="Amiri"/>
          <w:color w:val="111111"/>
          <w:sz w:val="28"/>
          <w:sz w:val="28"/>
          <w:szCs w:val="28"/>
          <w:rtl w:val="true"/>
          <w:lang w:bidi="ar-SA"/>
        </w:rPr>
        <w:t>لأنّه لو قبل انعتق على الصبيّ و إذا أعتق سرى و لزمه قيمة الشريك و فيه إضرار بالصبيّ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و يعتق عليه و لايسري كيلا يتضرّر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أيضاً بأنّه لا اختيار له في حصول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لايخلو من نظر؛ لأنّ اختيار الوليّ كاختياره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فالوجه ما اختاره المصنّف و الأكثر من عدم السراية، و هو اختيار الشيخ في المبسوط</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bookmarkStart w:id="428" w:name="pg10270_80424"/>
    </w:p>
    <w:p>
      <w:pPr>
        <w:pStyle w:val="Heading4"/>
        <w:numPr>
          <w:ilvl w:val="3"/>
          <w:numId w:val="1"/>
        </w:numPr>
        <w:rPr/>
      </w:pPr>
      <w:bookmarkStart w:id="429" w:name="__RefHeading___Toc3860282_1067777946"/>
      <w:bookmarkStart w:id="430" w:name="_Toc155"/>
      <w:bookmarkEnd w:id="428"/>
      <w:bookmarkEnd w:id="429"/>
      <w:r>
        <w:rPr>
          <w:rtl w:val="true"/>
        </w:rPr>
        <w:t>العتق بالعوارض</w:t>
      </w:r>
      <w:bookmarkEnd w:id="430"/>
    </w:p>
    <w:p>
      <w:pPr>
        <w:pStyle w:val="Heading5"/>
        <w:numPr>
          <w:ilvl w:val="4"/>
          <w:numId w:val="1"/>
        </w:numPr>
        <w:rPr/>
      </w:pPr>
      <w:bookmarkStart w:id="431" w:name="__RefHeading___Toc3860284_1067777946"/>
      <w:bookmarkStart w:id="432" w:name="_Toc156"/>
      <w:bookmarkEnd w:id="431"/>
      <w:r>
        <w:rPr>
          <w:rtl w:val="true"/>
        </w:rPr>
        <w:t>اشارة</w:t>
      </w:r>
      <w:bookmarkEnd w:id="4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العوارض فهي العمى و الجذام و الإقعاد و إسلام المملوك في دار الحرب سابقاً على مولاه و دفع قيمة الوارث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العوارض فهى العمى و الجذام و الإقعاد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Heading5"/>
        <w:numPr>
          <w:ilvl w:val="4"/>
          <w:numId w:val="1"/>
        </w:numPr>
        <w:rPr/>
      </w:pPr>
      <w:bookmarkStart w:id="433" w:name="__RefHeading___Toc3860286_1067777946"/>
      <w:bookmarkStart w:id="434" w:name="_Toc157"/>
      <w:bookmarkEnd w:id="433"/>
      <w:r>
        <w:rPr>
          <w:rtl w:val="true"/>
        </w:rPr>
        <w:t>انعتاق العبد بالعمى و الجذام و غیرهما</w:t>
      </w:r>
      <w:bookmarkEnd w:id="434"/>
    </w:p>
    <w:p>
      <w:pPr>
        <w:pStyle w:val="BookText"/>
        <w:rPr/>
      </w:pPr>
      <w:r>
        <w:rPr>
          <w:rFonts w:ascii="IRNazanin" w:hAnsi="IRNazanin" w:eastAsia="IRNazanin"/>
          <w:color w:val="111111"/>
          <w:sz w:val="28"/>
          <w:sz w:val="28"/>
          <w:szCs w:val="28"/>
          <w:rtl w:val="true"/>
          <w:lang w:bidi="fa-IR"/>
        </w:rPr>
        <w:t>انعتاق العبد بهذه العوارض مذهب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مستنده رواياتهم به عن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العمى و الجذام فرووهما بطريق السكوني عن أبي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عمي المملوك فلا رقّ عليه، و إذا جذم فلا رقّ عليه</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روى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عمي المملوك فقد أعتق</w:t>
      </w:r>
      <w:r>
        <w:rPr>
          <w:rFonts w:eastAsia="IRNazanin" w:cs="IRNazanin"/>
          <w:color w:val="111111"/>
          <w:sz w:val="28"/>
          <w:szCs w:val="28"/>
          <w:rtl w:val="true"/>
          <w:lang w:bidi="fa-IR"/>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معلّى بن محمّد و هو ضعيف</w:t>
      </w:r>
      <w:r>
        <w:rPr>
          <w:rStyle w:val="FootnoteAnchor"/>
          <w:rtl w:val="true"/>
        </w:rPr>
        <w:footnoteReference w:id="1425"/>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عمي المملوك أعتقه صاحبه، و لم يكن له أن يمسكه</w:t>
      </w:r>
      <w:r>
        <w:rPr>
          <w:rFonts w:eastAsia="IRNazanin" w:cs="IRNazanin"/>
          <w:color w:val="111111"/>
          <w:sz w:val="28"/>
          <w:szCs w:val="28"/>
          <w:rtl w:val="true"/>
          <w:lang w:bidi="fa-IR"/>
        </w:rPr>
        <w:t>»</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و ألحق ابن حمزة بالجذام البرص</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في عويل من إثبات حكم الجذام؛ لضعف المستند إن لم يكن إجماع فكيف يلحق به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الإقعاد فلم نقف له على شاهد، و المصنّف في النافع نسبه إلى الأصحاب</w:t>
      </w:r>
      <w:r>
        <w:rPr>
          <w:rStyle w:val="FootnoteAnchor"/>
          <w:rtl w:val="true"/>
        </w:rPr>
        <w:footnoteReference w:id="1428"/>
      </w:r>
      <w:r>
        <w:rPr>
          <w:rFonts w:ascii="Amiri" w:hAnsi="Amiri" w:eastAsia="Amiri" w:cs="Amiri"/>
          <w:color w:val="111111"/>
          <w:sz w:val="28"/>
          <w:sz w:val="28"/>
          <w:szCs w:val="28"/>
          <w:rtl w:val="true"/>
          <w:lang w:bidi="ar-SA"/>
        </w:rPr>
        <w:t>، مؤذناً بعدم وقوفه على دليله، ولكن لايظهر فيه مخالف حتّى ابن إدريس وافق عليه</w:t>
      </w:r>
      <w:r>
        <w:rPr>
          <w:rStyle w:val="FootnoteAnchor"/>
          <w:rtl w:val="true"/>
        </w:rPr>
        <w:footnoteReference w:id="1429"/>
      </w:r>
      <w:r>
        <w:rPr>
          <w:rFonts w:ascii="Amiri" w:hAnsi="Amiri" w:eastAsia="Amiri" w:cs="Amiri"/>
          <w:color w:val="111111"/>
          <w:sz w:val="28"/>
          <w:sz w:val="28"/>
          <w:szCs w:val="28"/>
          <w:rtl w:val="true"/>
          <w:lang w:bidi="ar-SA"/>
        </w:rPr>
        <w:t>بشبهة أنّه إجماع</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الحقيقة الحكمة في انعتاق المملوك بهذه العوارض غير واضحة ؛ لأنّ عجزه عن الاكتساب يناسبه استصحاب الرقّ لتجب نفقته على المولى؛ فليقتصر منه على محلّ </w:t>
      </w:r>
      <w:bookmarkStart w:id="435" w:name="pg10270_80425"/>
    </w:p>
    <w:p>
      <w:pPr>
        <w:pStyle w:val="Heading5"/>
        <w:numPr>
          <w:ilvl w:val="4"/>
          <w:numId w:val="1"/>
        </w:numPr>
        <w:rPr/>
      </w:pPr>
      <w:bookmarkStart w:id="436" w:name="__RefHeading___Toc3860288_1067777946"/>
      <w:bookmarkStart w:id="437" w:name="_Toc158"/>
      <w:bookmarkEnd w:id="435"/>
      <w:bookmarkEnd w:id="436"/>
      <w:r>
        <w:rPr>
          <w:rtl w:val="true"/>
        </w:rPr>
        <w:t>هل ینعتق من مثّل به مولاه</w:t>
      </w:r>
      <w:bookmarkEnd w:id="4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عتق من مثّل به مولاه تردّد، و المرويّ أنّه ينعتق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الوفاق أو النصّ الصالح لإثبات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إسلام المملوك في دار الحرب سابقاً على مولاه، فالمرويّ أنه من أسباب العتق</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اشترط الشيخ خروجه إلينا قبله أيضاً</w:t>
      </w:r>
      <w:r>
        <w:rPr>
          <w:rStyle w:val="FootnoteAnchor"/>
          <w:rtl w:val="true"/>
        </w:rPr>
        <w:footnoteReference w:id="1431"/>
      </w: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عبد خرج قبل مولاه فهو حرّ</w:t>
      </w:r>
      <w:r>
        <w:rPr>
          <w:rFonts w:eastAsia="IRNazanin" w:cs="IRNazanin"/>
          <w:color w:val="111111"/>
          <w:sz w:val="28"/>
          <w:szCs w:val="28"/>
          <w:rtl w:val="true"/>
          <w:lang w:bidi="fa-IR"/>
        </w:rPr>
        <w:t>»</w:t>
      </w:r>
      <w:r>
        <w:rPr>
          <w:rStyle w:val="FootnoteAnchor"/>
          <w:rtl w:val="true"/>
        </w:rPr>
        <w:footnoteReference w:id="1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المصنّف عدم اشتراط خروجه قبله، و به صرّح ابن إدريس</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الإسلام المانع من ملك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ممنوع؛ لأنّ الإسلام إنّما يمنع من دوام الملك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في الجهاد اشترط</w:t>
      </w:r>
    </w:p>
    <w:p>
      <w:pPr>
        <w:pStyle w:val="BookText"/>
        <w:rPr/>
      </w:pPr>
      <w:r>
        <w:rPr>
          <w:rFonts w:ascii="IRNazanin" w:hAnsi="IRNazanin" w:eastAsia="IRNazanin"/>
          <w:color w:val="111111"/>
          <w:sz w:val="28"/>
          <w:sz w:val="28"/>
          <w:szCs w:val="28"/>
          <w:rtl w:val="true"/>
          <w:lang w:bidi="fa-IR"/>
        </w:rPr>
        <w:t>خروجه قبله</w:t>
      </w:r>
      <w:r>
        <w:rPr>
          <w:rStyle w:val="FootnoteAnchor"/>
          <w:rtl w:val="true"/>
        </w:rPr>
        <w:footnoteReference w:id="1434"/>
      </w:r>
      <w:r>
        <w:rPr>
          <w:rFonts w:ascii="Amiri" w:hAnsi="Amiri" w:eastAsia="Amiri" w:cs="Amiri"/>
          <w:color w:val="111111"/>
          <w:sz w:val="28"/>
          <w:sz w:val="28"/>
          <w:szCs w:val="28"/>
          <w:rtl w:val="true"/>
          <w:lang w:bidi="ar-SA"/>
        </w:rPr>
        <w:t>، و لعلّه أجمل الحكم هنا اتّكالاً على 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دفع قيمة الوارث فظاهره أنّه يوجب العتق بمجرّده، ولكن سيأتي إن شاء الله تعالى فى الميراث أنّه يشترى و يعتق</w:t>
      </w:r>
      <w:r>
        <w:rPr>
          <w:rStyle w:val="FootnoteAnchor"/>
          <w:rtl w:val="true"/>
        </w:rPr>
        <w:footnoteReference w:id="1435"/>
      </w:r>
      <w:r>
        <w:rPr>
          <w:rFonts w:ascii="Amiri" w:hAnsi="Amiri" w:eastAsia="Amiri" w:cs="Amiri"/>
          <w:color w:val="111111"/>
          <w:sz w:val="28"/>
          <w:sz w:val="28"/>
          <w:szCs w:val="28"/>
          <w:rtl w:val="true"/>
          <w:lang w:bidi="ar-SA"/>
        </w:rPr>
        <w:t>، و لعلّه أطلق على دفع القيمة السببيّة للعتق من حيث إنّه جزء السبب وإن توقّف على أمر آخر كسببيّة التدبير و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عتق من مثّل به مولاه تردّد، و المروىّ أنّه ينعتق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التنكيل من أسباب الانعتاق هو المشهور بين الأصحاب، لم يخالف فيه إلّا ابن إدريس، فإنّه نسبه إلى رواية الشيخ</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وجه لإخراجه عن العوارض السابقة؛ لأنّ مستند غير العمى أضعف منه، و فتوى</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الأصحاب مشتركة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 الحكم في التنكيل رواية جعفر بن محبوب عمّن ذكره، عن أبي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عبد مُثّل به فهو حرّ</w:t>
      </w:r>
      <w:r>
        <w:rPr>
          <w:rFonts w:eastAsia="IRNazanin" w:cs="IRNazanin"/>
          <w:color w:val="111111"/>
          <w:sz w:val="28"/>
          <w:szCs w:val="28"/>
          <w:rtl w:val="true"/>
          <w:lang w:bidi="fa-IR"/>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رواية عبد الحميد، عن هشام بن سالم، عن أبي بصير، عن أبي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أمير المؤمنين علیه السلام فيمن نكّل بمملوكه أنّه حرّ لاسبيل له عليه، سائبة يذهب فيتولّى من أحب</w:t>
      </w:r>
      <w:r>
        <w:rPr>
          <w:rFonts w:eastAsia="IRNazanin" w:cs="IRNazanin"/>
          <w:color w:val="111111"/>
          <w:sz w:val="28"/>
          <w:szCs w:val="28"/>
          <w:rtl w:val="true"/>
          <w:lang w:bidi="fa-IR"/>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الأُولى في طريقها جهالة، و هي مع ذلك مرسلة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عبد الحميد في الثانیّة مشترك بين الثقة و الضعيف</w:t>
      </w:r>
      <w:r>
        <w:rPr>
          <w:rStyle w:val="FootnoteAnchor"/>
          <w:rtl w:val="true"/>
        </w:rPr>
        <w:footnoteReference w:id="1439"/>
      </w:r>
      <w:r>
        <w:rPr>
          <w:rFonts w:ascii="Amiri" w:hAnsi="Amiri" w:eastAsia="Amiri" w:cs="Amiri"/>
          <w:color w:val="111111"/>
          <w:sz w:val="28"/>
          <w:sz w:val="28"/>
          <w:szCs w:val="28"/>
          <w:rtl w:val="true"/>
          <w:lang w:bidi="ar-SA"/>
        </w:rPr>
        <w:t>، بل الظاهر أنّه خارج عن القسمين؛ لأنّ طبقتهما أعلى من طبقته فيكون مجهولاً، و على التقديرين يضعف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بصير قد عرفت</w:t>
      </w:r>
      <w:r>
        <w:rPr>
          <w:rStyle w:val="FootnoteAnchor"/>
          <w:rtl w:val="true"/>
        </w:rPr>
        <w:footnoteReference w:id="1440"/>
      </w:r>
      <w:r>
        <w:rPr>
          <w:rFonts w:ascii="Amiri" w:hAnsi="Amiri" w:eastAsia="Amiri" w:cs="Amiri"/>
          <w:color w:val="111111"/>
          <w:sz w:val="28"/>
          <w:sz w:val="28"/>
          <w:szCs w:val="28"/>
          <w:rtl w:val="true"/>
          <w:lang w:bidi="ar-SA"/>
        </w:rPr>
        <w:t>، مراراً أنّه مشترك فتكون ضعيفةً، و مع هذا فقد وصفها في المختلف بالصحّة</w:t>
      </w:r>
      <w:r>
        <w:rPr>
          <w:rStyle w:val="FootnoteAnchor"/>
          <w:rtl w:val="true"/>
        </w:rPr>
        <w:footnoteReference w:id="1441"/>
      </w:r>
      <w:r>
        <w:rPr>
          <w:rFonts w:ascii="Amiri" w:hAnsi="Amiri" w:eastAsia="Amiri" w:cs="Amiri"/>
          <w:color w:val="111111"/>
          <w:sz w:val="28"/>
          <w:sz w:val="28"/>
          <w:szCs w:val="28"/>
          <w:rtl w:val="true"/>
          <w:lang w:bidi="ar-SA"/>
        </w:rPr>
        <w:t>، 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العامّة روى عمرو بن شعيب، عن أبيه، عن جدّه، أنّ زنباعاً أبا روح، وجد غلاماً مع جارية له فجدع أنفه و جبّه، فأتى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هذا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زنباع فدعاه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أمره كذا وكذا، فقال النبيّ صلّى الله عليه وآله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فأنت حرّ</w:t>
      </w:r>
      <w:r>
        <w:rPr>
          <w:rFonts w:eastAsia="Amiri" w:cs="Amiri" w:ascii="Amiri" w:hAnsi="Amiri"/>
          <w:color w:val="111111"/>
          <w:sz w:val="28"/>
          <w:szCs w:val="28"/>
          <w:rtl w:val="true"/>
          <w:lang w:bidi="ar-SA"/>
        </w:rPr>
        <w:t>»</w:t>
      </w:r>
      <w:r>
        <w:rPr>
          <w:rStyle w:val="FootnoteAnchor"/>
          <w:rtl w:val="true"/>
        </w:rPr>
        <w:footnoteReference w:id="1442"/>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 آله و سلّم صارخاً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رآني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الاستيلاد سبباً للعتق، فلنذكر الفصول الثلاثة في كتاب واحد؛ لأنّ ثمرتها إزالة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جاريةً له فجبّ مذاكيري، 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فأنت حرّ</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المصنّف تردّد في الحكم، من ضعف المستند، و اشتهاره بين الأصحاب، وآنسه بالتردّد</w:t>
      </w:r>
    </w:p>
    <w:p>
      <w:pPr>
        <w:pStyle w:val="BookText"/>
        <w:rPr/>
      </w:pPr>
      <w:r>
        <w:rPr>
          <w:rFonts w:ascii="Amiri" w:hAnsi="Amiri" w:eastAsia="Amiri" w:cs="Amiri"/>
          <w:color w:val="111111"/>
          <w:sz w:val="28"/>
          <w:sz w:val="28"/>
          <w:szCs w:val="28"/>
          <w:rtl w:val="true"/>
          <w:lang w:bidi="ar-SA"/>
        </w:rPr>
        <w:t>مخالفة ابن إدريس، وإلّا فقد عرفت أنّ حكم ما تقدّم أولى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فالتنكيل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الأمر الفظيع بالغير،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نكّل به تنكيلاً إذا جعله نكالاً</w:t>
      </w:r>
    </w:p>
    <w:p>
      <w:pPr>
        <w:pStyle w:val="BookText"/>
        <w:rPr/>
      </w:pPr>
      <w:r>
        <w:rPr>
          <w:rFonts w:ascii="Amiri" w:hAnsi="Amiri" w:eastAsia="Amiri" w:cs="Amiri"/>
          <w:color w:val="111111"/>
          <w:sz w:val="28"/>
          <w:sz w:val="28"/>
          <w:szCs w:val="28"/>
          <w:rtl w:val="true"/>
          <w:lang w:bidi="ar-SA"/>
        </w:rPr>
        <w:t>و عبرةً لغيره</w:t>
      </w:r>
      <w:r>
        <w:rPr>
          <w:rStyle w:val="FootnoteAnchor"/>
          <w:rtl w:val="true"/>
        </w:rPr>
        <w:footnoteReference w:id="1444"/>
      </w:r>
      <w:r>
        <w:rPr>
          <w:rFonts w:ascii="Amiri" w:hAnsi="Amiri" w:eastAsia="Amiri" w:cs="Amiri"/>
          <w:color w:val="111111"/>
          <w:sz w:val="28"/>
          <w:sz w:val="28"/>
          <w:szCs w:val="28"/>
          <w:rtl w:val="true"/>
          <w:lang w:bidi="ar-SA"/>
        </w:rPr>
        <w:t>، مثل أن يقطع لسانه أو أُنفه أو أذنيه أو شفتيه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كلام الأصحاب ما يدلّ على المراد، بل اقتصروا على تعليق الحكم على مجرّد</w:t>
      </w:r>
    </w:p>
    <w:p>
      <w:pPr>
        <w:pStyle w:val="BookText"/>
        <w:rPr/>
      </w:pPr>
      <w:r>
        <w:rPr>
          <w:rFonts w:ascii="Amiri" w:hAnsi="Amiri" w:eastAsia="Amiri" w:cs="Amiri"/>
          <w:color w:val="111111"/>
          <w:sz w:val="28"/>
          <w:sz w:val="28"/>
          <w:szCs w:val="28"/>
          <w:rtl w:val="true"/>
          <w:lang w:bidi="ar-SA"/>
        </w:rPr>
        <w:t>ذلك، الاسم؛ تبعاً لإطلاق النصّ، و فى الرواية الأخيرة أن الجبّ تنكيل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يترتّب على هذا أنّ المماليك الخصيان ينعتقون على مواليهم إذا فعلوا بهم ذالک، فلایصحّ شراؤهم لمن علم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اشتباه كون الفعل من مولاه يبنى على أصالة بقاء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يحصل الاشتباه في بعض العقوبات، كقلع العين الواحدة و الأذن الواحدة و نحو ذلك،و الواجب الرجوع في موضع الاشتباه إلى حكم الأصل، و هو استصحاب حكم الرقّ إلى أن يثبت المزيل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الاستيلاد سبباً للعتق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التقليل في هذا المقام؛ لأنّ الاستيلاد لايستلزم العتق بذاته حينئذٍ، بل يتوقّف على أمور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الولد إلى أن يموت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موت المولى، فلو مات الولد في حياة المولى سقط حكم 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فسببيّة الاستيلاد ناقصة؛ لما عرفت من أنّ موت المولى تمام السبب</w:t>
      </w:r>
      <w:r>
        <w:rPr>
          <w:rStyle w:val="FootnoteAnchor"/>
          <w:rtl w:val="true"/>
        </w:rPr>
        <w:footnoteReference w:id="14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لايجعل الاستيلاد من الأسباب أصلاً؛ لأنّ موت المولى مع بقاء الولد يوجب انتقال أُمّ الولد إلى ملكه أو بعضها، فينعتق عليه بالملك لا بالاستيلاد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يشير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المعنى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موت المولى من فعل الله تعالى دون الاستيلاد لايقتضي رفع سببيّته، كما أنّ عمى العبد وإقعاده من أسباب العتق و إن كان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اشتراط المباشرة في السبب</w:t>
      </w:r>
    </w:p>
    <w:p>
      <w:pPr>
        <w:pStyle w:val="BookText"/>
        <w:rPr/>
      </w:pPr>
      <w:r>
        <w:rPr>
          <w:rFonts w:ascii="Amiri" w:hAnsi="Amiri" w:eastAsia="Amiri" w:cs="Amiri"/>
          <w:color w:val="111111"/>
          <w:sz w:val="28"/>
          <w:sz w:val="28"/>
          <w:szCs w:val="28"/>
          <w:rtl w:val="true"/>
          <w:lang w:bidi="ar-SA"/>
        </w:rPr>
        <w:t>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هذه الأسباب علامات لحكم الله تعالى بالعتق، سواء كانت بفعل الله تعالى</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فعل المكلّف</w:t>
      </w:r>
      <w:r>
        <w:rPr>
          <w:rFonts w:eastAsia="Amiri" w:cs="Amiri" w:ascii="Amiri" w:hAnsi="Amiri"/>
          <w:color w:val="111111"/>
          <w:sz w:val="28"/>
          <w:szCs w:val="28"/>
          <w:rtl w:val="true"/>
          <w:lang w:bidi="ar-SA"/>
        </w:rPr>
        <w:t xml:space="preserve">. </w:t>
      </w:r>
      <w:bookmarkStart w:id="438" w:name="pg10270_80429"/>
    </w:p>
    <w:p>
      <w:pPr>
        <w:pStyle w:val="Heading2"/>
        <w:numPr>
          <w:ilvl w:val="1"/>
          <w:numId w:val="1"/>
        </w:numPr>
        <w:rPr/>
      </w:pPr>
      <w:bookmarkStart w:id="439" w:name="__RefHeading___Toc3860290_1067777946"/>
      <w:bookmarkStart w:id="440" w:name="_Toc159"/>
      <w:bookmarkEnd w:id="438"/>
      <w:bookmarkEnd w:id="439"/>
      <w:r>
        <w:rPr>
          <w:rtl w:val="true"/>
        </w:rPr>
        <w:t>كتاب التدبير والمكاتبة والاستيلاد</w:t>
      </w:r>
      <w:bookmarkEnd w:id="440"/>
    </w:p>
    <w:p>
      <w:pPr>
        <w:pStyle w:val="Heading3"/>
        <w:numPr>
          <w:ilvl w:val="2"/>
          <w:numId w:val="1"/>
        </w:numPr>
        <w:rPr/>
      </w:pPr>
      <w:bookmarkStart w:id="441" w:name="__RefHeading___Toc3860292_1067777946"/>
      <w:bookmarkStart w:id="442" w:name="_Toc160"/>
      <w:bookmarkEnd w:id="441"/>
      <w:r>
        <w:rPr>
          <w:rtl w:val="true"/>
        </w:rPr>
        <w:t>التدبیر</w:t>
      </w:r>
      <w:bookmarkEnd w:id="442"/>
    </w:p>
    <w:p>
      <w:pPr>
        <w:pStyle w:val="Heading4"/>
        <w:numPr>
          <w:ilvl w:val="3"/>
          <w:numId w:val="1"/>
        </w:numPr>
        <w:rPr/>
      </w:pPr>
      <w:bookmarkStart w:id="443" w:name="__RefHeading___Toc3860294_1067777946"/>
      <w:bookmarkStart w:id="444" w:name="_Toc161"/>
      <w:bookmarkEnd w:id="443"/>
      <w:r>
        <w:rPr>
          <w:rtl w:val="true"/>
        </w:rPr>
        <w:t>تعریف التدبیر</w:t>
      </w:r>
      <w:bookmarkEnd w:id="4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هو عتق العبد بعد وفاة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صحّة تدبيره بعد وفاة غيره، كزوج المملوكة ، و وفاة من يجعل له خدمته تردّد، أظهره الجواز، و مستنده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التدبير و المكاتبة و الاستيلاد</w:t>
      </w:r>
    </w:p>
    <w:p>
      <w:pPr>
        <w:pStyle w:val="BookText"/>
        <w:rPr/>
      </w:pPr>
      <w:r>
        <w:rPr>
          <w:rFonts w:ascii="Amiri" w:hAnsi="Amiri" w:eastAsia="Amiri" w:cs="Amiri"/>
          <w:color w:val="111111"/>
          <w:sz w:val="28"/>
          <w:sz w:val="28"/>
          <w:szCs w:val="28"/>
          <w:rtl w:val="true"/>
          <w:lang w:bidi="ar-SA"/>
        </w:rPr>
        <w:t>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تفعيل من الدبر، و المراد به تعليق العتق بدبر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تدبيراً؛ لأنّه دبّر أمر دنياه باستخدامه و استرقاقه و أمر آخرته بإعتاقه</w:t>
      </w:r>
      <w:r>
        <w:rPr>
          <w:rStyle w:val="FootnoteAnchor"/>
          <w:rtl w:val="true"/>
        </w:rPr>
        <w:footnoteReference w:id="1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راجع إلى الأوّل؛ لأنّ التدبير في الأمر مأخوذ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لأنّه نظر في عواقب الأمور و أدباره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التدبير هو عتق العبد بعد وفاة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بين علماء الإسلام في صحّة تعليق عتق المملوك على وفاة مولاه، و اقتصر المصنّف على تعريفه بذلك إيثاراً لتعريف الفرد المتّفق عليه لا للحصر، وإن كانت الصيغة</w:t>
      </w:r>
    </w:p>
    <w:p>
      <w:pPr>
        <w:pStyle w:val="BookText"/>
        <w:rPr/>
      </w:pPr>
      <w:r>
        <w:rPr>
          <w:rFonts w:ascii="Amiri" w:hAnsi="Amiri" w:eastAsia="Amiri" w:cs="Amiri"/>
          <w:color w:val="111111"/>
          <w:sz w:val="28"/>
          <w:sz w:val="28"/>
          <w:szCs w:val="28"/>
          <w:rtl w:val="true"/>
          <w:lang w:bidi="ar-SA"/>
        </w:rPr>
        <w:t>تقتضيه من جهة أنّ المبتدأ منحصر في الخبر، فالحصر حينئذٍ إضافي لا مطلق</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3860296_1067777946"/>
      <w:bookmarkStart w:id="446" w:name="_Toc162"/>
      <w:bookmarkEnd w:id="445"/>
      <w:r>
        <w:rPr>
          <w:rtl w:val="true"/>
        </w:rPr>
        <w:t>هل یصحّ تعلیق التدبير علی وفاة غیر المولی؟</w:t>
      </w:r>
      <w:bookmarkEnd w:id="44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الأصحاب في صحّته معلّقاً على وفاة غير المولى في الجملة، فذهب جماعة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المصنّف و العلّامة</w:t>
      </w:r>
      <w:r>
        <w:rPr>
          <w:rStyle w:val="FootnoteAnchor"/>
          <w:rtl w:val="true"/>
        </w:rPr>
        <w:footnoteReference w:id="1447"/>
      </w:r>
      <w:r>
        <w:rPr>
          <w:rFonts w:ascii="Amiri" w:hAnsi="Amiri" w:eastAsia="Amiri" w:cs="Amiri"/>
          <w:color w:val="111111"/>
          <w:sz w:val="28"/>
          <w:sz w:val="28"/>
          <w:szCs w:val="28"/>
          <w:rtl w:val="true"/>
          <w:lang w:bidi="ar-SA"/>
        </w:rPr>
        <w:t>و قبله الشيخ</w:t>
      </w:r>
      <w:r>
        <w:rPr>
          <w:rStyle w:val="FootnoteAnchor"/>
          <w:rtl w:val="true"/>
        </w:rPr>
        <w:footnoteReference w:id="1448"/>
      </w:r>
      <w:r>
        <w:rPr>
          <w:rFonts w:ascii="IRNazanin" w:hAnsi="IRNazanin" w:eastAsia="IRNazanin"/>
          <w:color w:val="111111"/>
          <w:sz w:val="28"/>
          <w:sz w:val="28"/>
          <w:szCs w:val="28"/>
          <w:rtl w:val="true"/>
          <w:lang w:bidi="fa-IR"/>
        </w:rPr>
        <w:t>و أتباعه</w:t>
      </w:r>
      <w:r>
        <w:rPr>
          <w:rStyle w:val="FootnoteAnchor"/>
          <w:rtl w:val="true"/>
        </w:rPr>
        <w:footnoteReference w:id="1449"/>
      </w:r>
      <w:r>
        <w:rPr>
          <w:rFonts w:ascii="IRNazanin" w:hAnsi="IRNazanin" w:eastAsia="IRNazanin"/>
          <w:color w:val="111111"/>
          <w:sz w:val="28"/>
          <w:sz w:val="28"/>
          <w:szCs w:val="28"/>
          <w:rtl w:val="true"/>
          <w:lang w:bidi="fa-IR"/>
        </w:rPr>
        <w:t>إلى الصحّة؛لصحيحة يعقوب بن شعيب أنّه سأل الصادق علیه السلام عن الرجل يكون له الخادم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لفلان تخدمه ما عاش، فإذا مات فهي حرّة، فتأبق الأمة قبل أن يموت بخمس سنين أو ستّ سنين ثم يجدها ورثته، أ لهم أن يستخدموها بعد ما أبقت؟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إذا مات الرجل فقد عتقت</w:t>
      </w:r>
      <w:r>
        <w:rPr>
          <w:rFonts w:eastAsia="IRNazanin" w:cs="IRNazanin"/>
          <w:color w:val="111111"/>
          <w:sz w:val="28"/>
          <w:szCs w:val="28"/>
          <w:rtl w:val="true"/>
          <w:lang w:bidi="fa-IR"/>
        </w:rPr>
        <w:t>»</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و للأصل، و قبول العتق التأخير كقبوله للتنجيز، و لا تفاوت بين الأشخاص، و قد جاز تعليقه بوفاة المالك فيجوز بوفاة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 الرواية دلّت على جواز تعليقه بوفاة المخدوم، فتعديته إلى غيره من الزوج و غيره قياس لايقولون به، بل مورد النصّ الأمة، إلّا أن خصوصية الذكوريّة و الأنوثيّة قد يدّعى أنّها ملغاة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مدفوع، بأنّ التدبير إن كان عتقاً معلّقاً فلايقولون بجوازه مطلقاً، بل في مورد النصّ أو الوفاق، و إن كان وصيّةً فلايجوز تعليقها بوفاة غير المولى إجماعاً، و بهذا يحصل الفرق بين تعليقه بوفاة المولى و غيره، فلايلزم من جوازه معلّقاً على بعض الوجوه جوازه مطلقاً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ابن إدريس إلى المنع من تعليقه بوفاة غير المولى مطلقاً</w:t>
      </w:r>
      <w:r>
        <w:rPr>
          <w:rStyle w:val="FootnoteAnchor"/>
          <w:rtl w:val="true"/>
        </w:rPr>
        <w:footnoteReference w:id="1451"/>
      </w:r>
      <w:r>
        <w:rPr>
          <w:rFonts w:ascii="Amiri" w:hAnsi="Amiri" w:eastAsia="Amiri" w:cs="Amiri"/>
          <w:color w:val="111111"/>
          <w:sz w:val="28"/>
          <w:sz w:val="28"/>
          <w:szCs w:val="28"/>
          <w:rtl w:val="true"/>
          <w:lang w:bidi="ar-SA"/>
        </w:rPr>
        <w:t>تمسّكاً بموضع الوفاق، و ردّاً لخبر الواحد و إن صحّ، و دعوى أنّ التدبير شرعاً تعليق العتق بوفاة المولى فلايتعدّى إلى غيره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 بأنّه مصادرة، و بأنّه لو صحّ معلّقاً على وفاة غيره لبطل بالإباق كالمعلّق بموت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بمنع الملازمة، و الفرق مقابلة نعمة السيّد بالكفر، فقوبل بنقيض ذلك كقاتل العمد في حرمانه الإرث، بخلاف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إلى عبارة المصنّف و تنبّه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مستنده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الجواز المحكوم به في تعليقه بوفاة الزوج و من جعل له الخدمة، و مقتضاه وجود النقل على صحّة ذلك، و ليس كذلك، و إنّما الموجود من النقل ما حكيناه من الرواية، و هي مختصّة بتعليقه على وفاة المخدوم، فتعديته إلى غيره غير مستند إلى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روعيت الملابسة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لا تخرج عن ربقة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لاختصاصه بهذين؛ لأنّ وجوه الملابسة لاتنحصر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ويجيء على هذا جواز تعليقه بوفاة مطلق الملابس، بل مطلق الناس؛ لفقد ما يدلّ على غير المخدوم، و هو قول في المسألة</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و ربما قيل بجواز تعليقه بموت غير الآدمي</w:t>
      </w:r>
      <w:r>
        <w:rPr>
          <w:rStyle w:val="FootnoteAnchor"/>
          <w:rtl w:val="true"/>
        </w:rPr>
        <w:footnoteReference w:id="1453"/>
      </w:r>
      <w:r>
        <w:rPr>
          <w:rFonts w:ascii="Amiri" w:hAnsi="Amiri" w:eastAsia="Amiri" w:cs="Amiri"/>
          <w:color w:val="111111"/>
          <w:sz w:val="28"/>
          <w:sz w:val="28"/>
          <w:szCs w:val="28"/>
          <w:rtl w:val="true"/>
          <w:lang w:bidi="ar-SA"/>
        </w:rPr>
        <w:t>، لاشتراك الجميع في معنى التدبير لغةً، و هو تعليق العتق على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الأصحاب لم يتعرّضوا لغير المرويّ، و هو الأنسب لكن يبقى فيه أنّ المنصوص وارد في الأمة، فتعديته إلى العبد لايخلو من نظر و ما اشتهر من أنّ خصوصية الذكوريّة و الأنوثيّة ملغاة، و أنّ الطريق متّحد لايقطع الشبهة وإن كان متّجهاً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عتق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أنّ التدبير عتق بشرط، لا وصيّة، و هو أحد القولين في المسألة</w:t>
      </w:r>
      <w:r>
        <w:rPr>
          <w:rStyle w:val="FootnoteAnchor"/>
          <w:rtl w:val="true"/>
        </w:rPr>
        <w:footnoteReference w:id="1454"/>
      </w:r>
      <w:r>
        <w:rPr>
          <w:rFonts w:ascii="Amiri" w:hAnsi="Amiri" w:eastAsia="Amiri" w:cs="Amiri"/>
          <w:color w:val="111111"/>
          <w:sz w:val="28"/>
          <w:sz w:val="28"/>
          <w:szCs w:val="28"/>
          <w:rtl w:val="true"/>
          <w:lang w:bidi="ar-SA"/>
        </w:rPr>
        <w:t>، و هما أصل كبير في تفريع مسائل الباب</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كونه عتقاً أنّه لايحتاج إلى إحداث صيغة بعد الموت، بخلاف الوصيّة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الأشهر أنّه وصيّة بعتق؛ لأنّه تبرّع بعد الموت معتبر من الثلث، و يجوز الرجوع فيه حال الحياة، و هي من خواصّ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الأخبار ما يرجّح هذا القول</w:t>
      </w:r>
      <w:r>
        <w:rPr>
          <w:rStyle w:val="FootnoteAnchor"/>
          <w:rtl w:val="true"/>
        </w:rPr>
        <w:footnoteReference w:id="1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قطع المصنّف في النافع</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يتفرّع على القولين مسائل كثيرة يأتي بعضها، و منها هذه المسألة، فإنّ جعله وصيّةً يقتضي عدم جواز تعليقه بوفاة غير المولى كغيره من الوصايا، وإن ضويقنا جوّزناه في صورة النصّ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جعلناه عتقاً معلّقاً أمكن القول بجوازه مطلقاً؛ نظراً إلى اشتراك الجميع في التعليق، و لايقاس بجوازه في موضع الوفاق، مع عدم دليلٍ صالحٍ على منعه يرفُع أصالةَ الجواز و وجوب وفاء المؤمنين بشروطهم</w:t>
      </w:r>
      <w:r>
        <w:rPr>
          <w:rStyle w:val="FootnoteAnchor"/>
          <w:rtl w:val="true"/>
        </w:rPr>
        <w:footnoteReference w:id="1457"/>
      </w:r>
      <w:r>
        <w:rPr>
          <w:rFonts w:ascii="Amiri" w:hAnsi="Amiri" w:eastAsia="Amiri" w:cs="Amiri"/>
          <w:color w:val="111111"/>
          <w:sz w:val="28"/>
          <w:sz w:val="28"/>
          <w:szCs w:val="28"/>
          <w:rtl w:val="true"/>
          <w:lang w:bidi="ar-SA"/>
        </w:rPr>
        <w:t>، و المنع من غير موضع النصّ التفاتاً إلى ما سبق من ظهور اتّفاق الأصحاب على عدم جواز تعليق العتق على الشرط و الصفة، فيقتصر بالجواز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العامّة لمّا جوّزوا تعليق العتق و قصّروا التدبير على تعليقه بوفاة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ابن إدريس</w:t>
      </w:r>
      <w:r>
        <w:rPr>
          <w:rStyle w:val="FootnoteAnchor"/>
          <w:rtl w:val="true"/>
        </w:rPr>
        <w:footnoteReference w:id="1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تعليقه بوفاة غيره عتقاً معلّقاً لاتدبيراً وإن شاركه في بعض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بأنّ التدبير إيقاع برأسه و إن شابه العتق المعلّق و الوصيّة بوجه كان حسناً، و فيه جمع بين الأدّلة و سلامةً من تناقض الأحكام المترتّبة غالباً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تقييده بالعبد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عتق العبد بعد وفاة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خصوصاً في مقام التعريف الموجب لانتقاضه في طرده، و كان المناسب إبداله بالمملوك أو الاقتصار على العتق كما ذكرناه</w:t>
      </w:r>
      <w:r>
        <w:rPr>
          <w:rFonts w:eastAsia="Amiri" w:cs="Amiri" w:ascii="Amiri" w:hAnsi="Amiri"/>
          <w:color w:val="111111"/>
          <w:sz w:val="28"/>
          <w:szCs w:val="28"/>
          <w:rtl w:val="true"/>
          <w:lang w:bidi="ar-SA"/>
        </w:rPr>
        <w:t xml:space="preserve">. </w:t>
      </w:r>
      <w:bookmarkStart w:id="447" w:name="pg10270_80433"/>
    </w:p>
    <w:p>
      <w:pPr>
        <w:pStyle w:val="BookText"/>
        <w:rPr/>
      </w:pPr>
      <w:bookmarkEnd w:id="447"/>
      <w:r>
        <w:rPr>
          <w:rFonts w:ascii="Amiri" w:hAnsi="Amiri" w:eastAsia="Amiri" w:cs="Amiri"/>
          <w:color w:val="111111"/>
          <w:sz w:val="28"/>
          <w:sz w:val="28"/>
          <w:szCs w:val="28"/>
          <w:rtl w:val="true"/>
          <w:lang w:bidi="ar-SA"/>
        </w:rPr>
        <w:t>والعلم به يستدعي ثلاثة مقاصد</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3860298_1067777946"/>
      <w:bookmarkStart w:id="449" w:name="_Toc163"/>
      <w:bookmarkEnd w:id="448"/>
      <w:r>
        <w:rPr>
          <w:rtl w:val="true"/>
        </w:rPr>
        <w:t>المقصد الأوّل في العبارة و ما يحصل به التدبير</w:t>
      </w:r>
      <w:bookmarkEnd w:id="449"/>
    </w:p>
    <w:p>
      <w:pPr>
        <w:pStyle w:val="Heading4"/>
        <w:numPr>
          <w:ilvl w:val="3"/>
          <w:numId w:val="1"/>
        </w:numPr>
        <w:rPr/>
      </w:pPr>
      <w:bookmarkStart w:id="450" w:name="__RefHeading___Toc3860300_1067777946"/>
      <w:bookmarkStart w:id="451" w:name="_Toc164"/>
      <w:bookmarkEnd w:id="450"/>
      <w:r>
        <w:rPr>
          <w:rtl w:val="true"/>
        </w:rPr>
        <w:t>اشارة</w:t>
      </w:r>
      <w:bookmarkEnd w:id="4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 فأنت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عبرة باختلاف أدوات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عبرة باختلاف الألفاظ التي يعبّر بها عن المدبّر،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 هذه أو أنت أو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3860302_1067777946"/>
      <w:bookmarkStart w:id="453" w:name="_Toc165"/>
      <w:bookmarkEnd w:id="452"/>
      <w:r>
        <w:rPr>
          <w:rtl w:val="true"/>
        </w:rPr>
        <w:t>أقسام التدبير</w:t>
      </w:r>
      <w:bookmarkEnd w:id="4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ينقسم إلى مطلق،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مقيّد،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 في سفري هذا أو من مرضي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بعد وفاتي، أو إذا متّ فأنت حرّ، أو عتيق، أو معتق و لا عبرة</w:t>
      </w:r>
    </w:p>
    <w:p>
      <w:pPr>
        <w:pStyle w:val="BookText"/>
        <w:rPr/>
      </w:pPr>
      <w:r>
        <w:rPr>
          <w:rFonts w:ascii="IRNazanin" w:hAnsi="IRNazanin" w:eastAsia="IRNazanin"/>
          <w:color w:val="111111"/>
          <w:sz w:val="28"/>
          <w:sz w:val="28"/>
          <w:szCs w:val="28"/>
          <w:rtl w:val="true"/>
          <w:lang w:bidi="fa-IR"/>
        </w:rPr>
        <w:t>باختلاف أدوات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المعتبر في هذا الإيقاع التلفّظ به بلفظ صريح في معناه كغيره، فلايقع بالكناية عندنا و إن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تتعدّد الألفاظ الدالّة عليه صريحاً يتخيّر في تأديتها بأيّها شاء، كأدوات الشرط و أسماء الإشارة و ما قام مقامها؛ لاشتراك الجميع في إفادة المعنى صريحاً، و عدم ورود ما يدلّ على اختصاص أحدها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الصريح في هذه الألفاظ بمقتضى انحصار المبتدإ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عدم الانحصار، 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أعتقتك بعد موتي أو حرّرتك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صريحاً كما لو أوقع بهما العتق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ينقسم إلى مطلق،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و إلى مقيّد،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 في سفري هذا أو</w:t>
      </w:r>
    </w:p>
    <w:p>
      <w:pPr>
        <w:pStyle w:val="BookText"/>
        <w:rPr/>
      </w:pPr>
      <w:r>
        <w:rPr>
          <w:rFonts w:ascii="Amiri" w:hAnsi="Amiri" w:eastAsia="Amiri" w:cs="Amiri"/>
          <w:color w:val="111111"/>
          <w:sz w:val="28"/>
          <w:sz w:val="28"/>
          <w:szCs w:val="28"/>
          <w:rtl w:val="true"/>
          <w:lang w:bidi="ar-SA"/>
        </w:rPr>
        <w:t>من مرضي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یصحّ التدبير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يعلّق العتق بالموت بلا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مقيّداً بشرط مثل أن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 حتف أنفي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 في مرضي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سفري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متّ فأنت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كان الاعتبار بالصيغة لا بما تقدّمها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 فأنت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على</w:t>
      </w:r>
    </w:p>
    <w:p>
      <w:pPr>
        <w:pStyle w:val="BookText"/>
        <w:rPr/>
      </w:pPr>
      <w:r>
        <w:rPr>
          <w:rFonts w:ascii="Amiri" w:hAnsi="Amiri" w:eastAsia="Amiri" w:cs="Amiri"/>
          <w:color w:val="111111"/>
          <w:sz w:val="28"/>
          <w:sz w:val="28"/>
          <w:szCs w:val="28"/>
          <w:rtl w:val="true"/>
          <w:lang w:bidi="ar-SA"/>
        </w:rPr>
        <w:t>الصفة المذكورة عتق وإلّا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كذا یصحّ تقييده بقيود متعدّدة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متّ في سنة كذا في مكّة حتف أنفي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ذلك، فيعتبر في عتقه اجتماع الشروط كلّها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ألحق الشيخ في المبسوط التدبير المقيّد بالمعلّق على الشرط، فحكم ببطلانهما</w:t>
      </w:r>
      <w:r>
        <w:rPr>
          <w:rStyle w:val="FootnoteAnchor"/>
          <w:rtl w:val="true"/>
        </w:rPr>
        <w:footnoteReference w:id="1459"/>
      </w:r>
      <w:r>
        <w:rPr>
          <w:rFonts w:ascii="Amiri" w:hAnsi="Amiri" w:eastAsia="Amiri" w:cs="Amiri"/>
          <w:color w:val="111111"/>
          <w:sz w:val="28"/>
          <w:sz w:val="28"/>
          <w:szCs w:val="28"/>
          <w:rtl w:val="true"/>
          <w:lang w:bidi="ar-SA"/>
        </w:rPr>
        <w:t>نظراً إلى اشتراكهما في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مدبّر و اقتصر 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اختلف الأصحاب في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مقتصراً عليه هل هو صریح فيقع به التدبير وإن لم يقصده، أو كناية فيقع مع القصد، أو لايقع به مطلقاً؟على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المصنّف منها بالأخير، و هو قول الشيخ في الخلاف</w:t>
      </w:r>
      <w:r>
        <w:rPr>
          <w:rStyle w:val="FootnoteAnchor"/>
          <w:rtl w:val="true"/>
        </w:rPr>
        <w:footnoteReference w:id="1460"/>
      </w:r>
      <w:r>
        <w:rPr>
          <w:rFonts w:ascii="Amiri" w:hAnsi="Amiri" w:eastAsia="Amiri" w:cs="Amiri"/>
          <w:color w:val="111111"/>
          <w:sz w:val="28"/>
          <w:sz w:val="28"/>
          <w:szCs w:val="28"/>
          <w:rtl w:val="true"/>
          <w:lang w:bidi="ar-SA"/>
        </w:rPr>
        <w:t>لخلوّه عن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 و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لايكاد يستعمل عند استعمال العقد إلّا مع التعرّض للحرّيّة، و لأنّه إمّا عتق بصفة أو وصيّة به، و كلاهما يفتقر إلى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فلأنّ الوصيّة لا بدّ لها من ذكر متعلّقها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يقع بذلك؛ لأنّه صريح فيه ؛ لأنّ التدبير ظاهر في معناه مشهور عند كلّ أحد ، كما أنّ البيع و غيره ظاهر في معناه، حتّى أنّ التدبير كان معروفاً في الجاهليّة و قرّره الشرع و لم يستعمل في معنى آخر حتّى يكون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الشيخ في المبسوط</w:t>
      </w:r>
      <w:r>
        <w:rPr>
          <w:rStyle w:val="FootnoteAnchor"/>
          <w:rtl w:val="true"/>
        </w:rPr>
        <w:footnoteReference w:id="1461"/>
      </w:r>
      <w:r>
        <w:rPr>
          <w:rFonts w:ascii="Amiri" w:hAnsi="Amiri" w:eastAsia="Amiri" w:cs="Amiri"/>
          <w:color w:val="111111"/>
          <w:sz w:val="28"/>
          <w:sz w:val="28"/>
          <w:szCs w:val="28"/>
          <w:rtl w:val="true"/>
          <w:lang w:bidi="ar-SA"/>
        </w:rPr>
        <w:t>و العلّامة</w:t>
      </w:r>
      <w:r>
        <w:rPr>
          <w:rStyle w:val="FootnoteAnchor"/>
          <w:rtl w:val="true"/>
        </w:rPr>
        <w:footnoteReference w:id="14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المملوك لشريكين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متنا فأنت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قول كلّ واحدٍ منهما إلى نصيبه و صحّ التدبير، و لم يكن معلّقاً على شرط، و ينعتق بموتهما إن خرج نصيب كلّ واحد من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خرج نصيب أحدهما تحرّر و بقي نصیب الآخر 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مات أحدهما تحرّر نصيبه من ثلثه و بقي نصيب الآخر رقّاً حتى يموت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كناية یصحّ مع النیّة لا بدونها، أي مع إرادة اللافظ به استعماله في العتق بعد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اختيار ابن الجنيد</w:t>
      </w:r>
      <w:r>
        <w:rPr>
          <w:rStyle w:val="FootnoteAnchor"/>
          <w:rtl w:val="true"/>
        </w:rPr>
        <w:footnoteReference w:id="1463"/>
      </w:r>
      <w:r>
        <w:rPr>
          <w:rFonts w:ascii="IRNazanin" w:hAnsi="IRNazanin" w:eastAsia="IRNazanin"/>
          <w:color w:val="111111"/>
          <w:sz w:val="28"/>
          <w:sz w:val="28"/>
          <w:szCs w:val="28"/>
          <w:rtl w:val="true"/>
          <w:lang w:bidi="fa-IR"/>
        </w:rPr>
        <w:t>و ابن البرّاج</w:t>
      </w:r>
      <w:r>
        <w:rPr>
          <w:rStyle w:val="FootnoteAnchor"/>
          <w:rtl w:val="true"/>
        </w:rPr>
        <w:footnoteReference w:id="1464"/>
      </w:r>
      <w:r>
        <w:rPr>
          <w:rFonts w:ascii="Amiri" w:hAnsi="Amiri" w:eastAsia="Amiri" w:cs="Amiri"/>
          <w:color w:val="111111"/>
          <w:sz w:val="28"/>
          <w:sz w:val="28"/>
          <w:szCs w:val="28"/>
          <w:rtl w:val="true"/>
          <w:lang w:bidi="ar-SA"/>
        </w:rPr>
        <w:t>لأنّ فيه جمعاً بين الدليلين، و لأصالة بقاء الرقّيّة إلى أن يثبت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لايقع بالكنايات عندنا كنظائره، و الأدلّة متعارضة لايجتمع بذلك، و الأصالة عند مجوّزه انقطعت بالصيغة المخرجة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الوسط 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المملوك لشريكين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متنا فأنت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قول كلّ واحدٍ منهما إلى نصيبه و صحّ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الشريكان للعبد المشترك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متنا فأنت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فلايخلو إمّا أن يقصدا بذلك تدبير كلّ منهما نصيبه و تعليق عتقه على موته خاصّةً، أو تعليق كلّ واحدٍ من النصيبين على موتهما معاً، أو يطلقا اللفظ كذلك و لايقصدا واحداً معيّناً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 لا إشكال في صحّة التدبير، و لايرتبط عتق أحد النصيبين بالآخر، بل يكونان بمنزلة ما لو دبّر أحدهما نصيبه بلفظ مختصّ به و 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متنا فأنت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إتياناً بصيغة التدبير في نصيبه و تعليقاً له على موته منضمّاً إلى الإخبار بما يطابق الواقع، فإنّه على تقدير موتهما يعتق جميعه؛ لوقوع التدبيرين، و لايقدح هذه الضميمة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ماتا معاً انعتق النصيبان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مات أحدهما قبل الآخر عتق نصيب الميّت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بشرطه و بقي نصيب الآخر موقوفاً على موته، و الكسب المتخلّل بين الموتين مشترك بين المدبّر و المالك الحيّ بنسبة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قصدا تعليق عتقه على موتهما معاً بحيث لايعتق منه شيء مع موت أحدهما بني الحكم بالصحّة على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جواز تعليق التدبير على وفاة غير المولى مع الملابسة أو مطلقاً، أو جواز تعليق العتق على الشرط كما اختاره القاضي</w:t>
      </w:r>
      <w:r>
        <w:rPr>
          <w:rStyle w:val="FootnoteAnchor"/>
          <w:rtl w:val="true"/>
        </w:rPr>
        <w:footnoteReference w:id="1465"/>
      </w:r>
      <w:r>
        <w:rPr>
          <w:rFonts w:ascii="Amiri" w:hAnsi="Amiri" w:eastAsia="Amiri" w:cs="Amiri"/>
          <w:color w:val="111111"/>
          <w:sz w:val="28"/>
          <w:sz w:val="28"/>
          <w:szCs w:val="28"/>
          <w:rtl w:val="true"/>
          <w:lang w:bidi="ar-SA"/>
        </w:rPr>
        <w:t>و ابن الجنيد</w:t>
      </w:r>
      <w:r>
        <w:rPr>
          <w:rStyle w:val="FootnoteAnchor"/>
          <w:rtl w:val="true"/>
        </w:rPr>
        <w:footnoteReference w:id="1466"/>
      </w:r>
      <w:r>
        <w:rPr>
          <w:rFonts w:ascii="Amiri" w:hAnsi="Amiri" w:eastAsia="Amiri" w:cs="Amiri"/>
          <w:color w:val="111111"/>
          <w:sz w:val="28"/>
          <w:sz w:val="28"/>
          <w:szCs w:val="28"/>
          <w:rtl w:val="true"/>
          <w:lang w:bidi="ar-SA"/>
        </w:rPr>
        <w:t>، فإن أجزنا ذلك صحّ أيضاً، و كان التدبير على الأوّل معلّقاً بموتهما معاً، فإن ماتا دفعةً انعتق لحصول الشرط، وإن ماتا على الترتيب بقي رقّاً إلى أن يموت الآخر، و هو بين الموتين للورثة و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نُجز الأوّل و أجزنا الثاني كان عتقاً بشرط، و حكمه كالسابق إلّا أنه ليس تدبيراً، بل عتق معلّق على شرط لايتمّ إلّا بموتهما، و للورثة بين الموتين التصرّف فيه بما لايزيل الملك كالاستخدام و الإجارة، و ليس لهم بيعه؛ لأنّه صار مستحقّ العتق بموت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جوازه لو جعلناه تدبيراً نظر، من جواز الرجوع في التدبير و هذا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الإرشاد جزم بعدم جوازه</w:t>
      </w:r>
      <w:r>
        <w:rPr>
          <w:rStyle w:val="FootnoteAnchor"/>
          <w:rtl w:val="true"/>
        </w:rPr>
        <w:footnoteReference w:id="1467"/>
      </w:r>
      <w:r>
        <w:rPr>
          <w:rFonts w:ascii="Amiri" w:hAnsi="Amiri" w:eastAsia="Amiri" w:cs="Amiri"/>
          <w:color w:val="111111"/>
          <w:sz w:val="28"/>
          <w:sz w:val="28"/>
          <w:szCs w:val="28"/>
          <w:rtl w:val="true"/>
          <w:lang w:bidi="ar-SA"/>
        </w:rPr>
        <w:t>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نجوّز التدبير معلّقاً على موت الغير مطلقاً أو الملابس، إمّا بأن منعنا من تعليقه على موت غير المولى مطلقاً، أو أجزناه بموت الزوج و المخدوم كما اختاره المصنّف، كان لفظهما لاغياً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أطلقا اللفظ فلم يقصدا به أحد الأمرين ففي حمله على أيّهما قولان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اختاره المصنّف و قبله الشيخ في المبسوط</w:t>
      </w:r>
      <w:r>
        <w:rPr>
          <w:rStyle w:val="FootnoteAnchor"/>
          <w:rtl w:val="true"/>
        </w:rPr>
        <w:footnoteReference w:id="1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على الأوّل؛ </w:t>
      </w:r>
      <w:bookmarkStart w:id="454" w:name="pg10270_80437"/>
    </w:p>
    <w:p>
      <w:pPr>
        <w:pStyle w:val="BookText"/>
        <w:rPr/>
      </w:pPr>
      <w:bookmarkEnd w:id="454"/>
      <w:r>
        <w:rPr>
          <w:rFonts w:ascii="Amiri" w:hAnsi="Amiri" w:eastAsia="Amiri" w:cs="Amiri"/>
          <w:color w:val="111111"/>
          <w:sz w:val="28"/>
          <w:sz w:val="28"/>
          <w:szCs w:val="28"/>
          <w:rtl w:val="true"/>
          <w:lang w:bidi="ar-SA"/>
        </w:rPr>
        <w:t>ويشترط في الصيغة المذكورة شرطان</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3860304_1067777946"/>
      <w:bookmarkStart w:id="456" w:name="_Toc166"/>
      <w:bookmarkEnd w:id="455"/>
      <w:r>
        <w:rPr>
          <w:rtl w:val="true"/>
        </w:rPr>
        <w:t>يشترط في الصيغة التدبیر النیّة</w:t>
      </w:r>
      <w:bookmarkEnd w:id="45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حكم لعبارة الساهي و لا الغالط و لا السكران و لا المكره الذي لا قصد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اشتراط نیّة القربة تردّد، و الوجه أنّه غير مشترط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اللفظ كما هو صالح لتعليق العتق على شرط فهو صالح أيضاً لتعليق نصيب كلّ منهما على وفاة نفسه، فيحمل على الصحيح؛ صوناً لكلامه عن الهذر، و ترجيحاً لجانب الصحّة الموافق لغرض الشارع مع إمكان حمله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الثاني</w:t>
      </w:r>
      <w:r>
        <w:rPr>
          <w:rStyle w:val="FootnoteAnchor"/>
          <w:rtl w:val="true"/>
        </w:rPr>
        <w:footnoteReference w:id="1469"/>
      </w:r>
      <w:r>
        <w:rPr>
          <w:rFonts w:ascii="Amiri" w:hAnsi="Amiri" w:eastAsia="Amiri" w:cs="Amiri"/>
          <w:color w:val="111111"/>
          <w:sz w:val="28"/>
          <w:sz w:val="28"/>
          <w:szCs w:val="28"/>
          <w:rtl w:val="true"/>
          <w:lang w:bidi="ar-SA"/>
        </w:rPr>
        <w:t>لظهور معناه فيه؛ لأنّ اللفظ إنشاء و لايتحقّق بالنسبة إلى موت الآخر إلّا بتعليقه عليه، بخلاف الحمل على السابق، فإنّه يكون إنشاءً بالنسبة إلى تعليق عتق نصيبه على وفاة نفسه، و إخباراً بالنسبة إلى الحكم بعتقه أجمع على تقدير وفاتهما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على تقدير حمله عليه يترتّب عليه ما يلزم الأصل من الصحّة و البطلان، فعلى المشهور يبطل، و على غيره یصحّ، و هو خيرة العلّامة في الإرشاد</w:t>
      </w:r>
      <w:r>
        <w:rPr>
          <w:rStyle w:val="FootnoteAnchor"/>
          <w:rtl w:val="true"/>
        </w:rPr>
        <w:footnoteReference w:id="1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التحرير حكم بالبطلان</w:t>
      </w:r>
      <w:r>
        <w:rPr>
          <w:rStyle w:val="FootnoteAnchor"/>
          <w:rtl w:val="true"/>
        </w:rPr>
        <w:footnoteReference w:id="1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كلامه في القواعد، ففي أوّل المسألة حكم بالصحّة و التنزيل على المعنى الأوّل الصحيح</w:t>
      </w:r>
      <w:r>
        <w:rPr>
          <w:rStyle w:val="FootnoteAnchor"/>
          <w:rtl w:val="true"/>
        </w:rPr>
        <w:footnoteReference w:id="1472"/>
      </w:r>
      <w:r>
        <w:rPr>
          <w:rFonts w:ascii="Amiri" w:hAnsi="Amiri" w:eastAsia="Amiri" w:cs="Amiri"/>
          <w:color w:val="111111"/>
          <w:sz w:val="28"/>
          <w:sz w:val="28"/>
          <w:szCs w:val="28"/>
          <w:rtl w:val="true"/>
          <w:lang w:bidi="ar-SA"/>
        </w:rPr>
        <w:t>، و في آخرها خصّ الصحّة بما إذا قصد توزيع الأجزاء على الأجزاء</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الشهيد في الدروس اقتصر على بيان حكم المسألة على تقدير القصدين</w:t>
      </w:r>
      <w:r>
        <w:rPr>
          <w:rStyle w:val="FootnoteAnchor"/>
          <w:rtl w:val="true"/>
        </w:rPr>
        <w:footnoteReference w:id="1474"/>
      </w:r>
      <w:r>
        <w:rPr>
          <w:rFonts w:ascii="Amiri" w:hAnsi="Amiri" w:eastAsia="Amiri" w:cs="Amiri"/>
          <w:color w:val="111111"/>
          <w:sz w:val="28"/>
          <w:sz w:val="28"/>
          <w:szCs w:val="28"/>
          <w:rtl w:val="true"/>
          <w:lang w:bidi="ar-SA"/>
        </w:rPr>
        <w:t>، ولم يتعرّض للإطلاق الذي هو موضع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اشتراط نيّة القربة تردّد، و الوجه أنّه غير مشترط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مبنى الحكم على أنّ التدبير هل هو وصيّة أو عتق بشرط؟ فعلى الأوّل لايشترط فيه نیّة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القربة كغيره من الوصايا</w:t>
      </w:r>
      <w:r>
        <w:rPr>
          <w:rFonts w:eastAsia="Amiri" w:cs="Amiri" w:ascii="Amiri" w:hAnsi="Amiri"/>
          <w:color w:val="111111"/>
          <w:sz w:val="28"/>
          <w:szCs w:val="28"/>
          <w:rtl w:val="true"/>
          <w:lang w:bidi="ar-SA"/>
        </w:rPr>
        <w:t xml:space="preserve">. </w:t>
      </w:r>
      <w:bookmarkStart w:id="457" w:name="pg10270_80438"/>
    </w:p>
    <w:p>
      <w:pPr>
        <w:pStyle w:val="Heading4"/>
        <w:numPr>
          <w:ilvl w:val="3"/>
          <w:numId w:val="1"/>
        </w:numPr>
        <w:rPr/>
      </w:pPr>
      <w:bookmarkStart w:id="458" w:name="__RefHeading___Toc3860306_1067777946"/>
      <w:bookmarkStart w:id="459" w:name="_Toc167"/>
      <w:bookmarkEnd w:id="457"/>
      <w:bookmarkEnd w:id="458"/>
      <w:r>
        <w:rPr>
          <w:rtl w:val="true"/>
        </w:rPr>
        <w:t>يشترط في الصيغة التدبیر تجريدها عن الشرط و الصفة</w:t>
      </w:r>
      <w:bookmarkEnd w:id="459"/>
    </w:p>
    <w:p>
      <w:pPr>
        <w:pStyle w:val="BookText"/>
        <w:rPr/>
      </w:pPr>
      <w:r>
        <w:rPr>
          <w:rFonts w:ascii="Amiri" w:hAnsi="Amiri" w:eastAsia="Amiri" w:cs="Amiri"/>
          <w:color w:val="111111"/>
          <w:sz w:val="28"/>
          <w:sz w:val="28"/>
          <w:szCs w:val="28"/>
          <w:rtl w:val="true"/>
          <w:lang w:bidi="ar-SA"/>
        </w:rPr>
        <w:t>الشرط الثاني • تجريدها عن الشرط و الصفة في قول مشهور للأصحاب 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قدم المسافر فأنت حرّ بعد وفاتى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أهلّ شهر رمضان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وفاتي بسنة أو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أدّيت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ولدي كذا فأنت حرّ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تدبيراً و لا كتابة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الثاني يبنى على أنّ العتق هل يعتبر فيه نیّة القربة أم لا؟ و قد تقدّم الخلاف فيه</w:t>
      </w:r>
      <w:r>
        <w:rPr>
          <w:rStyle w:val="FootnoteAnchor"/>
          <w:rtl w:val="true"/>
        </w:rPr>
        <w:footnoteReference w:id="1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عدم اشتراطها فيه؛ لما سيأتي من ترجيح كونه وصيّة بالعتق</w:t>
      </w:r>
      <w:r>
        <w:rPr>
          <w:rStyle w:val="FootnoteAnchor"/>
          <w:rtl w:val="true"/>
        </w:rPr>
        <w:footnoteReference w:id="1476"/>
      </w:r>
      <w:r>
        <w:rPr>
          <w:rFonts w:ascii="Amiri" w:hAnsi="Amiri" w:eastAsia="Amiri" w:cs="Amiri"/>
          <w:color w:val="111111"/>
          <w:sz w:val="28"/>
          <w:sz w:val="28"/>
          <w:szCs w:val="28"/>
          <w:rtl w:val="true"/>
          <w:lang w:bidi="ar-SA"/>
        </w:rPr>
        <w:t>، أو لأنّه حكم مستقلّ برأسه و إن أشبههما، و لا دليل على اشتراطها فيه، و الأصل يقتضي العدم و صحّته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تجريدها عن الشرط و الصفة في قول مشهور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دليل صالح عليه كما تقدّم مراراً في نظائره</w:t>
      </w:r>
      <w:r>
        <w:rPr>
          <w:rStyle w:val="FootnoteAnchor"/>
          <w:rtl w:val="true"/>
        </w:rPr>
        <w:footnoteReference w:id="1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صرّح بجوازه معلّقاً على الشرط و الصفة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تقدّم على الموت أم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بعد زمان معروف، أو فعل يجوز أن يكون و يجوز أن لايكون، و يتقدّم أو يتأخّر، كان له في جميع ذلك الرجوع و إبطال التدبير ما لم يكن ذلك الشيء الذي جعله شرطاً أو أجلاً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 له العتق بعد وقت من موت سيّده كان ذلك وصيّةً بعتقه في معنى التدبير، 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بنيت الدار أو قدم فلان فأنت حرّ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نذر التدبير لا تدبيراً، فإذا كان ذلك الشيء صار العبد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فأنت حرّ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تدبيراً إن شاء العبد ذلك</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 كتابه الأحمدي كثيراً من هذه الفروع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المدبّرة رقّ، له وطؤها و التصرّف فيها، فإن حملت منه لم يبطل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لومات مولاها عتقت بوفاته من الثلث، و إن عجز الثلث عتق ما يبقى فيها من نصيب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حملت بمملوك، سواء كان عن عقد أو زنى أو شبهة، كان مدبّراً كأُمّه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رجع المولى في تدبيرها لم يكن له الرجوع في تدبير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المدبّر إذا أتى بولد مملوك فهو مدبّر كأبيه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المختلف أنكر ذلك كلّه، و ادّعى الإجماع على بطلان العتق المعلّق بالشرط</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الإجماع ممنوع و الدليل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المدبّرة رقّ له وطؤها و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ثلثه المدبّر لايخرج عن ملك مولاه بالتدبير سواء جعلناه وصيّةً أم عتقاً معلّقاً؛ لعدم حصول شرطه ما دام حيّاً فلمولاه التصرّف فيه بالاستخدام و غيره، و لو كان أمةً فله وطؤها كما له التصرّف بغيره، و لجواز وطء المستولدة و حقّ العتق فيها آكد لتحريم بيعها في الجملة إجماعاً، بخلاف المدبّرة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حملت منه اجتمع لها سببان للعتق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التدبير و الاستيلاد، و الأوّل أسبق، و العتق فيهما متوقّف على موت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و الولد حيّ عتقت من بالسبب السابق، فإن لم يف الثلث بها عتق الباقي بالسبب الآخر، فيحتسب من نصيب ولدها و تعتق إن وفي، و إلا استسعت في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دلّ على جواز وطئها رواية أبي مريم عن أبي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الرجل يعتق جاريته عن دبر أ يطؤها إن شاء أو ينكحها أو يبيع خدمتها في حياته؟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أيّ ذلك شاء فعل</w:t>
      </w:r>
      <w:r>
        <w:rPr>
          <w:rFonts w:eastAsia="IRNazanin" w:cs="IRNazanin"/>
          <w:color w:val="111111"/>
          <w:sz w:val="28"/>
          <w:szCs w:val="28"/>
          <w:rtl w:val="true"/>
          <w:lang w:bidi="fa-IR"/>
        </w:rPr>
        <w:t>»</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حملت بمملوك ، سواء كان عن عقد أو زنى أو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حملت المدبّرة بعد التدبير بولد يدخل في ملك مولاها تبعها في التدبير؛ للأخبار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الكثيرة الدالّة على ذلك</w:t>
      </w:r>
      <w:r>
        <w:rPr>
          <w:rStyle w:val="FootnoteAnchor"/>
          <w:rtl w:val="true"/>
        </w:rPr>
        <w:footnoteReference w:id="1481"/>
      </w:r>
      <w:r>
        <w:rPr>
          <w:rFonts w:ascii="IRNazanin" w:hAnsi="IRNazanin" w:eastAsia="IRNazanin"/>
          <w:color w:val="111111"/>
          <w:sz w:val="28"/>
          <w:sz w:val="28"/>
          <w:szCs w:val="28"/>
          <w:rtl w:val="true"/>
          <w:lang w:bidi="fa-IR"/>
        </w:rPr>
        <w:t>، سواء كان الولد من عقدٍ أم شبهةٍ أم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في الأوّلين ظاهر لأنّه ملحق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الأخير فيشكل مع علمها بالتحريم؛ لانتفائه عنها شرعاً، إلّا أنّه لمّا صدق عليه كونه ولدها لغةً، و كان جانب الماليّة و الحيوانیّة مغلّباً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كان الولد لمولاها دون مولى الزاني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الشيخ</w:t>
      </w:r>
      <w:r>
        <w:rPr>
          <w:rStyle w:val="FootnoteAnchor"/>
          <w:rtl w:val="true"/>
        </w:rPr>
        <w:footnoteReference w:id="1482"/>
      </w:r>
      <w:r>
        <w:rPr>
          <w:rFonts w:ascii="Amiri" w:hAnsi="Amiri" w:eastAsia="Amiri" w:cs="Amiri"/>
          <w:color w:val="111111"/>
          <w:sz w:val="28"/>
          <w:sz w:val="28"/>
          <w:szCs w:val="28"/>
          <w:rtl w:val="true"/>
          <w:lang w:bidi="ar-SA"/>
        </w:rPr>
        <w:t>، و المصنّف تبعيّته لها في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ولدت فهم بمنزلتها</w:t>
      </w:r>
      <w:r>
        <w:rPr>
          <w:rFonts w:eastAsia="Amiri" w:cs="Amiri" w:ascii="Amiri" w:hAnsi="Amiri"/>
          <w:color w:val="111111"/>
          <w:sz w:val="28"/>
          <w:szCs w:val="28"/>
          <w:rtl w:val="true"/>
          <w:lang w:bidi="ar-SA"/>
        </w:rPr>
        <w:t>»</w:t>
      </w:r>
      <w:r>
        <w:rPr>
          <w:rStyle w:val="FootnoteAnchor"/>
          <w:rtl w:val="true"/>
        </w:rPr>
        <w:footnoteReference w:id="1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في أنّه يصدق على مولودها من الزنى أنّها ولدته وإن لم يلحق بها في باقي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كذا القول في ولد المدبّر إذا كانوا مملوكين لمولاه، بأن ولدوا من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مدبّرة كانت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غيرها و قد شرط مولاه رقّيتهم الصحيحة بريد بن معاوية عن أبي جعفر علیه السلام في رجل دبّر مملوكاً له تاجراً موسراً فاشترى المدبّر جاريةً فمات قبل سيّده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 أنّ جميع ما ترك المدبّر من مال أو متاع فهو للذي دبّره، و أرى أن أُمّ ولده للذي دبّره، و أرى أنّها و ولدها مدبّرون كهيئة أبيهم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مات الذي دبّر أباهم فهم أحرار</w:t>
      </w:r>
      <w:r>
        <w:rPr>
          <w:rFonts w:eastAsia="IRNazanin" w:cs="IRNazanin"/>
          <w:color w:val="111111"/>
          <w:sz w:val="28"/>
          <w:szCs w:val="28"/>
          <w:rtl w:val="true"/>
          <w:lang w:bidi="fa-IR"/>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استمرّ المولى على تدبير الأمّ أو الأب فلا إشكال في تبعيّة الأولاد لهما في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 في تدبير الأُمّ أو الأب جاز أيضاً؛ لعموم الأدلّة الدالّة على جواز الرجوع في التدبير ما دام حيّاً</w:t>
      </w:r>
      <w:r>
        <w:rPr>
          <w:rStyle w:val="FootnoteAnchor"/>
          <w:rtl w:val="true"/>
        </w:rPr>
        <w:footnoteReference w:id="1485"/>
      </w:r>
      <w:r>
        <w:rPr>
          <w:rFonts w:ascii="Amiri" w:hAnsi="Amiri" w:eastAsia="Amiri" w:cs="Amiri"/>
          <w:color w:val="111111"/>
          <w:sz w:val="28"/>
          <w:sz w:val="28"/>
          <w:szCs w:val="28"/>
          <w:rtl w:val="true"/>
          <w:lang w:bidi="ar-SA"/>
        </w:rPr>
        <w:t>، فإذا رجع فيهما فهل له الرجوع في الأولاد، أو له الرجوع في الأولاد منفردين؟ قال الشيخ</w:t>
      </w:r>
      <w:r>
        <w:rPr>
          <w:rStyle w:val="FootnoteAnchor"/>
          <w:rtl w:val="true"/>
        </w:rPr>
        <w:footnoteReference w:id="1486"/>
      </w:r>
      <w:r>
        <w:rPr>
          <w:rFonts w:ascii="IRNazanin" w:hAnsi="IRNazanin" w:eastAsia="IRNazanin"/>
          <w:color w:val="111111"/>
          <w:sz w:val="28"/>
          <w:sz w:val="28"/>
          <w:szCs w:val="28"/>
          <w:rtl w:val="true"/>
          <w:lang w:bidi="fa-IR"/>
        </w:rPr>
        <w:t>و أتباعه</w:t>
      </w:r>
      <w:r>
        <w:rPr>
          <w:rStyle w:val="FootnoteAnchor"/>
          <w:rtl w:val="true"/>
        </w:rPr>
        <w:footnoteReference w:id="1487"/>
      </w:r>
      <w:r>
        <w:rPr>
          <w:rFonts w:ascii="Amiri" w:hAnsi="Amiri" w:eastAsia="Amiri" w:cs="Amiri"/>
          <w:color w:val="111111"/>
          <w:sz w:val="28"/>
          <w:sz w:val="28"/>
          <w:szCs w:val="28"/>
          <w:rtl w:val="true"/>
          <w:lang w:bidi="ar-SA"/>
        </w:rPr>
        <w:t>و المصنّف في النافع</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هنا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نسبه إلى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لايجوز الرجوع فيهم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لصحيحة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دبّر مملوكته ثمّ زوّجها من رجل آخر فولدت منه أولاداً ثمّ مات زوجها و ترك أولاده منها،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أولاده منها كهيئتها إذا مات الذي دبّر أُمّهم فهم أحرار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يجوز للذي دبّر أُمّهم أن يردّ في تدبيره إذا احتاج؟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ماتت أُمّهم بعد ما مات الزوج و بقي أولادها من الزوج الحرّ أيجوز لسيّدها أن يبيع أولادها و يرجع عليهم في التدبير؟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إنّما كان له أن يرجع في تدبير أُمّهم إذا احتاج و رضيت هي بذلك</w:t>
      </w:r>
      <w:r>
        <w:rPr>
          <w:rFonts w:eastAsia="IRNazanin" w:cs="IRNazanin"/>
          <w:color w:val="111111"/>
          <w:sz w:val="28"/>
          <w:szCs w:val="28"/>
          <w:rtl w:val="true"/>
          <w:lang w:bidi="fa-IR"/>
        </w:rPr>
        <w:t>».</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و لأنّه إنّما يرجع فيما دبّره و تدبير الأولاد حصل بالسراية لا باختياره فلايملك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الشيخ في الخلاف على ذلك إجماع الفرقة</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الرجوع</w:t>
      </w:r>
      <w:r>
        <w:rPr>
          <w:rStyle w:val="FootnoteAnchor"/>
          <w:rtl w:val="true"/>
        </w:rPr>
        <w:footnoteReference w:id="1491"/>
      </w:r>
      <w:r>
        <w:rPr>
          <w:rFonts w:ascii="Amiri" w:hAnsi="Amiri" w:eastAsia="Amiri" w:cs="Amiri"/>
          <w:color w:val="111111"/>
          <w:sz w:val="28"/>
          <w:sz w:val="28"/>
          <w:szCs w:val="28"/>
          <w:rtl w:val="true"/>
          <w:lang w:bidi="ar-SA"/>
        </w:rPr>
        <w:t>و تبعه العلّامة</w:t>
      </w:r>
      <w:r>
        <w:rPr>
          <w:rStyle w:val="FootnoteAnchor"/>
          <w:rtl w:val="true"/>
        </w:rPr>
        <w:footnoteReference w:id="1492"/>
      </w:r>
      <w:r>
        <w:rPr>
          <w:rFonts w:ascii="IRNazanin" w:hAnsi="IRNazanin" w:eastAsia="IRNazanin"/>
          <w:color w:val="111111"/>
          <w:sz w:val="28"/>
          <w:sz w:val="28"/>
          <w:szCs w:val="28"/>
          <w:rtl w:val="true"/>
          <w:lang w:bidi="fa-IR"/>
        </w:rPr>
        <w:t>، و ولده</w:t>
      </w:r>
      <w:r>
        <w:rPr>
          <w:rStyle w:val="FootnoteAnchor"/>
          <w:rtl w:val="true"/>
        </w:rPr>
        <w:footnoteReference w:id="1493"/>
      </w:r>
      <w:r>
        <w:rPr>
          <w:rFonts w:ascii="Amiri" w:hAnsi="Amiri" w:eastAsia="Amiri" w:cs="Amiri"/>
          <w:color w:val="111111"/>
          <w:sz w:val="28"/>
          <w:sz w:val="28"/>
          <w:szCs w:val="28"/>
          <w:rtl w:val="true"/>
          <w:lang w:bidi="ar-SA"/>
        </w:rPr>
        <w:t>و الشهيد</w:t>
      </w:r>
      <w:r>
        <w:rPr>
          <w:rStyle w:val="FootnoteAnchor"/>
          <w:rtl w:val="true"/>
        </w:rPr>
        <w:footnoteReference w:id="1494"/>
      </w:r>
      <w:r>
        <w:rPr>
          <w:rFonts w:ascii="Amiri" w:hAnsi="Amiri" w:eastAsia="Amiri" w:cs="Amiri"/>
          <w:color w:val="111111"/>
          <w:sz w:val="28"/>
          <w:sz w:val="28"/>
          <w:szCs w:val="28"/>
          <w:rtl w:val="true"/>
          <w:lang w:bidi="ar-SA"/>
        </w:rPr>
        <w:t>و أكثر المتأخّرين؛ لعموم الأدلّة الدالّة على جواز الرجوع في التدبير</w:t>
      </w:r>
      <w:r>
        <w:rPr>
          <w:rStyle w:val="FootnoteAnchor"/>
          <w:rtl w:val="true"/>
        </w:rPr>
        <w:footnoteReference w:id="1495"/>
      </w:r>
      <w:r>
        <w:rPr>
          <w:rFonts w:ascii="Amiri" w:hAnsi="Amiri" w:eastAsia="Amiri" w:cs="Amiri"/>
          <w:color w:val="111111"/>
          <w:sz w:val="28"/>
          <w:sz w:val="28"/>
          <w:szCs w:val="28"/>
          <w:rtl w:val="true"/>
          <w:lang w:bidi="ar-SA"/>
        </w:rPr>
        <w:t>، و لأنّ تدبير الولد فرع تدبير الأبوين فلايزيد الفرع على أصله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القدح في العموم المدّعى، فإنّ الرواية الصحيحة أخرجت 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بالفرق بين حكم الفرع و الأصل، فإنّ تدبير الأصل بفعل المالك فجاز له الرجوع في وصيّته، بخلاف الولد، فإنّ حكم تدبيرهم قسري فلا اختيار له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دبّرها ثمّ رجع في تدبيرها، فأتت بولد لستّة أشهر فصاعداً من حين رجوعه لم يكن مدبّراً؛ لاحتمال تجدّده، و لو كان لدون ستّة أشهر كان مدبّراً؛ لتحقّق الحمل بعد التدبير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دبّرها حاملاً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 بالحمل فهو مدبّر، وإلّا فهو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مدبّراً؛ لأنّه لم يقصد بالتدبير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القدح في الرواية من حيث اشتمالها على كون أبيهم حرّاً و هو يوجب تبعيّتهم</w:t>
      </w:r>
    </w:p>
    <w:p>
      <w:pPr>
        <w:pStyle w:val="BookText"/>
        <w:rPr/>
      </w:pPr>
      <w:r>
        <w:rPr>
          <w:rFonts w:ascii="Amiri" w:hAnsi="Amiri" w:eastAsia="Amiri" w:cs="Amiri"/>
          <w:color w:val="111111"/>
          <w:sz w:val="28"/>
          <w:sz w:val="28"/>
          <w:szCs w:val="28"/>
          <w:rtl w:val="true"/>
          <w:lang w:bidi="ar-SA"/>
        </w:rPr>
        <w:t>له فيها، و حملها على اشتراط الرقّيّة قد تقدّم في النكاح ما يدلّ على ضعفه</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دبّرها ثمّ رجع في تدبيرها، فأتت بولد لستّة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دبّرها ثمّ رجع في تدبيرها فأتت بولد لدون ستّة أشهر من حين الرجوع و لم يتجاوز أقصى الحمل من حين التدبير فلا إشكال في بقائه على التدبير؛ لتحقّق علوقها به في زمن التدبير كما لا إشكال في انتفاء تدبيره لو ولدته لأقصى الحمل فصاعداً من حين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ولدت فيما بين ذلك فقد أطلق المصنّف و الجماعة</w:t>
      </w:r>
      <w:r>
        <w:rPr>
          <w:rStyle w:val="FootnoteAnchor"/>
          <w:rtl w:val="true"/>
        </w:rPr>
        <w:footnoteReference w:id="1497"/>
      </w:r>
      <w:r>
        <w:rPr>
          <w:rFonts w:ascii="Amiri" w:hAnsi="Amiri" w:eastAsia="Amiri" w:cs="Amiri"/>
          <w:color w:val="111111"/>
          <w:sz w:val="28"/>
          <w:sz w:val="28"/>
          <w:szCs w:val="28"/>
          <w:rtl w:val="true"/>
          <w:lang w:bidi="ar-SA"/>
        </w:rPr>
        <w:t>أنّه لايكون مدبّراً؛ لاحتمال تجدّده بعد الرجوع، و لم يفرّقوا بين ما إذا كانت فراشاً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أصالة عدم تقدّمه، و أصالة بقائه على ملك المالك التامّ و تحت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الفرق بين الحالتين في مواضع</w:t>
      </w:r>
      <w:r>
        <w:rPr>
          <w:rStyle w:val="FootnoteAnchor"/>
          <w:rtl w:val="true"/>
        </w:rPr>
        <w:footnoteReference w:id="1498"/>
      </w:r>
      <w:r>
        <w:rPr>
          <w:rFonts w:ascii="Amiri" w:hAnsi="Amiri" w:eastAsia="Amiri" w:cs="Amiri"/>
          <w:color w:val="111111"/>
          <w:sz w:val="28"/>
          <w:sz w:val="28"/>
          <w:szCs w:val="28"/>
          <w:rtl w:val="true"/>
          <w:lang w:bidi="ar-SA"/>
        </w:rPr>
        <w:t>، و أنّه إذا لم يكن لها زوج يمكن تجدّده منه حكم بوجوده إلى أقصى الحمل؛ حملاً لحال المسلم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الأمرين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دبّرها حاملاً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 بالحمل فهو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الأصحاب أنّ الحمل لايتبع الحامل في شيء من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كالبيع و العتق </w:t>
      </w:r>
      <w:bookmarkStart w:id="460" w:name="pg10270_80443"/>
    </w:p>
    <w:p>
      <w:pPr>
        <w:pStyle w:val="Heading3"/>
        <w:numPr>
          <w:ilvl w:val="2"/>
          <w:numId w:val="1"/>
        </w:numPr>
        <w:rPr/>
      </w:pPr>
      <w:bookmarkStart w:id="461" w:name="__RefHeading___Toc3860308_1067777946"/>
      <w:bookmarkStart w:id="462" w:name="_Toc168"/>
      <w:bookmarkEnd w:id="460"/>
      <w:bookmarkEnd w:id="461"/>
      <w:r>
        <w:rPr>
          <w:rtl w:val="true"/>
        </w:rPr>
        <w:t>المقصد الثاني في المباشر</w:t>
      </w:r>
      <w:bookmarkEnd w:id="462"/>
    </w:p>
    <w:p>
      <w:pPr>
        <w:pStyle w:val="Heading4"/>
        <w:numPr>
          <w:ilvl w:val="3"/>
          <w:numId w:val="1"/>
        </w:numPr>
        <w:rPr/>
      </w:pPr>
      <w:bookmarkStart w:id="463" w:name="__RefHeading___Toc3860310_1067777946"/>
      <w:bookmarkStart w:id="464" w:name="_Toc169"/>
      <w:bookmarkEnd w:id="463"/>
      <w:r>
        <w:rPr>
          <w:rtl w:val="true"/>
        </w:rPr>
        <w:t>شروط المدبِّر</w:t>
      </w:r>
      <w:bookmarkEnd w:id="464"/>
    </w:p>
    <w:p>
      <w:pPr>
        <w:pStyle w:val="BookText"/>
        <w:rPr/>
      </w:pPr>
      <w:r>
        <w:rPr>
          <w:rFonts w:ascii="IRNazanin" w:hAnsi="IRNazanin" w:eastAsia="IRNazanin"/>
          <w:color w:val="111111"/>
          <w:sz w:val="28"/>
          <w:sz w:val="28"/>
          <w:szCs w:val="28"/>
          <w:rtl w:val="true"/>
          <w:lang w:bidi="fa-IR"/>
        </w:rPr>
        <w:t>و لایصحّ التدبير إلّا من بالغ عاقل قاصد مختار جائز 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التصريح بإدخاله، حتّى أنّ الشيخ مع حكمه بإلحاقه بها في البيع</w:t>
      </w:r>
      <w:r>
        <w:rPr>
          <w:rStyle w:val="FootnoteAnchor"/>
          <w:rtl w:val="true"/>
        </w:rPr>
        <w:footnoteReference w:id="1499"/>
      </w:r>
      <w:r>
        <w:rPr>
          <w:rFonts w:ascii="IRNazanin" w:hAnsi="IRNazanin" w:eastAsia="IRNazanin"/>
          <w:color w:val="111111"/>
          <w:sz w:val="28"/>
          <w:sz w:val="28"/>
          <w:szCs w:val="28"/>
          <w:rtl w:val="true"/>
          <w:lang w:bidi="fa-IR"/>
        </w:rPr>
        <w:t>و العتق</w:t>
      </w:r>
      <w:r>
        <w:rPr>
          <w:rStyle w:val="FootnoteAnchor"/>
          <w:rtl w:val="true"/>
        </w:rPr>
        <w:footnoteReference w:id="1500"/>
      </w:r>
      <w:r>
        <w:rPr>
          <w:rFonts w:ascii="Amiri" w:hAnsi="Amiri" w:eastAsia="Amiri" w:cs="Amiri"/>
          <w:color w:val="111111"/>
          <w:sz w:val="28"/>
          <w:sz w:val="28"/>
          <w:szCs w:val="28"/>
          <w:rtl w:val="true"/>
          <w:lang w:bidi="ar-SA"/>
        </w:rPr>
        <w:t>وافق فى المبسوط و الخلاف على عدم تبعيّته لها هنا</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ذهب في النهاية إلى أنّه مع العلم به يتبعها وإلّا فلا</w:t>
      </w:r>
      <w:r>
        <w:rPr>
          <w:rStyle w:val="FootnoteAnchor"/>
          <w:rtl w:val="true"/>
        </w:rPr>
        <w:footnoteReference w:id="1502"/>
      </w:r>
      <w:r>
        <w:rPr>
          <w:rFonts w:ascii="IRNazanin" w:hAnsi="IRNazanin" w:eastAsia="IRNazanin"/>
          <w:color w:val="111111"/>
          <w:sz w:val="28"/>
          <w:sz w:val="28"/>
          <w:szCs w:val="28"/>
          <w:rtl w:val="true"/>
          <w:lang w:bidi="fa-IR"/>
        </w:rPr>
        <w:t>استناداً إلى رواية الوشّاء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دبّر جاريته و هي حبلى،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علم بحبل الجارية فما في بطنها بمنزلتها، و إن كان لم يعلم فما في بطنها رقّ</w:t>
      </w:r>
      <w:r>
        <w:rPr>
          <w:rFonts w:eastAsia="IRNazanin" w:cs="IRNazanin"/>
          <w:color w:val="111111"/>
          <w:sz w:val="28"/>
          <w:szCs w:val="28"/>
          <w:rtl w:val="true"/>
          <w:lang w:bidi="fa-IR"/>
        </w:rPr>
        <w:t>»</w:t>
      </w:r>
      <w:r>
        <w:rPr>
          <w:rStyle w:val="FootnoteAnchor"/>
          <w:rtl w:val="true"/>
        </w:rPr>
        <w:footnoteReference w:id="1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بمضمونها كثير من المتقدّمين والمتأخّرين و نسبوها إلى الصحّة، و الحقّ أنّها من الحسن، و أنّ صحّتها إضافيّة كما مرّ؛ لأنّ رواية الحسن من الحسن</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المصنّف و العلّامة</w:t>
      </w:r>
      <w:r>
        <w:rPr>
          <w:rStyle w:val="FootnoteAnchor"/>
          <w:rtl w:val="true"/>
        </w:rPr>
        <w:footnoteReference w:id="1505"/>
      </w:r>
      <w:r>
        <w:rPr>
          <w:rFonts w:ascii="Amiri" w:hAnsi="Amiri" w:eastAsia="Amiri" w:cs="Amiri"/>
          <w:color w:val="111111"/>
          <w:sz w:val="28"/>
          <w:sz w:val="28"/>
          <w:szCs w:val="28"/>
          <w:rtl w:val="true"/>
          <w:lang w:bidi="ar-SA"/>
        </w:rPr>
        <w:t>و قبلهما الشيخ في المبسوط و الخلاف، و ابن إدريس</w:t>
      </w:r>
      <w:r>
        <w:rPr>
          <w:rStyle w:val="FootnoteAnchor"/>
          <w:rtl w:val="true"/>
        </w:rPr>
        <w:footnoteReference w:id="1506"/>
      </w:r>
      <w:r>
        <w:rPr>
          <w:rFonts w:ascii="IRNazanin" w:hAnsi="IRNazanin" w:eastAsia="IRNazanin"/>
          <w:color w:val="111111"/>
          <w:sz w:val="28"/>
          <w:sz w:val="28"/>
          <w:szCs w:val="28"/>
          <w:rtl w:val="true"/>
          <w:lang w:bidi="fa-IR"/>
        </w:rPr>
        <w:t>إلى عدم تبعيّته لها مطلقاً؛ للأصل، و انفصاله عنها حكماً كنظائره، و موثّقة عثمان بن عيسى عن الكاظم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امرأة دبّرت جاريةً لها فولدت الجارية جاريةً نفيسةً فلم تدر المرأة المولودة مدبّرة أو غير مدبّرة؟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كان الحمل للمدبّرة أقبل أن دبّرت أو بعد ما دبّرت؟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أدري ولكن أجبني فيهما جميعاً،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كانت المرأة دبّرت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دبّر الصبيّ لم يقع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مميّزاً له عشر سنين صحّ تدبيره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لایصحّ تدبير المجنون و لا المكره و لا السكران و لا الساهي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هل یصحّ التدبير من الكافر؟ الأشبه نعم، حربيّاً كان أو ذمّيّاً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بها حبل و لم تذكر ما في بطنها فالجارية مدبّرة و الولد رقّ، و إن كان إنّما حدث الحمل بعد التدبير فالولد مدبّر في تدبير أُمّه</w:t>
      </w:r>
      <w:r>
        <w:rPr>
          <w:rFonts w:eastAsia="Amiri" w:cs="Amiri" w:ascii="Amiri" w:hAnsi="Amiri"/>
          <w:color w:val="111111"/>
          <w:sz w:val="28"/>
          <w:szCs w:val="28"/>
          <w:rtl w:val="true"/>
          <w:lang w:bidi="ar-SA"/>
        </w:rPr>
        <w:t>»</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المسألة قول آخر</w:t>
      </w:r>
      <w:r>
        <w:rPr>
          <w:rStyle w:val="FootnoteAnchor"/>
          <w:rtl w:val="true"/>
        </w:rPr>
        <w:footnoteReference w:id="1508"/>
      </w:r>
      <w:r>
        <w:rPr>
          <w:rFonts w:ascii="Amiri" w:hAnsi="Amiri" w:eastAsia="Amiri" w:cs="Amiri"/>
          <w:color w:val="111111"/>
          <w:sz w:val="28"/>
          <w:sz w:val="28"/>
          <w:szCs w:val="28"/>
          <w:rtl w:val="true"/>
          <w:lang w:bidi="ar-SA"/>
        </w:rPr>
        <w:t>بسراية التدبير إلى الولد مطلقاً</w:t>
      </w:r>
      <w:r>
        <w:rPr>
          <w:rStyle w:val="FootnoteAnchor"/>
          <w:rtl w:val="true"/>
        </w:rPr>
        <w:footnoteReference w:id="1509"/>
      </w:r>
      <w:r>
        <w:rPr>
          <w:rFonts w:ascii="Amiri" w:hAnsi="Amiri" w:eastAsia="Amiri" w:cs="Amiri"/>
          <w:color w:val="111111"/>
          <w:sz w:val="28"/>
          <w:sz w:val="28"/>
          <w:szCs w:val="28"/>
          <w:rtl w:val="true"/>
          <w:lang w:bidi="ar-SA"/>
        </w:rPr>
        <w:t>، و القوّة في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دبّر الصبيّ لم يقع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مميّزاً له عشر سنين صحّ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المذكورة هي التي سبقت في جواز وصيّته و عتقه</w:t>
      </w:r>
      <w:r>
        <w:rPr>
          <w:rStyle w:val="FootnoteAnchor"/>
          <w:rtl w:val="true"/>
        </w:rPr>
        <w:footnoteReference w:id="1510"/>
      </w:r>
      <w:r>
        <w:rPr>
          <w:rFonts w:ascii="Amiri" w:hAnsi="Amiri" w:eastAsia="Amiri" w:cs="Amiri"/>
          <w:color w:val="111111"/>
          <w:sz w:val="28"/>
          <w:sz w:val="28"/>
          <w:szCs w:val="28"/>
          <w:rtl w:val="true"/>
          <w:lang w:bidi="ar-SA"/>
        </w:rPr>
        <w:t>، و التدبير منحصر فيهما، لا أنّ فيه بخصوصه رواية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الكلام على ذلك</w:t>
      </w:r>
      <w:r>
        <w:rPr>
          <w:rStyle w:val="FootnoteAnchor"/>
          <w:rtl w:val="true"/>
        </w:rPr>
        <w:footnoteReference w:id="1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عدم الصحّة فيه كالأصل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رجّح جواز وصيّته؛ عملاً بالأخبار الكثيرة</w:t>
      </w:r>
      <w:r>
        <w:rPr>
          <w:rStyle w:val="FootnoteAnchor"/>
          <w:rtl w:val="true"/>
        </w:rPr>
        <w:footnoteReference w:id="1512"/>
      </w:r>
      <w:r>
        <w:rPr>
          <w:rFonts w:ascii="Amiri" w:hAnsi="Amiri" w:eastAsia="Amiri" w:cs="Amiri"/>
          <w:color w:val="111111"/>
          <w:sz w:val="28"/>
          <w:sz w:val="28"/>
          <w:szCs w:val="28"/>
          <w:rtl w:val="true"/>
          <w:lang w:bidi="ar-SA"/>
        </w:rPr>
        <w:t>و تردّد في عتقه</w:t>
      </w:r>
      <w:r>
        <w:rPr>
          <w:rStyle w:val="FootnoteAnchor"/>
          <w:rtl w:val="true"/>
        </w:rPr>
        <w:footnoteReference w:id="1513"/>
      </w:r>
      <w:r>
        <w:rPr>
          <w:rFonts w:ascii="Amiri" w:hAnsi="Amiri" w:eastAsia="Amiri" w:cs="Amiri"/>
          <w:color w:val="111111"/>
          <w:sz w:val="28"/>
          <w:sz w:val="28"/>
          <w:szCs w:val="28"/>
          <w:rtl w:val="true"/>
          <w:lang w:bidi="ar-SA"/>
        </w:rPr>
        <w:t>و جزم هنا بعدم صحّة تدبيره، مع أنّه راجع إليهما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صنع العلّامة في الإرشاد في الوصيّة و التدبير</w:t>
      </w:r>
      <w:r>
        <w:rPr>
          <w:rStyle w:val="FootnoteAnchor"/>
          <w:rtl w:val="true"/>
        </w:rPr>
        <w:footnoteReference w:id="1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رجوعه إلى الرجوع أولى من تكلّف الفرق بما لايجدي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یصحّ التدبير من الكافر؟ الأشبه نعم، حربيّاً كان أو ذمّيّاً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مبنى الخلاف على أن التدبير وصيّة أو عتق، فعلى الأوّل یصحّ من الكافر مطلقاً؛ لعدم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دبّر المسلم ثمّ ارتدّ لم يبطل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في حال ردّته عتق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ارتداده لا عن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عن فطرة لم ينعتق المدبّر بوفاة المولى؛ الخروج ملكه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اشتراط نیّة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الثاني يبنى على اشتراطها في العتق و عدمه، و على أنّ المراد بها قصد التقرّب سواء حصل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الأوّل لایصحّ تدبير الكافر مطلقاً، و هو خيرة ابن إدريس</w:t>
      </w:r>
      <w:r>
        <w:rPr>
          <w:rStyle w:val="FootnoteAnchor"/>
          <w:rtl w:val="true"/>
        </w:rPr>
        <w:footnoteReference w:id="1515"/>
      </w:r>
      <w:r>
        <w:rPr>
          <w:rFonts w:ascii="IRNazanin" w:hAnsi="IRNazanin" w:eastAsia="IRNazanin"/>
          <w:color w:val="111111"/>
          <w:sz w:val="28"/>
          <w:sz w:val="28"/>
          <w:szCs w:val="28"/>
          <w:rtl w:val="true"/>
          <w:lang w:bidi="fa-IR"/>
        </w:rPr>
        <w:t>مصرّحاً بأنّه عتق، و على الثاني یصحّ، و على الثالث یصحّ ممّن أقرّ بالله تعالى كالكتابي دون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الفرق بين الحربي و الذمّي فلا مدخل له في هذا الحكم إن جعلنا الحربي شاملاً للكتابي الذي لايلتزم أحكام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الكلام فيه</w:t>
      </w:r>
      <w:r>
        <w:rPr>
          <w:rStyle w:val="FootnoteAnchor"/>
          <w:rtl w:val="true"/>
        </w:rPr>
        <w:footnoteReference w:id="1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صحّة التدبير من الكافر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دبّر المسلم ثمّ ارتدّ لم يبطل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دبّر المسلم ثم ارتدّ، فإن كان ارتداده عن غير فطرة لم يبطل التدبير؛ لبقاء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استمرّ على التدبير إلى أن مات عتق المدبّر ؛ لوجود المقتضي له و انتفاء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عن فطرة ففي بطلان التدبير وجهان، من زوال ملك المرتدّ عن فطرة، و المدبّر قابل للخروج عن ملكه و قد وجد سببه و هو الارتداد، فيزول شرط استمرار الصحّة؛ لأنّ شرطها بقاء الملك إلى الموت و المشروط عدم عند عدم شرطه، و من سبق حقّ المدبّر على حقّ الوارث فلاينتقل إليه خصوصاً عند من يمنع من بيع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السيّد انعتق ثلثه لا غير؛ إذ لا مال له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يعجّل للورثة الثلثان ؟ يحتمله؛ لعدم فائدة حبسه عنهم إن لم نقل بقبول توبته ، و إلّا فالفائدة محتملة بتجدّد مال آخر له على تقدير التوبة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المبسوط</w:t>
      </w:r>
      <w:r>
        <w:rPr>
          <w:rStyle w:val="FootnoteAnchor"/>
          <w:rtl w:val="true"/>
        </w:rPr>
        <w:footnoteReference w:id="1517"/>
      </w:r>
      <w:r>
        <w:rPr>
          <w:rFonts w:ascii="Amiri" w:hAnsi="Amiri" w:eastAsia="Amiri" w:cs="Amiri"/>
          <w:color w:val="111111"/>
          <w:sz w:val="28"/>
          <w:sz w:val="28"/>
          <w:szCs w:val="28"/>
          <w:rtl w:val="true"/>
          <w:lang w:bidi="ar-SA"/>
        </w:rPr>
        <w:t>أطلق القول ببقاء التدبير مع الارتداد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الأشهر التفصيل، وإن كان ما ذكره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ارتدّ لا عن فطرة ثمّ دبّر صحّ على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عن فطرة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أطلق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إشكال ينشأ من زوال ملك المرتدّ عن فطرة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دبّر الكافر كافراً فأسلم بيع عليه، سواء رجع في تدبيره أم لم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قبل بيعه و  قبل الرجوع في التدبير تحرّر من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عجز الثلث تحرّر ما يحتمله و كان الباقي 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مسلماً استقرّ ملكه، و إن كان كافراً بيع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أيضاً متوجّهاً؛ لأمر نذكره إن شاء الله تعالى في أحكام المرتدّ</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قيل بانعتاقه بالارتداد عن فطرة، تنزيلاً له منزلة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ارتدّ لا عن فطرة ثمّ دبّر صح 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المرتدّ بالنسبة إلى التدبير و ما في معناه بمنزلة الكافر، فإن اشترطنا نيّة التقرّب بطل تدبیره مطلقاً، و إلّا صحّ من غير الفطري كالكافر، و في الفطري إشكال؛ منشؤه ما هو المشهور من انتقال ماله عنه، فلايتصوّر منه التدبير المشروط بالملك، مضافاً إلى ما علّل تدبیره به الملّي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إطلاق الشيخ</w:t>
      </w:r>
      <w:r>
        <w:rPr>
          <w:rStyle w:val="FootnoteAnchor"/>
          <w:rtl w:val="true"/>
        </w:rPr>
        <w:footnoteReference w:id="1519"/>
      </w:r>
      <w:r>
        <w:rPr>
          <w:rFonts w:ascii="Amiri" w:hAnsi="Amiri" w:eastAsia="Amiri" w:cs="Amiri"/>
          <w:color w:val="111111"/>
          <w:sz w:val="28"/>
          <w:sz w:val="28"/>
          <w:szCs w:val="28"/>
          <w:rtl w:val="true"/>
          <w:lang w:bidi="ar-SA"/>
        </w:rPr>
        <w:t>جوازه يدلّ على منع انتقال المال عنه، و هو قول ابن الجنيد</w:t>
      </w:r>
      <w:r>
        <w:rPr>
          <w:rStyle w:val="FootnoteAnchor"/>
          <w:rtl w:val="true"/>
        </w:rPr>
        <w:footnoteReference w:id="1520"/>
      </w:r>
      <w:r>
        <w:rPr>
          <w:rFonts w:ascii="Amiri" w:hAnsi="Amiri" w:eastAsia="Amiri" w:cs="Amiri"/>
          <w:color w:val="111111"/>
          <w:sz w:val="28"/>
          <w:sz w:val="28"/>
          <w:szCs w:val="28"/>
          <w:rtl w:val="true"/>
          <w:lang w:bidi="ar-SA"/>
        </w:rPr>
        <w:t>و لم يفرّق بين الملّي و الفطري، و استفادة الفرق بينهما و إثبات الأحكام المشهورة من النصوص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البحث فيه إن شاء الله تعالى</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دبّر الكافر كافراً فأسلم بيع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دبّر الكافر عبده الكافر ثمّ أسلم العبد، نظر إن رجع السيّد عن التدبير بالقول بيع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تدبير الأخرس بالإشارة، و كذا رجوعه و لو دبّر صحيحاً ثمّ خرس، و رجع بالإشارة المعلومة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عليه وجوباً قولاً واحداً، و إلّا ففي بيعه عليه قولان، أظهرهما ذلك؛ لانتفاء السبيل للكافر على المسلم و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يعلو ولا يعلى عليه</w:t>
      </w:r>
      <w:r>
        <w:rPr>
          <w:rFonts w:eastAsia="IRNazanin" w:cs="IRNazanin"/>
          <w:color w:val="111111"/>
          <w:sz w:val="28"/>
          <w:szCs w:val="28"/>
          <w:rtl w:val="true"/>
          <w:lang w:bidi="fa-IR"/>
        </w:rPr>
        <w:t>»</w:t>
      </w:r>
      <w:r>
        <w:rPr>
          <w:rStyle w:val="FootnoteAnchor"/>
          <w:rtl w:val="true"/>
        </w:rPr>
        <w:footnoteReference w:id="1522"/>
      </w:r>
      <w:r>
        <w:rPr>
          <w:rFonts w:ascii="Amiri" w:hAnsi="Amiri" w:eastAsia="Amiri" w:cs="Amiri"/>
          <w:color w:val="111111"/>
          <w:sz w:val="28"/>
          <w:sz w:val="28"/>
          <w:szCs w:val="28"/>
          <w:rtl w:val="true"/>
          <w:lang w:bidi="ar-SA"/>
        </w:rPr>
        <w:t>، و طاعة المولى علوّ منه، و في ملكه إذلال للمسلم، و لايؤمن أن يستخدمه فيذلّه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 بين الرجوع في التدبير فيباع، و بين الحيلولة بينه و بين كسبه للمولى، و بين استسعائه، و حينئذ فينفق عليه من كسبه، فإن فضل منه شيء فهو للمولى</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القولين فإذا مات قبل بيعه و رجوعه عتق من ثلثه، فإن بقي منه شيء سعى فيه للورثة إن كانوا مسلمين، وإلّا بيع عليهم؛ لبطلان التدبير بالموت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تدبير الأخرس بالإشارة، و كذا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یصحّ تصرفّات الأخرس و معاملاته بالإشارة المفهمة،كذا یصحّ تدبيره و رجوعه عنه؛ لأنّ إشارته قائمة شرعاً مقام اللفظ، سواء كان خرسه أصليّاً أم عارضيّاً، و سواء خرس بعد التدبير فيرجع بالإشارة أم قبله؛ لاشتراك الجميع في المقتضي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يشترط فهم إشارته و لو بعدلين؛ ليثبت به حيث يحصل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فهم المملوك ذلك منه ترتّب عليه حكم التدبير فيما بينه وبين الله تعالى، كما لو وقع التدبير من الصحيح بينهما بغير إشهاد، و لو أنكر بعد ذلك فكإنكار الصحيح</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بعض العامّة حيث منع من رجوعه بالإشارة وإن جوّز تدبيره بها</w:t>
      </w:r>
      <w:r>
        <w:rPr>
          <w:rStyle w:val="FootnoteAnchor"/>
          <w:rtl w:val="true"/>
        </w:rPr>
        <w:footnoteReference w:id="1524"/>
      </w:r>
      <w:r>
        <w:rPr>
          <w:rFonts w:ascii="IRNazanin" w:hAnsi="IRNazanin" w:eastAsia="IRNazanin"/>
          <w:color w:val="111111"/>
          <w:sz w:val="28"/>
          <w:sz w:val="28"/>
          <w:szCs w:val="28"/>
          <w:rtl w:val="true"/>
          <w:lang w:bidi="fa-IR"/>
        </w:rPr>
        <w:t>، بناءً على أنّ الرجوع لایصحّ عنده بالقول بل بالفعل، و غاية إشارته أن تقوم مقام القول فلايزيد الفرع على أصله</w:t>
      </w:r>
      <w:r>
        <w:rPr>
          <w:rFonts w:eastAsia="IRNazanin" w:cs="IRNazanin"/>
          <w:color w:val="111111"/>
          <w:sz w:val="28"/>
          <w:szCs w:val="28"/>
          <w:rtl w:val="true"/>
          <w:lang w:bidi="fa-IR"/>
        </w:rPr>
        <w:t xml:space="preserve">. </w:t>
      </w:r>
      <w:bookmarkStart w:id="465" w:name="pg10270_80448"/>
    </w:p>
    <w:p>
      <w:pPr>
        <w:pStyle w:val="Heading3"/>
        <w:numPr>
          <w:ilvl w:val="2"/>
          <w:numId w:val="1"/>
        </w:numPr>
        <w:rPr/>
      </w:pPr>
      <w:bookmarkStart w:id="466" w:name="__RefHeading___Toc3860312_1067777946"/>
      <w:bookmarkStart w:id="467" w:name="_Toc170"/>
      <w:bookmarkEnd w:id="465"/>
      <w:bookmarkEnd w:id="466"/>
      <w:r>
        <w:rPr>
          <w:rtl w:val="true"/>
        </w:rPr>
        <w:t>المقصد الثالث في الأحكام</w:t>
      </w:r>
      <w:bookmarkEnd w:id="467"/>
    </w:p>
    <w:p>
      <w:pPr>
        <w:pStyle w:val="Heading4"/>
        <w:numPr>
          <w:ilvl w:val="3"/>
          <w:numId w:val="1"/>
        </w:numPr>
        <w:rPr/>
      </w:pPr>
      <w:bookmarkStart w:id="468" w:name="__RefHeading___Toc3860314_1067777946"/>
      <w:bookmarkStart w:id="469" w:name="_Toc171"/>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وهي مسائل</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3860316_1067777946"/>
      <w:bookmarkStart w:id="471" w:name="_Toc172"/>
      <w:bookmarkEnd w:id="470"/>
      <w:r>
        <w:rPr>
          <w:rtl w:val="true"/>
        </w:rPr>
        <w:t>التدبير بصفة الوصيّة</w:t>
      </w:r>
      <w:bookmarkEnd w:id="47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التدبير بصفة الوصيّة يجوز الرجوع فيه،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التدبير بصفة الوصيّة يجوز الرجوع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جعله بصفة الوصيّة من غير أن يجعله وصيّةً محضةً تنبيه على أنّه لايختار كونه وصيّةً محضة، و في تعريفه له في صدر الكتاب ما يدلّ على ذلك كما بيّنّاه</w:t>
      </w:r>
      <w:r>
        <w:rPr>
          <w:rStyle w:val="FootnoteAnchor"/>
          <w:rtl w:val="true"/>
        </w:rPr>
        <w:footnoteReference w:id="1525"/>
      </w:r>
      <w:r>
        <w:rPr>
          <w:rFonts w:ascii="Amiri" w:hAnsi="Amiri" w:eastAsia="Amiri" w:cs="Amiri"/>
          <w:color w:val="111111"/>
          <w:sz w:val="28"/>
          <w:sz w:val="28"/>
          <w:szCs w:val="28"/>
          <w:rtl w:val="true"/>
          <w:lang w:bidi="ar-SA"/>
        </w:rPr>
        <w:t>، ولكنّه في النافع قطع بكونه وصيّة</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الأخبار مختلفة، ففي رواية أبي بصير عن أبي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بمنزلة رجل أوصى بوصيّة ثم بدا له بعد فغيّرها قبل موته، فإن هو تركها و لم يغيّرها حتى يموت أخذ بها</w:t>
      </w:r>
      <w:r>
        <w:rPr>
          <w:rFonts w:eastAsia="IRNazanin" w:cs="IRNazanin"/>
          <w:color w:val="111111"/>
          <w:sz w:val="28"/>
          <w:szCs w:val="28"/>
          <w:rtl w:val="true"/>
          <w:lang w:bidi="fa-IR"/>
        </w:rPr>
        <w:t>».</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و روى معاوية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المدبّر،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بمنزلة الوصيّة يرجع فيما يشاء منها</w:t>
      </w:r>
      <w:r>
        <w:rPr>
          <w:rFonts w:eastAsia="IRNazanin" w:cs="IRNazanin"/>
          <w:color w:val="111111"/>
          <w:sz w:val="28"/>
          <w:szCs w:val="28"/>
          <w:rtl w:val="true"/>
          <w:lang w:bidi="fa-IR"/>
        </w:rPr>
        <w:t>»</w:t>
      </w:r>
      <w:r>
        <w:rPr>
          <w:rStyle w:val="FootnoteAnchor"/>
          <w:rtl w:val="true"/>
        </w:rPr>
        <w:footnoteReference w:id="1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موافق لما في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زرارة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المدبّر أ هو من الثلث؟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للموصي أن يرجع في وصيّته في صحّة أو مرض</w:t>
      </w:r>
      <w:r>
        <w:rPr>
          <w:rFonts w:eastAsia="IRNazanin" w:cs="IRNazanin"/>
          <w:color w:val="111111"/>
          <w:sz w:val="28"/>
          <w:szCs w:val="28"/>
          <w:rtl w:val="true"/>
          <w:lang w:bidi="fa-IR"/>
        </w:rPr>
        <w:t>»</w:t>
      </w:r>
      <w:r>
        <w:rPr>
          <w:rStyle w:val="FootnoteAnchor"/>
          <w:rtl w:val="true"/>
        </w:rPr>
        <w:footnoteReference w:id="1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أظهر فى الدلالة على كونه وصيّةً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أنّه بمنزلة الوصيّة لا عينها كما ذكره هنا؛ لأنه لو كان وصيّةً محضة لافتقر في عتقه إلى صيغة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لايلزم من كونه بمنزلتها مساواتها في جميع الأحكام،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فى هذا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فعلاً، كأن يهب أو يعتق أو يقف أو يوصي، سواء كان مطلقاً أو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باعه بطل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في تدبيره ثمّ باع صحّ بيع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إن قصد ببيعه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يقصد مضى البيع في خدمته دون رقبته، و تحرّر بموت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أنّه بمنزلتها في الأحكام المسؤول عنها في الروايات، و هو كونه من الثلث، و يجوز الرجوع فيه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بعتق معلّق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ابن إدريس</w:t>
      </w:r>
      <w:r>
        <w:rPr>
          <w:rStyle w:val="FootnoteAnchor"/>
          <w:rtl w:val="true"/>
        </w:rPr>
        <w:footnoteReference w:id="1530"/>
      </w:r>
      <w:r>
        <w:rPr>
          <w:rFonts w:ascii="Amiri" w:hAnsi="Amiri" w:eastAsia="Amiri" w:cs="Amiri"/>
          <w:color w:val="111111"/>
          <w:sz w:val="28"/>
          <w:sz w:val="28"/>
          <w:szCs w:val="28"/>
          <w:rtl w:val="true"/>
          <w:lang w:bidi="ar-SA"/>
        </w:rPr>
        <w:t>و غيره</w:t>
      </w:r>
      <w:r>
        <w:rPr>
          <w:rStyle w:val="FootnoteAnchor"/>
          <w:rtl w:val="true"/>
        </w:rPr>
        <w:footnoteReference w:id="1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لما صحّ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فكونه متردّداً بينهما في بعض الأحكام و مستقّلاً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وقع بصيغته الخاصّة الخارجة عن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في هذا التدبير، و فعلاً، كأن 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ممّا سبق أنّ التدبير من الأمور الجائزة القابلة للفسخ كالوصيّة</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فسخه قد يكون بالقول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في هذا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p>
    <w:p>
      <w:pPr>
        <w:pStyle w:val="BookText"/>
        <w:rPr/>
      </w:pPr>
      <w:r>
        <w:rPr>
          <w:rFonts w:ascii="Amiri" w:hAnsi="Amiri" w:eastAsia="Amiri" w:cs="Amiri"/>
          <w:color w:val="111111"/>
          <w:sz w:val="28"/>
          <w:sz w:val="28"/>
          <w:szCs w:val="28"/>
          <w:rtl w:val="true"/>
          <w:lang w:bidi="ar-SA"/>
        </w:rPr>
        <w:t>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بالفعل كأن يهب المدبّر لغيره و إن لم يقبضه؛ فإنَّه يبطل لدلالته على الرجوع، و تصحّ الهبة إذا تمّت شرائطها، خلافاً لابن حمزة حيث اشترط في صحّتها تقديم الرجوع فيه بالقول</w:t>
      </w:r>
      <w:r>
        <w:rPr>
          <w:rStyle w:val="FootnoteAnchor"/>
          <w:rtl w:val="true"/>
        </w:rPr>
        <w:footnoteReference w:id="1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أولى بالرجوع ما إذا أعتقه؛ لأنّه تعجيل لما تشبّث به المدبّر من الحرّيّة، فقد زاده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يبطل بوقفه و إن لم يقبضه؛ لدلالته على الرجوع كالهبة، و الخلاف فيه كالخلاف</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الوصيّة به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بيعه فالأظهر أنّه كذلك؛ لما ذكر، و لأنّ الوصيّة تبطل بإخراج الموصى به عن ملك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الموصي، و البيع ناقل للملك و هو وصيّة أو بمنزلتها كما مرّ، و لصحيحة محمد بن مسلم عن الباقر علیه السلام و قد سأل عن رجل دبّر مملوكاً ثم احتاج إلى ثمنه، 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مملوكه إن شاء باعه، وإن شاء أعتقه، وإن شاء أمسكه حتّى يموت، فإذا مات السيّد فهو حرّ من ثلثه</w:t>
      </w:r>
      <w:r>
        <w:rPr>
          <w:rFonts w:eastAsia="IRNazanin" w:cs="IRNazanin"/>
          <w:color w:val="111111"/>
          <w:sz w:val="28"/>
          <w:szCs w:val="28"/>
          <w:rtl w:val="true"/>
          <w:lang w:bidi="fa-IR"/>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 بيعه قبل أن ينقض تدبيره، إلّا أن يعلم المبتاع أنّه يبيعه خدمته و أنّه متى مات هو كان حرّاً لا سبيل عليه</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 بيعه إلّا أن يشترط على الذي يبيعه إيّاه أن يعتقه عند موته</w:t>
      </w:r>
      <w:r>
        <w:rPr>
          <w:rStyle w:val="FootnoteAnchor"/>
          <w:rtl w:val="true"/>
        </w:rPr>
        <w:footnoteReference w:id="1536"/>
      </w:r>
      <w:r>
        <w:rPr>
          <w:rFonts w:ascii="Amiri" w:hAnsi="Amiri" w:eastAsia="Amiri" w:cs="Amiri"/>
          <w:color w:val="111111"/>
          <w:sz w:val="28"/>
          <w:sz w:val="28"/>
          <w:szCs w:val="28"/>
          <w:rtl w:val="true"/>
          <w:lang w:bidi="ar-SA"/>
        </w:rPr>
        <w:t>و قريب منه قول ابن أبي عقيل</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مات البائع صار حرّاً لا سبيل عليه و إن لم يشترط</w:t>
      </w:r>
      <w:r>
        <w:rPr>
          <w:rFonts w:eastAsia="Amiri" w:cs="Amiri" w:ascii="Amiri" w:hAnsi="Amiri"/>
          <w:color w:val="111111"/>
          <w:sz w:val="28"/>
          <w:szCs w:val="28"/>
          <w:rtl w:val="true"/>
          <w:lang w:bidi="ar-SA"/>
        </w:rPr>
        <w:t>»</w:t>
      </w:r>
      <w:r>
        <w:rPr>
          <w:rStyle w:val="FootnoteAnchor"/>
          <w:rtl w:val="true"/>
        </w:rPr>
        <w:footnoteReference w:id="1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الشيخ أيضاً</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و مستند هذه الأقوال ظاهر الروايات المختلفة، و قد تقدّم منها ما يدلّ على جواز الرجوع و البيع</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علیهما السلام في الرجل يعتق غلامه و جاريته عن دبر منه ثمّ يحتاج إلى ثمنه أيبيعه؟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أن يشترط على الذي يبيعه إيّاه أن يعتقه عند موته</w:t>
      </w:r>
      <w:r>
        <w:rPr>
          <w:rFonts w:eastAsia="IRNazanin" w:cs="IRNazanin"/>
          <w:color w:val="111111"/>
          <w:sz w:val="28"/>
          <w:szCs w:val="28"/>
          <w:rtl w:val="true"/>
          <w:lang w:bidi="fa-IR"/>
        </w:rPr>
        <w:t>»</w:t>
      </w:r>
      <w:r>
        <w:rPr>
          <w:rStyle w:val="FootnoteAnchor"/>
          <w:rtl w:val="true"/>
        </w:rPr>
        <w:footnoteReference w:id="1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حجّة الصدوق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روى القاسم بن محمد عن عليّ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أعتق جاريةٌ له عن دبر في حياته،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بيعها باع خدمتها حياته، فإذا مات أعتقت الجارية، وإن ولدت أولاداً فهم بمنزلتها</w:t>
      </w:r>
      <w:r>
        <w:rPr>
          <w:rFonts w:eastAsia="IRNazanin" w:cs="IRNazanin"/>
          <w:color w:val="111111"/>
          <w:sz w:val="28"/>
          <w:szCs w:val="28"/>
          <w:rtl w:val="true"/>
          <w:lang w:bidi="fa-IR"/>
        </w:rPr>
        <w:t>»</w:t>
      </w:r>
      <w:r>
        <w:rPr>
          <w:rStyle w:val="FootnoteAnchor"/>
          <w:rtl w:val="true"/>
        </w:rPr>
        <w:footnoteReference w:id="1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حجّة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الجمع بين الأخبار التي دلّ بعضها على جواز بيعها مطلقاً</w:t>
      </w:r>
      <w:r>
        <w:rPr>
          <w:rStyle w:val="FootnoteAnchor"/>
          <w:rtl w:val="true"/>
        </w:rPr>
        <w:footnoteReference w:id="1543"/>
      </w:r>
      <w:r>
        <w:rPr>
          <w:rFonts w:ascii="Amiri" w:hAnsi="Amiri" w:eastAsia="Amiri" w:cs="Amiri"/>
          <w:color w:val="111111"/>
          <w:sz w:val="28"/>
          <w:sz w:val="28"/>
          <w:szCs w:val="28"/>
          <w:rtl w:val="true"/>
          <w:lang w:bidi="ar-SA"/>
        </w:rPr>
        <w:t>، و بعض على النهي</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1544"/>
      </w:r>
      <w:r>
        <w:rPr>
          <w:rFonts w:ascii="Amiri" w:hAnsi="Amiri" w:eastAsia="Amiri" w:cs="Amiri"/>
          <w:color w:val="111111"/>
          <w:sz w:val="28"/>
          <w:sz w:val="28"/>
          <w:szCs w:val="28"/>
          <w:rtl w:val="true"/>
          <w:lang w:bidi="ar-SA"/>
        </w:rPr>
        <w:t>، و بعض على الإذن في بيع الخدمة مدّة حياته</w:t>
      </w:r>
      <w:r>
        <w:rPr>
          <w:rStyle w:val="FootnoteAnchor"/>
          <w:rtl w:val="true"/>
        </w:rPr>
        <w:footnoteReference w:id="1545"/>
      </w:r>
      <w:r>
        <w:rPr>
          <w:rFonts w:ascii="Amiri" w:hAnsi="Amiri" w:eastAsia="Amiri" w:cs="Amiri"/>
          <w:color w:val="111111"/>
          <w:sz w:val="28"/>
          <w:sz w:val="28"/>
          <w:szCs w:val="28"/>
          <w:rtl w:val="true"/>
          <w:lang w:bidi="ar-SA"/>
        </w:rPr>
        <w:t>، بحمل الأوّل على بيع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ابن إدريس بيع الخدمة على الصلح مدّة حياته</w:t>
      </w:r>
      <w:r>
        <w:rPr>
          <w:rStyle w:val="FootnoteAnchor"/>
          <w:rtl w:val="true"/>
        </w:rPr>
        <w:footnoteReference w:id="1546"/>
      </w:r>
      <w:r>
        <w:rPr>
          <w:rFonts w:ascii="Amiri" w:hAnsi="Amiri" w:eastAsia="Amiri" w:cs="Amiri"/>
          <w:color w:val="111111"/>
          <w:sz w:val="28"/>
          <w:sz w:val="28"/>
          <w:szCs w:val="28"/>
          <w:rtl w:val="true"/>
          <w:lang w:bidi="ar-SA"/>
        </w:rPr>
        <w:t>، والعلّامة على الإجارة مدّةً فمدّةً حتّى يموت</w:t>
      </w:r>
      <w:r>
        <w:rPr>
          <w:rStyle w:val="FootnoteAnchor"/>
          <w:rtl w:val="true"/>
        </w:rPr>
        <w:footnoteReference w:id="1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قطع ببطلان بيع الخدمة؛ لأنّها منفعة مجهولة</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أُجيب</w:t>
      </w:r>
      <w:r>
        <w:rPr>
          <w:rStyle w:val="FootnoteAnchor"/>
          <w:rtl w:val="true"/>
        </w:rPr>
        <w:footnoteReference w:id="1549"/>
      </w:r>
      <w:r>
        <w:rPr>
          <w:rFonts w:ascii="Amiri" w:hAnsi="Amiri" w:eastAsia="Amiri" w:cs="Amiri"/>
          <w:color w:val="111111"/>
          <w:sz w:val="28"/>
          <w:sz w:val="28"/>
          <w:szCs w:val="28"/>
          <w:rtl w:val="true"/>
          <w:lang w:bidi="ar-SA"/>
        </w:rPr>
        <w:t>بأنّ الجهالة غير قادحة؛ لجواز استثناء هذا على أنّ المقصود بالبيع في جميع الأعيان هو الانتفاع و لاتقدير للمدّة، فإذا وردت الأخبار الكثيرة بجوازه لم يبعد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الشهيد في الدروس</w:t>
      </w:r>
      <w:r>
        <w:rPr>
          <w:rStyle w:val="FootnoteAnchor"/>
          <w:rtl w:val="true"/>
        </w:rPr>
        <w:footnoteReference w:id="1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فيتّجه جواز بيع الرقبة، كما دلّت عليه الأخبار السابقة، و بيع المنفعة منفردةً، كما دلّت عليه هذه الأخبار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حمل الشيخ بيع المدبّر على بيع خدمته و حصره الجواز فيه إذا لم يرجع في التدبير فليس بجيّد، لأنّ مقصود المشتري هو الرقبة، فإذا لم یصحّ بيعها و صرف إلى بيع الخدمة </w:t>
      </w:r>
    </w:p>
    <w:p>
      <w:pPr>
        <w:pStyle w:val="BookText"/>
        <w:rPr/>
      </w:pPr>
      <w:r>
        <w:rPr>
          <w:rFonts w:ascii="IRNazanin" w:hAnsi="IRNazanin" w:eastAsia="IRNazanin"/>
          <w:color w:val="111111"/>
          <w:sz w:val="28"/>
          <w:sz w:val="28"/>
          <w:szCs w:val="28"/>
          <w:rtl w:val="true"/>
          <w:lang w:bidi="fa-IR"/>
        </w:rPr>
        <w:t>إنکار المولی للتدبير لیس رجوعاً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أنكر المولى تدبيره لم يكن رجوعاً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ادّعى المملوك التدبير و أنكر المولى فحلف لم يبطل التدبير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المدّة المخصوصة كان اللازم بطلان البيع، كما لو اشترى شيئاً على أنّه من جنس معيّن</w:t>
      </w:r>
    </w:p>
    <w:p>
      <w:pPr>
        <w:pStyle w:val="BookText"/>
        <w:rPr/>
      </w:pPr>
      <w:r>
        <w:rPr>
          <w:rFonts w:ascii="Amiri" w:hAnsi="Amiri" w:eastAsia="Amiri" w:cs="Amiri"/>
          <w:color w:val="111111"/>
          <w:sz w:val="28"/>
          <w:sz w:val="28"/>
          <w:szCs w:val="28"/>
          <w:rtl w:val="true"/>
          <w:lang w:bidi="ar-SA"/>
        </w:rPr>
        <w:t>فظهر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تنزيله على أنّ البيع متناول للرقبة مدّة الحياة كمشروط العتق ففاسد؛ لتصريح الأخبار و الفتوى بتناول البيع الخدمة دون الرقبة و لأنّ انعتاقه بالموت عن البائع لا عن المشتري، فدلّ على عدم انتقال الرقبة إلى المشتري وإلّا لكان عتقه عنه إذا لم يشترط عليه عتقه عن البائع بل انعتق بالتدبير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صحّة البيع في رقبته وبطلان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أنكر المولى تدبيره لم يكن رجوعاً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لم يكن رجوعاً؛ لأنّه أعمّ منه فلا يدلّ عليه، و لإمكان استناد إنكاره إلى نسيان</w:t>
      </w:r>
    </w:p>
    <w:p>
      <w:pPr>
        <w:pStyle w:val="BookText"/>
        <w:rPr/>
      </w:pPr>
      <w:r>
        <w:rPr>
          <w:rFonts w:ascii="Amiri" w:hAnsi="Amiri" w:eastAsia="Amiri" w:cs="Amiri"/>
          <w:color w:val="111111"/>
          <w:sz w:val="28"/>
          <w:sz w:val="28"/>
          <w:szCs w:val="28"/>
          <w:rtl w:val="true"/>
          <w:lang w:bidi="ar-SA"/>
        </w:rPr>
        <w:t>التدبير فلم يقصد به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رجوعاً؛ لاستلزامه رفعه في سائر الأزمان فكان أبلغ من الرجوع المقتضي</w:t>
      </w:r>
    </w:p>
    <w:p>
      <w:pPr>
        <w:pStyle w:val="BookText"/>
        <w:rPr/>
      </w:pPr>
      <w:r>
        <w:rPr>
          <w:rFonts w:ascii="Amiri" w:hAnsi="Amiri" w:eastAsia="Amiri" w:cs="Amiri"/>
          <w:color w:val="111111"/>
          <w:sz w:val="28"/>
          <w:sz w:val="28"/>
          <w:szCs w:val="28"/>
          <w:rtl w:val="true"/>
          <w:lang w:bidi="ar-SA"/>
        </w:rPr>
        <w:t>الرفعه في الزمن المستقبل خاصّةً</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أقوى إلّا مع قصد الرجوع به، و حينئذ فيرجع إليه في ذلك، فإن لم يعترف بالقصد لم يكن رجوعاً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القول في سائر الأحكام التي يجوز الرجوع فيها، كالوكالة و الوصيّ و إنكار البيع الجائز عدا الطلاق؛ لورود النص</w:t>
      </w:r>
      <w:r>
        <w:rPr>
          <w:rStyle w:val="FootnoteAnchor"/>
          <w:rtl w:val="true"/>
        </w:rPr>
        <w:footnoteReference w:id="1552"/>
      </w:r>
      <w:r>
        <w:rPr>
          <w:rFonts w:ascii="Amiri" w:hAnsi="Amiri" w:eastAsia="Amiri" w:cs="Amiri"/>
          <w:color w:val="111111"/>
          <w:sz w:val="28"/>
          <w:sz w:val="28"/>
          <w:szCs w:val="28"/>
          <w:rtl w:val="true"/>
          <w:lang w:bidi="ar-SA"/>
        </w:rPr>
        <w:t>الصحيح بكونه رجوعاً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تحقيقه فيه</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ادّعى المملوك التدبير و أنكر المولى فحلف لم يبطل التدبير في نفس الأمر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هنا كما تقدّم مع زيادة الحلف من المولى، و هو لايفيد الرجوع بذاته و إنّما يؤكّد الإنكار، و هو لايدلّ على الرجوع كما علم</w:t>
      </w:r>
      <w:r>
        <w:rPr>
          <w:rFonts w:eastAsia="Amiri" w:cs="Amiri" w:ascii="Amiri" w:hAnsi="Amiri"/>
          <w:color w:val="111111"/>
          <w:sz w:val="28"/>
          <w:szCs w:val="28"/>
          <w:rtl w:val="true"/>
          <w:lang w:bidi="ar-SA"/>
        </w:rPr>
        <w:t xml:space="preserve">. </w:t>
      </w:r>
      <w:bookmarkStart w:id="472" w:name="pg10270_80453"/>
    </w:p>
    <w:p>
      <w:pPr>
        <w:pStyle w:val="Heading4"/>
        <w:numPr>
          <w:ilvl w:val="3"/>
          <w:numId w:val="1"/>
        </w:numPr>
        <w:rPr/>
      </w:pPr>
      <w:bookmarkStart w:id="473" w:name="__RefHeading___Toc3860318_1067777946"/>
      <w:bookmarkStart w:id="474" w:name="_Toc173"/>
      <w:bookmarkEnd w:id="472"/>
      <w:bookmarkEnd w:id="473"/>
      <w:r>
        <w:rPr>
          <w:rtl w:val="true"/>
        </w:rPr>
        <w:t>المدبّر ينعتق بموت مولاه من الثلث</w:t>
      </w:r>
      <w:bookmarkEnd w:id="47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المدبّر ينعتق بموت مولاه من ثلث مال المولى، فإن خرج منه وإلّا تحرّر من المدبّر بقدر الثلث و لو لم يكن سواه عتق ثلثه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دبّر جماعةً فإن خرجوا من الثلث و إلّا عتق من يحتمله الثلث، و بدئ بالأوّل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جهل الترتيب استخرجوا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يبطل التدبير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بإنكاره و حلفه مع عدم البيّنة يقضى بارتفاعه ظاهراً، و أمّا في نفس الأمر فهو بحاله ما لم يحصل منه ما يدلّ على الرجوع، فلو مات على هذه الحالة انعتق المملوك فيما بينه و بين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تظهر الفائدة ظاهراً لو اعترف المولى بعد الحلف بكذبه فيه، فإن جعلنا الإنكار رجوعاً لم يعد باعترافه، وإلّا بقي بحاله فيثبت ظاهراً أيضاً حيث يعترف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تظهر فائدتها أيضاً لو كان الحلف لعدم البيّنة ثم وجدت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 ينعتق بموت مولاه من ثلث مال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عتق المدبّر معتبر من الثلث؛ لأنّه وصيّة متبرّع بها أو بمنزلتها فيكون بحكمها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جعلناه عتقاً فالعتق المعلّق على الموت كذلك، بل المنجّز في مرض الموت على ما تقدّم</w:t>
      </w:r>
      <w:r>
        <w:rPr>
          <w:rStyle w:val="FootnoteAnchor"/>
          <w:rtl w:val="true"/>
        </w:rPr>
        <w:footnoteReference w:id="1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فالمتأخّر عنه أولى و قد تقدّم من الأخبار ما يدلّ عليه</w:t>
      </w:r>
      <w:r>
        <w:rPr>
          <w:rStyle w:val="FootnoteAnchor"/>
          <w:rtl w:val="true"/>
        </w:rPr>
        <w:footnoteReference w:id="1555"/>
      </w:r>
      <w:r>
        <w:rPr>
          <w:rFonts w:ascii="Amiri" w:hAnsi="Amiri" w:eastAsia="Amiri" w:cs="Amiri"/>
          <w:color w:val="111111"/>
          <w:sz w:val="28"/>
          <w:sz w:val="28"/>
          <w:szCs w:val="28"/>
          <w:rtl w:val="true"/>
          <w:lang w:bidi="ar-SA"/>
        </w:rPr>
        <w:t>، كصحيحة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مملوكه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السيّد فهو حرّ من ثلثه</w:t>
      </w:r>
      <w:r>
        <w:rPr>
          <w:rFonts w:eastAsia="Amiri" w:cs="Amiri" w:ascii="Amiri" w:hAnsi="Amiri"/>
          <w:color w:val="111111"/>
          <w:sz w:val="28"/>
          <w:szCs w:val="28"/>
          <w:rtl w:val="true"/>
          <w:lang w:bidi="ar-SA"/>
        </w:rPr>
        <w:t>»</w:t>
      </w:r>
      <w:r>
        <w:rPr>
          <w:rStyle w:val="FootnoteAnchor"/>
          <w:rtl w:val="true"/>
        </w:rPr>
        <w:footnoteReference w:id="1556"/>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معلّقاً بموت المولى متبرّعاً به فلو علّقه بموت المخدوم ومات في حياة المولى و صحّته لم يعتبر من الثلث؛ إذ لا وجه له، فإنّه كتعجيل العتق في حال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المطلقة في كونه من الثلث</w:t>
      </w:r>
      <w:r>
        <w:rPr>
          <w:rStyle w:val="FootnoteAnchor"/>
          <w:rtl w:val="true"/>
        </w:rPr>
        <w:footnoteReference w:id="1557"/>
      </w:r>
      <w:r>
        <w:rPr>
          <w:rFonts w:ascii="Amiri" w:hAnsi="Amiri" w:eastAsia="Amiri" w:cs="Amiri"/>
          <w:color w:val="111111"/>
          <w:sz w:val="28"/>
          <w:sz w:val="28"/>
          <w:szCs w:val="28"/>
          <w:rtl w:val="true"/>
          <w:lang w:bidi="ar-SA"/>
        </w:rPr>
        <w:t>محمولة على الغالب من كونه معلّقاً بموت المولى، بل فيها ما يدلّ عليه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مات السيّد فهو حرّ من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مات المخدوم في مرض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على الميّت دَين يستوعب التركة بطل التدبير، و بيع المدبّرون فيه، و إلّا بيع منهم بقدر الدين و تحرّر ثلث من بقى، سواء كان الدين سابقاً على التدبير أو لاحقاً، على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 یصحّ الرجوع في المدبّر یصحّ الرجوع في بعضه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موت المولى أو بعده فهو من الثلث كالمعلّق على وفاة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واجباً بنذر و شبهه، فإن كان في مرض الموت لم يتغيّر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حال الصحّة، فإن كان المنذور هو التدبير فالأظهر أنّه من الثلث أيضاً؛ لأنّه لايصير واجب العتق</w:t>
      </w:r>
    </w:p>
    <w:p>
      <w:pPr>
        <w:pStyle w:val="BookText"/>
        <w:rPr/>
      </w:pPr>
      <w:r>
        <w:rPr>
          <w:rFonts w:ascii="Amiri" w:hAnsi="Amiri" w:eastAsia="Amiri" w:cs="Amiri"/>
          <w:color w:val="111111"/>
          <w:sz w:val="28"/>
          <w:sz w:val="28"/>
          <w:szCs w:val="28"/>
          <w:rtl w:val="true"/>
          <w:lang w:bidi="ar-SA"/>
        </w:rPr>
        <w:t>بذلك بل إنّما يجب تدبيره فإذا دبّره برئ من النذر و لحقه حكم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نذر عتقه بعد الوفاة فهو من الأصل كغيره من الواجبات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نذر الصدقة و نحوها بمال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التحرير ساوى بين الأمرين في خروجه من الأصل</w:t>
      </w:r>
      <w:r>
        <w:rPr>
          <w:rStyle w:val="FootnoteAnchor"/>
          <w:rtl w:val="true"/>
        </w:rPr>
        <w:footnoteReference w:id="1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 في الدروس عن ظاهر الأصحاب</w:t>
      </w:r>
      <w:r>
        <w:rPr>
          <w:rStyle w:val="FootnoteAnchor"/>
          <w:rtl w:val="true"/>
        </w:rPr>
        <w:footnoteReference w:id="1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جوّزنا تعليق العتق على الشرط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حرّ قبل مرض موتي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خرج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جعلنا المنجّزات من الأصل فعلّقه على آخر جزء من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نذر عتقه أو الصدقة بالمال أو صرفه في بعض الوجوه السائغة في آخر يوم من أيّام صحّته فكذلك، أو في آخر يوم من حياته على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اعتبار التدبير المتبرّع به من الثلث بين الواقع في مرض الموت و حال الصحّة كالوصيّة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تعدّد المدبّر فإن اتّحدت الصيغة أو تعدّدت و جهل الترتيب عتق الثلث بالقرعة كما سبق في العتق</w:t>
      </w:r>
      <w:r>
        <w:rPr>
          <w:rStyle w:val="FootnoteAnchor"/>
          <w:rtl w:val="true"/>
        </w:rPr>
        <w:footnoteReference w:id="1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السابق بدئ بالأوّل فالأوّل إلى أن يستوفي الثلث كالوصيّة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على الميّت دين يستوعب التركة بطل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التدبير كالوصيّة اعتبر في نفوذه كونه فاضلاً من الثلث بعد أداء الدين، و ما في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دبّر بعض عبده لم ينعتق عليه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له شريك لم يكلّف شراء حصّته، و كذا لو دبّره بأجمعه و رجع في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دبّر الشريكان، ثمّ أعتق أحدهما لم تقوّم عليه حصّة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من الوصايا الواجبة و العطايا المنجّزة و المتقدّمة عليه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الدين بين المتقدّم منه على إيقاع صيغة التدبير و المتأخّر على الأصحّ؛ للعموم</w:t>
      </w:r>
      <w:r>
        <w:rPr>
          <w:rStyle w:val="FootnoteAnchor"/>
          <w:rtl w:val="true"/>
        </w:rPr>
        <w:footnoteReference w:id="1561"/>
      </w:r>
      <w:r>
        <w:rPr>
          <w:rFonts w:ascii="Amiri" w:hAnsi="Amiri" w:eastAsia="Amiri" w:cs="Amiri"/>
          <w:color w:val="111111"/>
          <w:sz w:val="28"/>
          <w:sz w:val="28"/>
          <w:szCs w:val="28"/>
          <w:rtl w:val="true"/>
          <w:lang w:bidi="ar-SA"/>
        </w:rPr>
        <w:t>كالوصيّة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بتقديمه على الدين مع تقدّمه عليه للشيخ في النهاية</w:t>
      </w:r>
      <w:r>
        <w:rPr>
          <w:rStyle w:val="FootnoteAnchor"/>
          <w:rtl w:val="true"/>
        </w:rPr>
        <w:footnoteReference w:id="1562"/>
      </w:r>
      <w:r>
        <w:rPr>
          <w:rFonts w:ascii="IRNazanin" w:hAnsi="IRNazanin" w:eastAsia="IRNazanin"/>
          <w:color w:val="111111"/>
          <w:sz w:val="28"/>
          <w:sz w:val="28"/>
          <w:szCs w:val="28"/>
          <w:rtl w:val="true"/>
          <w:lang w:bidi="fa-IR"/>
        </w:rPr>
        <w:t>استناداً إلى صحيحة أبي بصير عن الصادق علیه السلام في رجل دبّر غلامه و عليه دين فراراً من الدين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تدبير له، وإن كان دبّره في صحّة منه و سلامة فلا سبيل للديّان عليه</w:t>
      </w:r>
      <w:r>
        <w:rPr>
          <w:rFonts w:eastAsia="IRNazanin" w:cs="IRNazanin"/>
          <w:color w:val="111111"/>
          <w:sz w:val="28"/>
          <w:szCs w:val="28"/>
          <w:rtl w:val="true"/>
          <w:lang w:bidi="fa-IR"/>
        </w:rPr>
        <w:t>»</w:t>
      </w:r>
      <w:r>
        <w:rPr>
          <w:rStyle w:val="FootnoteAnchor"/>
          <w:rtl w:val="true"/>
        </w:rPr>
        <w:footnoteReference w:id="1563"/>
      </w:r>
    </w:p>
    <w:p>
      <w:pPr>
        <w:pStyle w:val="BookText"/>
        <w:rPr/>
      </w:pPr>
      <w:r>
        <w:rPr>
          <w:rFonts w:ascii="IRNazanin" w:hAnsi="IRNazanin" w:eastAsia="IRNazanin"/>
          <w:color w:val="111111"/>
          <w:sz w:val="28"/>
          <w:sz w:val="28"/>
          <w:szCs w:val="28"/>
          <w:rtl w:val="true"/>
          <w:lang w:bidi="fa-IR"/>
        </w:rPr>
        <w:t>و صحيحة الحسين بن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 في ذلك فلا بأس، وإن كان على مولى العبد دين فدبّره فراراً من الدين فلا تدبير له، وإن كان دبّره في صحّة و سلامة فلا سبيل للديّان عليه و يمضي تدبيره</w:t>
      </w:r>
      <w:r>
        <w:rPr>
          <w:rFonts w:eastAsia="IRNazanin" w:cs="IRNazanin"/>
          <w:color w:val="111111"/>
          <w:sz w:val="28"/>
          <w:szCs w:val="28"/>
          <w:rtl w:val="true"/>
          <w:lang w:bidi="fa-IR"/>
        </w:rPr>
        <w:t>»</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و أجيب</w:t>
      </w:r>
      <w:r>
        <w:rPr>
          <w:rStyle w:val="FootnoteAnchor"/>
          <w:rtl w:val="true"/>
        </w:rPr>
        <w:footnoteReference w:id="1565"/>
      </w:r>
      <w:r>
        <w:rPr>
          <w:rFonts w:ascii="Amiri" w:hAnsi="Amiri" w:eastAsia="Amiri" w:cs="Amiri"/>
          <w:color w:val="111111"/>
          <w:sz w:val="28"/>
          <w:sz w:val="28"/>
          <w:szCs w:val="28"/>
          <w:rtl w:val="true"/>
          <w:lang w:bidi="ar-SA"/>
        </w:rPr>
        <w:t>بحمله على التدبير الواجب بنذر و شبهه، فإنّه إذا وقع كذلك مع سلامته من الدين فلا سبيل للديّان عليه، وإن نذره فراراً من الدين لم ينعقد نذره؛ لأنّه لم يقصد به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دبّر بعض عبده لم ينعتق عليه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دبّر بعض عبده لم يسر على الباقي، بمعنى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566"/>
      </w:r>
      <w:r>
        <w:rPr>
          <w:rFonts w:ascii="Amiri" w:hAnsi="Amiri" w:eastAsia="Amiri" w:cs="Amiri"/>
          <w:color w:val="111111"/>
          <w:sz w:val="28"/>
          <w:sz w:val="28"/>
          <w:szCs w:val="28"/>
          <w:rtl w:val="true"/>
          <w:lang w:bidi="ar-SA"/>
        </w:rPr>
        <w:t xml:space="preserve">ينعتق معجّلاً و لا بعد </w:t>
      </w:r>
      <w:bookmarkStart w:id="475" w:name="pg10270_80456"/>
    </w:p>
    <w:p>
      <w:pPr>
        <w:pStyle w:val="Heading4"/>
        <w:numPr>
          <w:ilvl w:val="3"/>
          <w:numId w:val="1"/>
        </w:numPr>
        <w:rPr/>
      </w:pPr>
      <w:bookmarkStart w:id="476" w:name="__RefHeading___Toc3860320_1067777946"/>
      <w:bookmarkStart w:id="477" w:name="_Toc174"/>
      <w:bookmarkEnd w:id="475"/>
      <w:bookmarkEnd w:id="476"/>
      <w:r>
        <w:rPr>
          <w:rtl w:val="true"/>
        </w:rPr>
        <w:t>مسائل من تدبیر بعض العبد و تقویم حصّة الشریك</w:t>
      </w:r>
      <w:bookmarkEnd w:id="477"/>
    </w:p>
    <w:p>
      <w:pPr>
        <w:pStyle w:val="BookText"/>
        <w:rPr/>
      </w:pPr>
      <w:r>
        <w:rPr>
          <w:rFonts w:ascii="Amiri" w:hAnsi="Amiri" w:eastAsia="Amiri" w:cs="Amiri"/>
          <w:color w:val="111111"/>
          <w:sz w:val="28"/>
          <w:sz w:val="28"/>
          <w:szCs w:val="28"/>
          <w:rtl w:val="true"/>
          <w:lang w:bidi="ar-SA"/>
        </w:rPr>
        <w:t>يقوّم كان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دبّر أحدهما، ثمّ أعتق وجب عليه فكّ حصّة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صاحب الحصّة القنّ لم يجب عليه فكّ الحصّة المدبّرة على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عتق الجزء المدبّر ؛ لأنّ التدبير ليس بعتق وإنّما هو وصيّة به، و على تقدير كونه عتقاً معلّقاً لم يقع بعد فلايدخل في 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شقصاً</w:t>
      </w:r>
      <w:r>
        <w:rPr>
          <w:rFonts w:eastAsia="IRNazanin" w:cs="IRNazanin"/>
          <w:color w:val="111111"/>
          <w:sz w:val="28"/>
          <w:szCs w:val="28"/>
          <w:rtl w:val="true"/>
          <w:lang w:bidi="fa-IR"/>
        </w:rPr>
        <w:t>»</w:t>
      </w:r>
      <w:r>
        <w:rPr>
          <w:rStyle w:val="FootnoteAnchor"/>
          <w:rtl w:val="true"/>
        </w:rPr>
        <w:footnoteReference w:id="1567"/>
      </w:r>
      <w:r>
        <w:rPr>
          <w:rFonts w:ascii="Amiri" w:hAnsi="Amiri" w:eastAsia="Amiri" w:cs="Amiri"/>
          <w:color w:val="111111"/>
          <w:sz w:val="28"/>
          <w:sz w:val="28"/>
          <w:szCs w:val="28"/>
          <w:rtl w:val="true"/>
          <w:lang w:bidi="ar-SA"/>
        </w:rPr>
        <w:t>، و بعد انعتاقه لا يبقى المعتِق موسراً لانتقال ماله عنه بالموت، بخلاف ما إذا علّق عتق نصيبه بصفة فوجدت الصفة و هو موسر و جوّزناه، فإنّه يعتق النصيب و يسري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بالسراية هنا</w:t>
      </w:r>
      <w:r>
        <w:rPr>
          <w:rStyle w:val="FootnoteAnchor"/>
          <w:rtl w:val="true"/>
        </w:rPr>
        <w:footnoteReference w:id="1568"/>
      </w:r>
      <w:r>
        <w:rPr>
          <w:rFonts w:ascii="Amiri" w:hAnsi="Amiri" w:eastAsia="Amiri" w:cs="Amiri"/>
          <w:color w:val="111111"/>
          <w:sz w:val="28"/>
          <w:sz w:val="28"/>
          <w:szCs w:val="28"/>
          <w:rtl w:val="true"/>
          <w:lang w:bidi="ar-SA"/>
        </w:rPr>
        <w:t>، و هو قول بعض العامّة</w:t>
      </w:r>
      <w:r>
        <w:rPr>
          <w:rStyle w:val="FootnoteAnchor"/>
          <w:rtl w:val="true"/>
        </w:rPr>
        <w:footnoteReference w:id="1569"/>
      </w:r>
      <w:r>
        <w:rPr>
          <w:rFonts w:ascii="Amiri" w:hAnsi="Amiri" w:eastAsia="Amiri" w:cs="Amiri"/>
          <w:color w:val="111111"/>
          <w:sz w:val="28"/>
          <w:sz w:val="28"/>
          <w:szCs w:val="28"/>
          <w:rtl w:val="true"/>
          <w:lang w:bidi="ar-SA"/>
        </w:rPr>
        <w:t>، كالعتق المنجّز؛ لأنّه يوجب استحقاق العتق بالموت، فصار كالاستيلاد الموجب لتقويم حصص الشركاءعليه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بمنع الاستحقاق أوّلاً؛ لجواز الرجوع، و منع الملازمة على تقدير الاستحقاق مع عدم تحقّق العتق بالفعل؛ لعدم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التدبير و الاستيلاد أنّ الاستيلاد كالإتلاف، حيث إنّه يمنع التصرّف بالبيع و نحوه و لا سبيل إلى دفعه، بخلاف التدبير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دبّر بعض المملوك المشترك بينه و بين آخر لم يسر على الشريك، و لم يقومّ عليه نصيب الشريك؛ لما تقدّم من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المخالف هنا كالسابق</w:t>
      </w:r>
      <w:r>
        <w:rPr>
          <w:rStyle w:val="FootnoteAnchor"/>
          <w:rtl w:val="true"/>
        </w:rPr>
        <w:footnoteReference w:id="1570"/>
      </w:r>
      <w:r>
        <w:rPr>
          <w:rFonts w:ascii="Amiri" w:hAnsi="Amiri" w:eastAsia="Amiri" w:cs="Amiri"/>
          <w:color w:val="111111"/>
          <w:sz w:val="28"/>
          <w:sz w:val="28"/>
          <w:szCs w:val="28"/>
          <w:rtl w:val="true"/>
          <w:lang w:bidi="ar-SA"/>
        </w:rPr>
        <w:t>، و جوابه جوابه، بل هنا أولى بعدم السراية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لبعض العامّة هنا قول بتخيير الشريك بين أن يضمّنه القيمة، و بين أن يستسعي العبد، </w:t>
      </w:r>
      <w:bookmarkStart w:id="478" w:name="pg10270_80457"/>
    </w:p>
    <w:p>
      <w:pPr>
        <w:pStyle w:val="Heading4"/>
        <w:numPr>
          <w:ilvl w:val="3"/>
          <w:numId w:val="1"/>
        </w:numPr>
        <w:rPr/>
      </w:pPr>
      <w:bookmarkStart w:id="479" w:name="__RefHeading___Toc3860322_1067777946"/>
      <w:bookmarkStart w:id="480" w:name="_Toc175"/>
      <w:bookmarkEnd w:id="478"/>
      <w:bookmarkEnd w:id="479"/>
      <w:r>
        <w:rPr>
          <w:rtl w:val="true"/>
        </w:rPr>
        <w:t>إذا أبق المدبّر بطل تدبيره</w:t>
      </w:r>
      <w:bookmarkEnd w:id="480"/>
    </w:p>
    <w:p>
      <w:pPr>
        <w:pStyle w:val="BookText"/>
        <w:rPr/>
      </w:pPr>
      <w:r>
        <w:rPr>
          <w:rFonts w:ascii="Amiri" w:hAnsi="Amiri" w:eastAsia="Amiri" w:cs="Amiri"/>
          <w:color w:val="111111"/>
          <w:sz w:val="28"/>
          <w:sz w:val="28"/>
          <w:szCs w:val="28"/>
          <w:rtl w:val="true"/>
          <w:lang w:bidi="ar-SA"/>
        </w:rPr>
        <w:t>الرابعة • إذا أبق المدبّر بطل تدبيره و كان هو و من يولد له بعد الإباق رقّاً إن ولد له من أمة، و أولاده قبل الإباق على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أن يدبّر نصيبه أو يعتقه</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لمالك واحد و دبّره أجمع ثمّ رجع في بعض التدبير، فإنّه صحيح كما تقدّم، كما يجوز الرجوع في بعض الوصيّة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يرجع في البعض لايسري ما بقي فيه التدبير على ما رجع إلى محض الرقّ؛ لما</w:t>
      </w:r>
    </w:p>
    <w:p>
      <w:pPr>
        <w:pStyle w:val="BookText"/>
        <w:rPr/>
      </w:pPr>
      <w:r>
        <w:rPr>
          <w:rFonts w:ascii="Amiri" w:hAnsi="Amiri" w:eastAsia="Amiri" w:cs="Amiri"/>
          <w:color w:val="111111"/>
          <w:sz w:val="28"/>
          <w:sz w:val="28"/>
          <w:szCs w:val="28"/>
          <w:rtl w:val="true"/>
          <w:lang w:bidi="ar-SA"/>
        </w:rPr>
        <w:t>تقدّم من أنّه ليس بعتق مطلق</w:t>
      </w:r>
      <w:r>
        <w:rPr>
          <w:rStyle w:val="FootnoteAnchor"/>
          <w:rtl w:val="true"/>
        </w:rPr>
        <w:footnoteReference w:id="1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الخلاف و الحجّة و الجواب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مشتركاً بين اثنين فدبّراه معاً ثمّ عجّل أحدهما العتق فهل يقوّم عليه نصيب الآخر؟ فيه قولان،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ذهب إليه الشيخ في المبسوط محتجّاً؛ بأنّ له جهة يعتق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فلايحتاج إلى جهة أخرى</w:t>
      </w:r>
      <w:r>
        <w:rPr>
          <w:rStyle w:val="FootnoteAnchor"/>
          <w:rtl w:val="true"/>
        </w:rPr>
        <w:footnoteReference w:id="1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التقويم؛ لأنّه لم يخرج عن ملكه بالتدبير فيدخل في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أعتق شقصاً</w:t>
      </w:r>
      <w:r>
        <w:rPr>
          <w:rFonts w:eastAsia="Amiri" w:cs="Amiri" w:ascii="Amiri" w:hAnsi="Amiri"/>
          <w:color w:val="111111"/>
          <w:sz w:val="28"/>
          <w:szCs w:val="28"/>
          <w:rtl w:val="true"/>
          <w:lang w:bidi="ar-SA"/>
        </w:rPr>
        <w:t>»</w:t>
      </w:r>
      <w:r>
        <w:rPr>
          <w:rStyle w:val="FootnoteAnchor"/>
          <w:rtl w:val="true"/>
        </w:rPr>
        <w:footnoteReference w:id="1574"/>
      </w:r>
      <w:r>
        <w:rPr>
          <w:rFonts w:ascii="IRNazanin" w:hAnsi="IRNazanin" w:eastAsia="IRNazanin"/>
          <w:color w:val="111111"/>
          <w:sz w:val="28"/>
          <w:sz w:val="28"/>
          <w:szCs w:val="28"/>
          <w:rtl w:val="true"/>
          <w:lang w:bidi="fa-IR"/>
        </w:rPr>
        <w:t>، 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بحالها، لكن دبّر أحد الشريكين حصّته ثم عجّل عتقها، سرى عليه</w:t>
      </w:r>
    </w:p>
    <w:p>
      <w:pPr>
        <w:pStyle w:val="BookText"/>
        <w:rPr/>
      </w:pPr>
      <w:r>
        <w:rPr>
          <w:rFonts w:ascii="Amiri" w:hAnsi="Amiri" w:eastAsia="Amiri" w:cs="Amiri"/>
          <w:color w:val="111111"/>
          <w:sz w:val="28"/>
          <w:sz w:val="28"/>
          <w:szCs w:val="28"/>
          <w:rtl w:val="true"/>
          <w:lang w:bidi="ar-SA"/>
        </w:rPr>
        <w:t>إلى نصيب الشريك قطعاً؛ للعموم، و تماميّة الملك، و عدم المانع منه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بحالها، لكن كان المعتق هو الشريك الذي لم يدبّر، فهل يسري إلى نصیب شريكه المدبّر؟ القولان السابقان، فعند الشيخ لايسري</w:t>
      </w:r>
      <w:r>
        <w:rPr>
          <w:rStyle w:val="FootnoteAnchor"/>
          <w:rtl w:val="true"/>
        </w:rPr>
        <w:footnoteReference w:id="1575"/>
      </w:r>
      <w:r>
        <w:rPr>
          <w:rFonts w:ascii="Amiri" w:hAnsi="Amiri" w:eastAsia="Amiri" w:cs="Amiri"/>
          <w:color w:val="111111"/>
          <w:sz w:val="28"/>
          <w:sz w:val="28"/>
          <w:szCs w:val="28"/>
          <w:rtl w:val="true"/>
          <w:lang w:bidi="ar-SA"/>
        </w:rPr>
        <w:t>لأنّ حصّة التدبير لها جهة 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السراية؛ لأنّه لم يخرج عن ملكه بالتدبير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أبق المدبّر بطل تدبيره و كان هو و من يولد له بعد الإباق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الحكم ذكره الأصحاب، و ظاهرهم الإجماع عليه، و في الخلاف صرّح بدعوى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إجماعهم عليه أيضاً</w:t>
      </w:r>
      <w:r>
        <w:rPr>
          <w:rStyle w:val="FootnoteAnchor"/>
          <w:rtl w:val="true"/>
        </w:rPr>
        <w:footnoteReference w:id="1576"/>
      </w:r>
    </w:p>
    <w:p>
      <w:pPr>
        <w:pStyle w:val="BookText"/>
        <w:rPr/>
      </w:pPr>
      <w:r>
        <w:rPr>
          <w:rFonts w:ascii="IRNazanin" w:hAnsi="IRNazanin" w:eastAsia="IRNazanin"/>
          <w:color w:val="111111"/>
          <w:sz w:val="28"/>
          <w:sz w:val="28"/>
          <w:szCs w:val="28"/>
          <w:rtl w:val="true"/>
          <w:lang w:bidi="fa-IR"/>
        </w:rPr>
        <w:t>و مستنده رواية محمد بن مسلم عن أبي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جارية مدبّرة أبقت من سيّدها سنيناً، ثمّ جاءت بعد ما مات سيّدها بأولاد و متاع كثير، و شهد لها شاهدان أنّ سيّدها كان دبّرها في حياته من قبل أن تأبق، قال، 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 أنّها و جميع ما معها للورثة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لاتعتق من ثلث سيّدها؟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إنّها أبقت عاصيةً لله عزّ وجلّ و لسيّدها، و أبطل الإباق التدبير</w:t>
      </w:r>
      <w:r>
        <w:rPr>
          <w:rFonts w:eastAsia="IRNazanin" w:cs="IRNazanin"/>
          <w:color w:val="111111"/>
          <w:sz w:val="28"/>
          <w:szCs w:val="28"/>
          <w:rtl w:val="true"/>
          <w:lang w:bidi="fa-IR"/>
        </w:rPr>
        <w:t>»</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معناها رواية العلاء بن رزين عن أبي عبد الله علیه السلام</w:t>
      </w:r>
      <w:r>
        <w:rPr>
          <w:rStyle w:val="FootnoteAnchor"/>
          <w:rtl w:val="true"/>
        </w:rPr>
        <w:footnoteReference w:id="1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طريق الروايتين ضعف</w:t>
      </w:r>
      <w:r>
        <w:rPr>
          <w:rStyle w:val="FootnoteAnchor"/>
          <w:rtl w:val="true"/>
        </w:rPr>
        <w:footnoteReference w:id="1579"/>
      </w:r>
      <w:r>
        <w:rPr>
          <w:rFonts w:ascii="Amiri" w:hAnsi="Amiri" w:eastAsia="Amiri" w:cs="Amiri"/>
          <w:color w:val="111111"/>
          <w:sz w:val="28"/>
          <w:sz w:val="28"/>
          <w:szCs w:val="28"/>
          <w:rtl w:val="true"/>
          <w:lang w:bidi="ar-SA"/>
        </w:rPr>
        <w:t>،إلّا أنّه منجبر بالشهرة أو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فرّقوا بين الإباق و 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يكن الارتداد موجباً لبطلان التدبير، مع اشتراكهما في معصية المولى، و كون الثاني أقوى من حيث إنّ معصية الله تعالى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الإباق يقتضي معصية الموليين معاً، و المولى الآدمي محتاج إلى خدمته، فقوبل بنقيض مقصوده حيث فوّتها عليه، بخلاف معصيته لله تعالى بالارتداد، فإنّه غنيّ عنه و لاتعلّق لذلك بالمولى المحتاج</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تكلّف تعليل مع النصّ الذي هو الأصل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ينتقض بإباقه من عند المخدوم الذي علّق تدبيره على موته، فإنّه لايبطل بإباقه كما سلف</w:t>
      </w:r>
      <w:r>
        <w:rPr>
          <w:rStyle w:val="FootnoteAnchor"/>
          <w:rtl w:val="true"/>
        </w:rPr>
        <w:footnoteReference w:id="1580"/>
      </w:r>
      <w:r>
        <w:rPr>
          <w:rFonts w:ascii="Amiri" w:hAnsi="Amiri" w:eastAsia="Amiri" w:cs="Amiri"/>
          <w:color w:val="111111"/>
          <w:sz w:val="28"/>
          <w:sz w:val="28"/>
          <w:szCs w:val="28"/>
          <w:rtl w:val="true"/>
          <w:lang w:bidi="ar-SA"/>
        </w:rPr>
        <w:t>و سيأتي</w:t>
      </w:r>
      <w:r>
        <w:rPr>
          <w:rStyle w:val="FootnoteAnchor"/>
          <w:rtl w:val="true"/>
        </w:rPr>
        <w:footnoteReference w:id="1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اشتراكهما في الحاجة، و إنّما الفارق النصّ</w:t>
      </w:r>
      <w:r>
        <w:rPr>
          <w:rFonts w:eastAsia="Amiri" w:cs="Amiri" w:ascii="Amiri" w:hAnsi="Amiri"/>
          <w:color w:val="111111"/>
          <w:sz w:val="28"/>
          <w:szCs w:val="28"/>
          <w:rtl w:val="true"/>
          <w:lang w:bidi="ar-SA"/>
        </w:rPr>
        <w:t xml:space="preserve">. </w:t>
      </w:r>
      <w:bookmarkStart w:id="481" w:name="pg10270_80459"/>
    </w:p>
    <w:p>
      <w:pPr>
        <w:pStyle w:val="Heading4"/>
        <w:numPr>
          <w:ilvl w:val="3"/>
          <w:numId w:val="1"/>
        </w:numPr>
        <w:rPr/>
      </w:pPr>
      <w:bookmarkStart w:id="482" w:name="__RefHeading___Toc3860324_1067777946"/>
      <w:bookmarkStart w:id="483" w:name="_Toc176"/>
      <w:bookmarkEnd w:id="481"/>
      <w:bookmarkEnd w:id="482"/>
      <w:r>
        <w:rPr>
          <w:rtl w:val="true"/>
        </w:rPr>
        <w:t>لايبطل تدبير المملوك لو ارتدّ</w:t>
      </w:r>
      <w:bookmarkEnd w:id="4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يبطل تدبير المملوك لو ارتدّ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التحق بدار الحرب بطل؛ لأنّه إباق، و لو مات مولاه قبل فراره تحرّر</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3860326_1067777946"/>
      <w:bookmarkStart w:id="485" w:name="_Toc177"/>
      <w:bookmarkEnd w:id="484"/>
      <w:r>
        <w:rPr>
          <w:rtl w:val="true"/>
        </w:rPr>
        <w:t>ما يكتسبه المدبَّر لمولاه</w:t>
      </w:r>
      <w:bookmarkEnd w:id="485"/>
    </w:p>
    <w:p>
      <w:pPr>
        <w:pStyle w:val="BookText"/>
        <w:rPr/>
      </w:pPr>
      <w:r>
        <w:rPr>
          <w:rFonts w:ascii="Amiri" w:hAnsi="Amiri" w:eastAsia="Amiri" w:cs="Amiri"/>
          <w:color w:val="111111"/>
          <w:sz w:val="28"/>
          <w:sz w:val="28"/>
          <w:szCs w:val="28"/>
          <w:rtl w:val="true"/>
          <w:lang w:bidi="ar-SA"/>
        </w:rPr>
        <w:t>الخامسة ما يكتسبه المدبّر لمولاه؛ لأنّه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 المدبّر و الوارث فيما في يده بعد موت المولى، فقال المدبّر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اكتسبته بعد الوفاة، فالقول قوله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أقام كلّ منهما بيّنة فالبيّنة بيّنة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لايبطل تدبير المملوك لو ارتدّ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التحق بدار الحرب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ارتداد المملوك لايبطل تدبيره مطلقاً وإن حكم بقتله؛ للأصل، ما لم ينضمّ إليه الإباق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يلتحق بدار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من حيث الإباق كما تقدّم</w:t>
      </w:r>
      <w:r>
        <w:rPr>
          <w:rStyle w:val="FootnoteAnchor"/>
          <w:rtl w:val="true"/>
        </w:rPr>
        <w:footnoteReference w:id="1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لابن الجنيد، حيث اكتفى في بطلان تدبيره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ارتداده أو التحاقه بدار الحرب و أسر المسلمين له</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كلاهما ممنوع؛ إذ لا دليل على البطلان بمجرّد 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إلحاقه بالاباق قياس مع وجود الفارق، كما أشرنا إليه سابقاً من حاجة المولى و غنى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التحاقه بدار الحرب لايشترط انضمام الأسر إليه؛ لأنّ الإباق علّة مستقلّة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مات مولاه بعد ارتداده و قبل فراره إلى دار الحرب أو إباقه بغيره تحرّر، لوجود المقتضي للعتق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قتل قبل موت مولاه بطل كما لو مات حتف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يكتسبه المدبّر لمولاه؛ لأنّه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المدبّر في حياة مولاه بمنزلة الرقّ، فكسبه و منافعه للمولى، سواء جعلنا التدبير وصيّة بالعتق أم عتقا معلّقاً؛ لأنّه لم يحصل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المولى و عتق من الثلث أو بعضه،و وجد معه مال فادّعى أنّه اكتسبه بعد الموت، و ادّعى الوارث تقدّمه، فالقول قول المدبّر مع يمينه؛ لأصالة عدم التقدّم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لايلزم من تقديم قوله في تأخّره الحكم بكونه ملكه، بل قد يكون كذلك كما إذا كان خارجاً من الثلث، و قد لايكون كما لو لم يكن خارجاً منه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فرض أنّه لم يخلّف سواه، و كانت قيمته ثلاثين والكسب المتنازع ستّين، فالوارث يدّعى انعتاقه أجمع و أنّ الكسب له؛ لكونه ضعف قيمته، و دعواه تأخّره يقتضي أنّه لم ينعتق منه إلّا ثلثه، و يتبعه ثلث الكسب و أنّ الثلاثين للورثة، لكن لايحكم عليهم بعتق جزء منه إلّا مقدار ما يصل إليهم من التركة ضعفه، فحيث لم يصادقهم على تقدّم الكسب و قدّم قوله فيه لزم تصادقهما على استحقاق الوارث ثلثي الكسب، فإذا وصل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المثال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مع المدبّر مجموع التركة و هو سبعون فينعتق منه ثلثها و هو ثلاثة و عشرون و ثلث، و ذلك سبعة أتساع المدبّر، و يلحقه عشرون من كسبه هو الثلث الذي ثبت باعترافه، فيدفع إلى الوارث منها ستّة و ثلثين هي تمام القيمة و يبقى له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هذا أن يثبت له زيادةً على ما يدّعيه؛ لأنّ دعواه التي قد حلف عليها و قدّم قوله فيها أنّه انعتق ثلثه و استحق ثلث الكسب و ذلك 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دعواه أيضاً شرعاً أنّ مجموع الكسب للورثة و ليس له إلّا رقبته؛ لأنّ ما يحصل له من الكسب يجب عليه دفعه في فكاك باقيه، و هو بتمامه تمام الباقي، فكيف يستحقّ الزائد و هو ينفيه ؟</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حصلت له من قبل الجزء الحرّ، و هو حقّ لله تعالى يثبت منه ما يقتضيه الشرع، و لايلتفت فيه إلى إنكاره، بخلاف المال؛ و ذلك لأنّ مقتضى دعواه في المال لمّا كانت استحقاق عشرين لم نزده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العتق فإنّ الشرع يحكم بعتق ثلث ما يتحصّل بيد الوارث من التركة، و لما اعترف له من الكسب بأربعين و قيمته تساوي ثلاثين فقد تحصّل بأيديهم سبعون، فيحكم بعتق مقدار ثلثها منه، سواء اعترف به أم أنكره؛ لأنّ العتق حقّ لله تعالى فيحصل له منه مقدار ثلاثة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أُضيفت إلى ما حكم له به من الكسب زاد عن القيمة فكان الزائد له لأجل ذلك</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قس على هذا ما إذا قصر الكسب عن ضعفه، أو خلف شيئاً آخر معه لايبلغ الضعف فلو كان كسبه مقدار قيمته كان له ثلثه بدعواه التي قدّم فيها، و ضمّ ثلثاه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عشرون في المثال </w:t>
      </w:r>
      <w:bookmarkStart w:id="486" w:name="pg10270_80461"/>
    </w:p>
    <w:p>
      <w:pPr>
        <w:pStyle w:val="BookText"/>
        <w:rPr/>
      </w:pPr>
      <w:bookmarkEnd w:id="486"/>
      <w:r>
        <w:rPr>
          <w:rFonts w:ascii="Amiri" w:hAnsi="Amiri" w:eastAsia="Amiri" w:cs="Amiri"/>
          <w:color w:val="111111"/>
          <w:sz w:val="28"/>
          <w:sz w:val="28"/>
          <w:szCs w:val="28"/>
          <w:rtl w:val="true"/>
          <w:lang w:bidi="ar-SA"/>
        </w:rPr>
        <w:t>إذا جُني على المدبَّر بما دون النفس</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جني على المدبَّر بما دون النفس كان الأرش للمولى و لايبطل التدبير، وإن قتل بطل التدبير و كانت قيمته للمولى يقوّم مدبّراً</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3860328_1067777946"/>
      <w:bookmarkStart w:id="488" w:name="_Toc178"/>
      <w:bookmarkEnd w:id="487"/>
      <w:r>
        <w:rPr>
          <w:rtl w:val="true"/>
        </w:rPr>
        <w:t>إذا جُنى المدبّر</w:t>
      </w:r>
      <w:bookmarkEnd w:id="488"/>
    </w:p>
    <w:p>
      <w:pPr>
        <w:pStyle w:val="BookText"/>
        <w:rPr/>
      </w:pPr>
      <w:r>
        <w:rPr>
          <w:rFonts w:ascii="Amiri" w:hAnsi="Amiri" w:eastAsia="Amiri" w:cs="Amiri"/>
          <w:color w:val="111111"/>
          <w:sz w:val="28"/>
          <w:sz w:val="28"/>
          <w:szCs w:val="28"/>
          <w:rtl w:val="true"/>
          <w:lang w:bidi="ar-SA"/>
        </w:rPr>
        <w:t>السابعة • إذا جُنى المدبّر تعلّق أرش الجناية برقبته و لسيّده فكّه بأرش الجناية، و له بيعه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فكّه فهو على تدبيره، وإن باعه و كانت الجناية تستغرقه فالقيمة لمستحقّ الأرش، وإن لم تستغرقه بيع منه بقدر الجناية، و الباقي على التدبير، و لمولاه أن يبيع خدمته، و له أن يرجع في تدبيره ثمّ يبيعه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مجموع المدبّر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قيمته 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فيعتق ثلث الخمسين و هو ستة عشر و ثلثان، و هي خمسة أتساعه، و له ثلث كسبه عشرة، و يجتمع للورثة عشرون من الكسب و ثلاثة عشر و ثلث من رقبته، و ذلك ضعف ما عتق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جني على المدبّر بما دون النفس كان الأرش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الجناية على المدبّر كهي على القنّ، فإن جني عليه بما دون النفس فللسيّد القصاص أو</w:t>
      </w:r>
    </w:p>
    <w:p>
      <w:pPr>
        <w:pStyle w:val="BookText"/>
        <w:rPr/>
      </w:pPr>
      <w:r>
        <w:rPr>
          <w:rFonts w:ascii="Amiri" w:hAnsi="Amiri" w:eastAsia="Amiri" w:cs="Amiri"/>
          <w:color w:val="111111"/>
          <w:sz w:val="28"/>
          <w:sz w:val="28"/>
          <w:szCs w:val="28"/>
          <w:rtl w:val="true"/>
          <w:lang w:bidi="ar-SA"/>
        </w:rPr>
        <w:t>الأرش، و يبقى التدبير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قتل فللسيّد القصاص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لايلزمه أن يشتري بها مملوكاً فيدبّره وإن كان التدبير واجباً، بخلاف ما إذا وقف متاعاً</w:t>
      </w:r>
    </w:p>
    <w:p>
      <w:pPr>
        <w:pStyle w:val="BookText"/>
        <w:rPr/>
      </w:pPr>
      <w:r>
        <w:rPr>
          <w:rFonts w:ascii="Amiri" w:hAnsi="Amiri" w:eastAsia="Amiri" w:cs="Amiri"/>
          <w:color w:val="111111"/>
          <w:sz w:val="28"/>
          <w:sz w:val="28"/>
          <w:szCs w:val="28"/>
          <w:rtl w:val="true"/>
          <w:lang w:bidi="ar-SA"/>
        </w:rPr>
        <w:t>فأتلف، فإنّا قد نقول يشترى بقيمته مثله و يوقف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أنّ مقصود الوقف أن ينتفع به الموقوف عليهم و هم باقون، و مقصود التدبير أن</w:t>
      </w:r>
    </w:p>
    <w:p>
      <w:pPr>
        <w:pStyle w:val="BookText"/>
        <w:rPr/>
      </w:pPr>
      <w:r>
        <w:rPr>
          <w:rFonts w:ascii="Amiri" w:hAnsi="Amiri" w:eastAsia="Amiri" w:cs="Amiri"/>
          <w:color w:val="111111"/>
          <w:sz w:val="28"/>
          <w:sz w:val="28"/>
          <w:szCs w:val="28"/>
          <w:rtl w:val="true"/>
          <w:lang w:bidi="ar-SA"/>
        </w:rPr>
        <w:t>ينتفع به العبد و لم يبق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الحاجة إلى تقويمه لتؤخذ القيمة أو الأرش يقوّم مدبّراً لا قنّاً؛ لأنّ تلك هي صفته التي هو عليها يوم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التفاوت على تقدير القول بالمنع من بيع رقبته، أو كان لازماً بنذر و شبهه بحيث لايجوز الرجوع فيه، فيكون لذلك قيمته أقلّ من قيمة القنّ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التدبير متبرَّعاً به و جوّزنا بيعه مطلقاً كما يجوز الرجوع فيه لم يظهر بين القيمتين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جنى المدبّر تعلّق أرش الجناية برقبته إلى آخره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جناية المدبّر على غيره كجناية القنّ، فإذا جنى على إنسان تعلّق برقبته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ما قلناه لو باع رقبته ابتداءً صحّ، و كان ذلك نقضاً للتدبير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رواية إذا لم يقصد نقض التدبير كان التدبير باقياً، و ينعتق بموت المولى و لا سبيل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المولى قبل افتكاكه انعتق و لايثبت أرش الجناية في تركة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موجباً للقصاص فاقتصّ منه فات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عفى عنه أو رضي المولى بالمال أو كانت الجناية توجب مالاً فقداه السيّد بأرش الجناية أو بأقلّ الأمرين على الخلاف المقرّر في جناية القنّ بقي على التدبير، و له بيعه فيها أو بعضه، فيبطل فيما بيع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يجوز لمولاه الاقتصار على بيع خدمته منفردةً عن الرقبة؟ قولان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قطع به المصنّف هنا، و هو مذهب الشيخ</w:t>
      </w:r>
      <w:r>
        <w:rPr>
          <w:rStyle w:val="FootnoteAnchor"/>
          <w:rtl w:val="true"/>
        </w:rPr>
        <w:footnoteReference w:id="1584"/>
      </w:r>
      <w:r>
        <w:rPr>
          <w:rFonts w:ascii="Amiri" w:hAnsi="Amiri" w:eastAsia="Amiri" w:cs="Amiri"/>
          <w:color w:val="111111"/>
          <w:sz w:val="28"/>
          <w:sz w:val="28"/>
          <w:szCs w:val="28"/>
          <w:rtl w:val="true"/>
          <w:lang w:bidi="ar-SA"/>
        </w:rPr>
        <w:t>و جماعة</w:t>
      </w:r>
      <w:r>
        <w:rPr>
          <w:rStyle w:val="FootnoteAnchor"/>
          <w:rtl w:val="true"/>
        </w:rPr>
        <w:footnoteReference w:id="1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لتصريح الروايات الكثيرة به</w:t>
      </w:r>
      <w:r>
        <w:rPr>
          <w:rStyle w:val="FootnoteAnchor"/>
          <w:rtl w:val="true"/>
        </w:rPr>
        <w:footnoteReference w:id="1586"/>
      </w:r>
      <w:r>
        <w:rPr>
          <w:rFonts w:ascii="Amiri" w:hAnsi="Amiri" w:eastAsia="Amiri" w:cs="Amiri"/>
          <w:color w:val="111111"/>
          <w:sz w:val="28"/>
          <w:sz w:val="28"/>
          <w:szCs w:val="28"/>
          <w:rtl w:val="true"/>
          <w:lang w:bidi="ar-SA"/>
        </w:rPr>
        <w:t>، و أنّ رسول الله صلّى الله عليه و آله و سلّم باع خدمة المدبّر</w:t>
      </w:r>
      <w:r>
        <w:rPr>
          <w:rStyle w:val="FootnoteAnchor"/>
          <w:rtl w:val="true"/>
        </w:rPr>
        <w:footnoteReference w:id="1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طريق الروايات ضعف</w:t>
      </w:r>
      <w:r>
        <w:rPr>
          <w:rStyle w:val="FootnoteAnchor"/>
          <w:rtl w:val="true"/>
        </w:rPr>
        <w:footnoteReference w:id="1588"/>
      </w:r>
      <w:r>
        <w:rPr>
          <w:rFonts w:ascii="Amiri" w:hAnsi="Amiri" w:eastAsia="Amiri" w:cs="Amiri"/>
          <w:color w:val="111111"/>
          <w:sz w:val="28"/>
          <w:sz w:val="28"/>
          <w:szCs w:val="28"/>
          <w:rtl w:val="true"/>
          <w:lang w:bidi="ar-SA"/>
        </w:rPr>
        <w:t>، فلاتصلح لإثبات هذا الحكم المخالف للأُصول من أنّ البيع إنّما يقع على الأعيان لا على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بعدم الصحّة أصحّ، و به قطع المصنّف في موضع آخر</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جوّزنا بيع الخدمة منفردةً و وفت بالجناية بقي على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باع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بعد نقضه، أو مطلقاً على القول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الموجب لذكر حكم بيعه أو بيع خدمته هنا؛ لأنّ هذا الحكم آتٍ على تقدير الجناية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التي أشار إليها المصنّف من أنّ التدبير لايبطل بالبيع وينصرف إلى الخدمة و ينعتق المدبّر بموت المولى قد تقدّم الإشارة إليها و الكلام عليها فيما سلف، </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أبقَ المدبّر بطل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 خدمته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المخدوم، ثمّ هو حرّ بعد موت ذلك الغير لم يبطل تدبيره بإباقه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أعادها هنا ليرتّب عليها حكم الجناية، و قد كان يغني عنه ما تقدّم</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فلو مات مولى المدبّر الجاني قبل افتكاكه و قبل بيعه و استرقاقه فيها اجتمع العتق و الجناية، فيقدّم العتق لسبق سببه عليها، و بنائه على التغليب، و تعلّق الأرش برقبته أو ماله لا بتركة المولى و لا على الوارث؛ لخروجه عن الرقّيّة قبل أخذ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الأرش من تركة المولى</w:t>
      </w:r>
      <w:r>
        <w:rPr>
          <w:rStyle w:val="FootnoteAnchor"/>
          <w:rtl w:val="true"/>
        </w:rPr>
        <w:footnoteReference w:id="1591"/>
      </w:r>
      <w:r>
        <w:rPr>
          <w:rFonts w:ascii="Amiri" w:hAnsi="Amiri" w:eastAsia="Amiri" w:cs="Amiri"/>
          <w:color w:val="111111"/>
          <w:sz w:val="28"/>
          <w:sz w:val="28"/>
          <w:szCs w:val="28"/>
          <w:rtl w:val="true"/>
          <w:lang w:bidi="ar-SA"/>
        </w:rPr>
        <w:t>لأنّه أعتقه بالتدبير السابق، فجرى مجرى إعتاق العبد الجاني إذا قلنا بنفوذه، فإنّه التزام بالفداء، فيؤخذ منها أرش الجناية أو أقلّ الأمرين على الخلاف؛ لتعذّر تسليمه لاستيفاء حقّ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قلنا بأنّه لاينعتق حينئذٍ تخيّر الوارث بين أن يفديه فيعتق من الثلث، و بين أن يسلّمه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ثلث المال سعة، فإذا بيع للجناية أو استرقّ بطل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Style w:val="FootnoteAnchor"/>
          <w:rtl w:val="true"/>
        </w:rPr>
        <w:footnoteReference w:id="1592"/>
      </w:r>
      <w:r>
        <w:rPr>
          <w:rFonts w:ascii="Amiri" w:hAnsi="Amiri" w:eastAsia="Amiri" w:cs="Amiri"/>
          <w:color w:val="111111"/>
          <w:sz w:val="28"/>
          <w:sz w:val="28"/>
          <w:szCs w:val="28"/>
          <w:rtl w:val="true"/>
          <w:lang w:bidi="ar-SA"/>
        </w:rPr>
        <w:t>و القاضي</w:t>
      </w:r>
      <w:r>
        <w:rPr>
          <w:rStyle w:val="FootnoteAnchor"/>
          <w:rtl w:val="true"/>
        </w:rPr>
        <w:footnoteReference w:id="1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لايبطل بل يستسعي في قيمته بعد موت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اختاره في الدروس</w:t>
      </w:r>
      <w:r>
        <w:rPr>
          <w:rStyle w:val="FootnoteAnchor"/>
          <w:rtl w:val="true"/>
        </w:rPr>
        <w:footnoteReference w:id="1594"/>
      </w:r>
      <w:r>
        <w:rPr>
          <w:rFonts w:ascii="Amiri" w:hAnsi="Amiri" w:eastAsia="Amiri" w:cs="Amiri"/>
          <w:color w:val="111111"/>
          <w:sz w:val="28"/>
          <w:sz w:val="28"/>
          <w:szCs w:val="28"/>
          <w:rtl w:val="true"/>
          <w:lang w:bidi="ar-SA"/>
        </w:rPr>
        <w:t>لصحيحة أبي بصير</w:t>
      </w:r>
      <w:r>
        <w:rPr>
          <w:rStyle w:val="FootnoteAnchor"/>
          <w:rtl w:val="true"/>
        </w:rPr>
        <w:footnoteReference w:id="1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أبق المدبّر بطل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بطلان التدبير بالاباق على خلاف الأصل، فيقتصر فيه على مورد النصّ الوارد فيه، و هو إباقه من المولى المعلّق تدبيره بوفاته</w:t>
      </w:r>
      <w:r>
        <w:rPr>
          <w:rStyle w:val="FootnoteAnchor"/>
          <w:rtl w:val="true"/>
        </w:rPr>
        <w:footnoteReference w:id="1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جعل خدمته لغيره و علّق تدبيره على وفاة </w:t>
      </w:r>
      <w:bookmarkStart w:id="489" w:name="pg10270_80464"/>
    </w:p>
    <w:p>
      <w:pPr>
        <w:pStyle w:val="BookText"/>
        <w:rPr/>
      </w:pPr>
      <w:bookmarkEnd w:id="489"/>
      <w:r>
        <w:rPr>
          <w:rFonts w:ascii="Amiri" w:hAnsi="Amiri" w:eastAsia="Amiri" w:cs="Amiri"/>
          <w:color w:val="111111"/>
          <w:sz w:val="28"/>
          <w:sz w:val="28"/>
          <w:szCs w:val="28"/>
          <w:rtl w:val="true"/>
          <w:lang w:bidi="ar-SA"/>
        </w:rPr>
        <w:t>فروع أربعة</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3860330_1067777946"/>
      <w:bookmarkStart w:id="491" w:name="_Toc179"/>
      <w:bookmarkEnd w:id="490"/>
      <w:r>
        <w:rPr>
          <w:rtl w:val="true"/>
        </w:rPr>
        <w:t>المال الذی يستفيده المدبَّر بعد موت مولاه لمن؟</w:t>
      </w:r>
      <w:bookmarkEnd w:id="49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استفاد المدبّر مالاً بعد موت مولاه فإن خرج المدبّر من الثلث فالكلّ له، وإلّا كان له من الكسب بقدر ما تحرّر منه، و الباقي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المخدوم لم يبطل بإباقه؛ للأصل،و صحيحة يعقوب بن شعيب السابقة</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بقي ما لو علّق تدبيره بوفاة الزوج أو غيره حيث نجوّزه فأبق، و مقتضى هاتين القاعدتين أنّ خدمته إن لم تكن مجعولةً لغير المولى تبطل بإباقه وإن لم يكن تدبيره معلّقاً بوفاته؛ لشمول الروايات الدالّة على بطلان تدبيره بإباقه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جعل خدمته لغيره و علّق تدبيره على وفاة غير المخدوم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فأبق ففي بطلان تدبيره بذلك نظر؛ إذ كلّ واحدةٍ من الروايات الواردة من الجانبين لاتتناول هذا الفرد، و الأصل يقتضي عدم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بقصر عدم البطلان على إباق من جعلت خدمته لغيره و علّق تدبيره علىوفاة المخدوم كان حسناً؛ لأنّ هذا الحكم قد صار على خلاف الأصل، بالنظر إلىقاعدة الأصحاب في المسألة، و ظهور اتّفاقهم على أنّ إباق المدبّر مبطل له إلّا ما أخرجه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أسقط التدبير المعلّق بوفاة غير المولى و المخدوم نظراً إلى عدم النصّ الدالّ على الصحّة ارتفع الإشكال الواقع هنا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استفاد المدبّر مالاً بعد موت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الحكم واضح بعد ما سلف من المقدّمات، فإنّ المدبر مع خروجه من الثلث ينعتق بمجرّد موت المولى، فيكون ما يكتسبه بعده واقعاً حال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يخرج من الثلث و عتق منه شيء كان الكسب تابعاً لما فيه الرقّيّة و الحرّيّة بالنسبة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عتقه معلّقاً على وفاة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معلّقاً على وفاة غيره كالمخدوم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له مال غائب بقدر قيمته مرّتين تحرّر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حصل من المال شيء تحرّر من المدبّر بنسبته، وإن تلف استقرّ العتق في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تأخّر موته عن موت المولى، فإنّه باقي على الرقّيّة للورثة إلى أن يموت المخدوم، فكسبه لهم مطلقاً؛ لأنّه حينئذٍ باقي على التدبير و الرقّيّة إلى أن يحصل المعلّق عليه العتق أو الوصيّة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للوارث الرجوع في تدبيره بين وفاة المولى و المخدوم كما كان ذلك جائزاً للمولى؟ نظر، من إطلاق النصوص</w:t>
      </w:r>
      <w:r>
        <w:rPr>
          <w:rStyle w:val="FootnoteAnchor"/>
          <w:rtl w:val="true"/>
        </w:rPr>
        <w:footnoteReference w:id="1598"/>
      </w:r>
      <w:r>
        <w:rPr>
          <w:rFonts w:ascii="Amiri" w:hAnsi="Amiri" w:eastAsia="Amiri" w:cs="Amiri"/>
          <w:color w:val="111111"/>
          <w:sz w:val="28"/>
          <w:sz w:val="28"/>
          <w:szCs w:val="28"/>
          <w:rtl w:val="true"/>
          <w:lang w:bidi="ar-SA"/>
        </w:rPr>
        <w:t>و الفتاوى بجواز الرجوع في التدبير ما لم يحكم بعتقه، ومن إمكان اختصاص ذلك برجوع المولى المدبّر، و من ثَمّ لم يجزئ له الرجوع في تدبير أولاد المدبّرة المتجدّدين بعد التدبير من حيث إنّه لم يدبّرهم، فكان وارثه بالنسبة إلى تدبير المورّث بمنزلة المولى في تدبير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الفرق بأنّ الوارث قائم مقام الموّرث و وارث حقّه المالي و ما يتعلّق به من الحقوق كحقّ الخيار و الشفعة و هذا منها، بخلاف تدبير الأولاد، فإنّه مستند إلى الله تعالى لا إلى المولى؛ فلذلك لم يكن له الرجوع فيه، و للنصّ</w:t>
      </w:r>
      <w:r>
        <w:rPr>
          <w:rStyle w:val="FootnoteAnchor"/>
          <w:rtl w:val="true"/>
        </w:rPr>
        <w:footnoteReference w:id="1599"/>
      </w:r>
      <w:r>
        <w:rPr>
          <w:rFonts w:ascii="Amiri" w:hAnsi="Amiri" w:eastAsia="Amiri" w:cs="Amiri"/>
          <w:color w:val="111111"/>
          <w:sz w:val="28"/>
          <w:sz w:val="28"/>
          <w:szCs w:val="28"/>
          <w:rtl w:val="true"/>
          <w:lang w:bidi="ar-SA"/>
        </w:rPr>
        <w:t>الدالّ عليه و هو مفقود هنا، مع أصالة بقاء الملك على مالكه و جواز تصرّف المالك في المملوك بأنواع التصرّفات إلى أن يثبت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له مال غائب بقدر قيمته مرّتين تحرّر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دبّر عبداً و مات و باقي ماله غائب عن الورثة أو دين على معسر لم يعتق جميع المدبّر ؛</w:t>
      </w:r>
    </w:p>
    <w:p>
      <w:pPr>
        <w:pStyle w:val="BookText"/>
        <w:rPr/>
      </w:pPr>
      <w:r>
        <w:rPr>
          <w:rFonts w:ascii="Amiri" w:hAnsi="Amiri" w:eastAsia="Amiri" w:cs="Amiri"/>
          <w:color w:val="111111"/>
          <w:sz w:val="28"/>
          <w:sz w:val="28"/>
          <w:szCs w:val="28"/>
          <w:rtl w:val="true"/>
          <w:lang w:bidi="ar-SA"/>
        </w:rPr>
        <w:t>لأنّ عتقه موقوف على أن يصل إلى الورثة من التركة ضعفه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يعتق ثلثه معجّلاً؟ فيه وجهان، أصحّهما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قطع به المصنّف و الأكثر ، و قوّاه الشيخ في المبسوط</w:t>
      </w:r>
      <w:r>
        <w:rPr>
          <w:rStyle w:val="FootnoteAnchor"/>
          <w:rtl w:val="true"/>
        </w:rPr>
        <w:footnoteReference w:id="1600"/>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الغيبة لاتزيد على العدم، و لو لم يكن يملك إلّا هذا العبد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كوتب ثمّ دبّر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أدّى مال الكتابة عتق بالكتابة، وإن تأخّر حتّى مات المولى عتق بالتدبير إن خرج من الثلث، و إلّا عتق منه الثلث، و سقط من مال الكتابة بنسبته، و كان الباقي مكاتباً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دبّره ثمّ كاتبه كان نقضاً للتدبير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دبّره ثمّ قاطعه على مال ليعجّل له العتق، لم يكن إبطالاً للتدبير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لعتق ثلثه فكذلك عند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فثلث اكتسابه بعد موت السيّد له، و يوقف الباقي فإن وصل المال إلى الوارث تبيّن عتقه أجمع و تبعه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أنّه لايعتق حتى يصل المال إلى الورثة؛ لأنّه في تنجيز العتق تنفيذ التبرّع في الثلث قبل تسلّط الورثة على الثلاثين؛ إذ لا بدّ من التوقّف في الثلاثين إلى أن يتبيّن حال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مثله في الوصايا فيما إذا أوصى بعين تخرج من الثلث لكن باقي المال غائب، فإنّ في تسلّط الموصى له الوجهين</w:t>
      </w:r>
      <w:r>
        <w:rPr>
          <w:rStyle w:val="FootnoteAnchor"/>
          <w:rtl w:val="true"/>
        </w:rPr>
        <w:footnoteReference w:id="1601"/>
      </w:r>
      <w:r>
        <w:rPr>
          <w:rFonts w:ascii="Amiri" w:hAnsi="Amiri" w:eastAsia="Amiri" w:cs="Amiri"/>
          <w:color w:val="111111"/>
          <w:sz w:val="28"/>
          <w:sz w:val="28"/>
          <w:szCs w:val="28"/>
          <w:rtl w:val="true"/>
          <w:lang w:bidi="ar-SA"/>
        </w:rPr>
        <w:t>و أصحّهما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الوجهين ما إذا كان قيمة المدبّر مائة و الغائب مائتين فحضرت مائة، فعلى المختار يعتق ثلثاه؛ لأنّ ثلثه عتق في الحال فإذا حضرت مائة عتق بقدر ثلثها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يعتق نصفه؛ لحصول مثليه للورثة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حضرت مائة و تلفت مائة استقرّ العتق في ثلثيه و تسلّط الورثة على ثلثه و على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يخرج على الوجه الثاني أنّ للوارث التصرّف في الثلثين كما يحكم بعتق الثلث</w:t>
      </w:r>
    </w:p>
    <w:p>
      <w:pPr>
        <w:pStyle w:val="BookText"/>
        <w:rPr/>
      </w:pPr>
      <w:r>
        <w:rPr>
          <w:rFonts w:ascii="IRNazanin" w:hAnsi="IRNazanin" w:eastAsia="IRNazanin"/>
          <w:color w:val="111111"/>
          <w:sz w:val="28"/>
          <w:sz w:val="28"/>
          <w:szCs w:val="28"/>
          <w:rtl w:val="true"/>
          <w:lang w:bidi="fa-IR"/>
        </w:rPr>
        <w:t>مراعاة للحقّين المتلازمين، فإن حضر الغائب نقض تصرّفه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الأصحّ خلاف ذلك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كما يوقف كسبه في الثلثين قبل وصول المال توقف نفقته، بمعنى أنّه ينفق عليه منه فإن وفى وإلّا أكمل الوارث، فإن حضر المال و عتق أجمع رجع الوارث بما غرم منها عليه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كوتب ثمّ دبّر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أدّى مال الكتابة عتق بالكتابة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ثلاث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كاتبه ثم دبّره صحّ؛ لعدم المنافاة، فإنّ الكتابة لازمة لاتبطل بطروّ الجائز، و الكتابة وإن اقتضت تمليك المكاتب نفسه إلّا أنّه ليس ملكاً تامّاً فلاينافي التدبير، و من ثَمّ جاز تعجيل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فيجتمع عليه الأمران، فإن أدّى مال الكتابة في حياة المولى عتق و بطل التدبير، وإن عجز فعجّزه المولى بطلت الكتابة و بقي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المولى قبل الأداء و التعجيز عتق بالتدبير إن احتمله الثلث و يتبعه ولده، لكن يبقى الكلام في كسبه في حال الحياة بعد الكتابة؛ فإنّه لايتبع المدبّر و يتبع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بطلان الكتابة حينئذٍ وجهان، مثلهما ما لو أعتق السيّد مكاتبه قبل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أنّها لاتبطل؛ للأصل، فإن بقي من الأحكام شيء يتوقّف عليها تأدّى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عجز الثلث عن عتقه عتق ما يحتمله، وسقط من مال الكتابة بحسبه، و بقي الباقي مكاتباً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يدبّره ثم يكاتبه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ارتفاع التدبير به قولان، مبنيان على أنّ التدبير وصيّة أو 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الأوّل يبطل كما تبطل الوصيّة بالعبد لإنسان ثمّ يكاتبه، و لأنّ العبد يصير بالكتابة مالكاً لنفسه، فكأنّ السيّد أزال ملكه عنه، فيكون الحكم كما لو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اختيار الشيخ</w:t>
      </w:r>
      <w:r>
        <w:rPr>
          <w:rStyle w:val="FootnoteAnchor"/>
          <w:rtl w:val="true"/>
        </w:rPr>
        <w:footnoteReference w:id="1602"/>
      </w:r>
      <w:r>
        <w:rPr>
          <w:rFonts w:ascii="Amiri" w:hAnsi="Amiri" w:eastAsia="Amiri" w:cs="Amiri"/>
          <w:color w:val="111111"/>
          <w:sz w:val="28"/>
          <w:sz w:val="28"/>
          <w:szCs w:val="28"/>
          <w:rtl w:val="true"/>
          <w:lang w:bidi="ar-SA"/>
        </w:rPr>
        <w:t>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لايبطل؛ لأنّ مقصود الكتابة العتق أيضاً، فيكون مدبّراً و مكاتباً، خصوصاً على القول بأنّه لايبطل بالبيع و الأصل فيه اللزوم من الطرفين إجماعاً، فعدم بطلانه بما وقع</w:t>
      </w:r>
    </w:p>
    <w:p>
      <w:pPr>
        <w:pStyle w:val="BookText"/>
        <w:rPr/>
      </w:pPr>
      <w:r>
        <w:rPr>
          <w:rFonts w:ascii="Amiri" w:hAnsi="Amiri" w:eastAsia="Amiri" w:cs="Amiri"/>
          <w:color w:val="111111"/>
          <w:sz w:val="28"/>
          <w:sz w:val="28"/>
          <w:szCs w:val="28"/>
          <w:rtl w:val="true"/>
          <w:lang w:bidi="ar-SA"/>
        </w:rPr>
        <w:t>الخلاف في لزومه و عدمه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اختيار ابن الجنيد</w:t>
      </w:r>
      <w:r>
        <w:rPr>
          <w:rStyle w:val="FootnoteAnchor"/>
          <w:rtl w:val="true"/>
        </w:rPr>
        <w:footnoteReference w:id="1603"/>
      </w:r>
      <w:r>
        <w:rPr>
          <w:rFonts w:ascii="IRNazanin" w:hAnsi="IRNazanin" w:eastAsia="IRNazanin"/>
          <w:color w:val="111111"/>
          <w:sz w:val="28"/>
          <w:sz w:val="28"/>
          <w:szCs w:val="28"/>
          <w:rtl w:val="true"/>
          <w:lang w:bidi="fa-IR"/>
        </w:rPr>
        <w:t>و ابن البراج</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يكون مدبّراً مكاتباً كما لو دبّر عبده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أدّى النجوم عتق بالكتابة،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دبّر حملاً صحّ، و لايسري إلى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رجع في تدبيره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أتت به لأقلّ من ستّة أشهر من حين التدبير صحّ التدبير فيه؛ لتحقّقه وقت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لأكثر لم يحكم بتدبيره؛ لاحتمال تجدّده و توهّم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مات السيّد قبل الأداء عتق بالتدبير، فإن لم يخرج من الثلث عتق قدر الثلث و بقيت الكتابة في الباقي، فإن أدّى قسطه عتق، و يقوى هذا مع تصريحه بعدم إرادة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الإطلاق أو اشتباه الإرادة فالأوّل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يدبّره ثمّ يقاطعه على مال يكتسبه ليعجّل له العتق و هذا لايقتضي إبطال التدبير قطعاً؛ لأنّ غايته الوعد بتعجيل العتق على تقدير فعل، و المقاطعة غير لازمة لأحدهما،فلا تكون منافيةً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الذي يكتسبه للمقاطعة ملك للمولى، فلا يتغيّر حكم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دبّر حملاً صحّ و لايسري إلى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رجع في تدبيره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أتت به لأقلّ من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تدبير الحمل صحيح كما یصحّ عتقه منفرداً و منضمّاً؛ لأنّه آدمى 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لايسري التدبير إلى أُمّه كما لايسري منها إليه على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يعتبر وقت ولادته، فإن ولدته لوقت يتحقّق فيه كونه موجوداً حال التدبير فلا إشكال في صحّته، كما لو ولدته لدون ستّة أشهر من وقت التدبير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ولدته لأزيد من أكثر الحمل تبيّن عدم وجوده قطعاً فيبطل التدبير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ولدته فيما بينهما فقد أطلق المصنّف و قبله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605"/>
      </w:r>
      <w:r>
        <w:rPr>
          <w:rFonts w:ascii="Amiri" w:hAnsi="Amiri" w:eastAsia="Amiri" w:cs="Amiri"/>
          <w:color w:val="111111"/>
          <w:sz w:val="28"/>
          <w:sz w:val="28"/>
          <w:szCs w:val="28"/>
          <w:rtl w:val="true"/>
          <w:lang w:bidi="ar-SA"/>
        </w:rPr>
        <w:t>و جماعة</w:t>
      </w:r>
      <w:r>
        <w:rPr>
          <w:rStyle w:val="FootnoteAnchor"/>
          <w:rtl w:val="true"/>
        </w:rPr>
        <w:footnoteReference w:id="1606"/>
      </w:r>
      <w:r>
        <w:rPr>
          <w:rFonts w:ascii="Amiri" w:hAnsi="Amiri" w:eastAsia="Amiri" w:cs="Amiri"/>
          <w:color w:val="111111"/>
          <w:sz w:val="28"/>
          <w:sz w:val="28"/>
          <w:szCs w:val="28"/>
          <w:rtl w:val="true"/>
          <w:lang w:bidi="ar-SA"/>
        </w:rPr>
        <w:t>عدم الصحّة؛ لإمكان حدوثه بعد التدبير، و الأصل عدم تقدّمه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الفرق بين ما إذا كانت خاليةً من فراش و عدمه كما سبق في نظائره</w:t>
      </w:r>
      <w:r>
        <w:rPr>
          <w:rStyle w:val="FootnoteAnchor"/>
          <w:rtl w:val="true"/>
        </w:rPr>
        <w:footnoteReference w:id="1607"/>
      </w:r>
      <w:r>
        <w:rPr>
          <w:rFonts w:ascii="Amiri" w:hAnsi="Amiri" w:eastAsia="Amiri" w:cs="Amiri"/>
          <w:color w:val="111111"/>
          <w:sz w:val="28"/>
          <w:sz w:val="28"/>
          <w:szCs w:val="28"/>
          <w:rtl w:val="true"/>
          <w:lang w:bidi="ar-SA"/>
        </w:rPr>
        <w:t>لأنّ الأصل المذكور و إن كان واقعاً في الحالين إلّا أنّ الظاهر يعارضه و أصالة عدم وطءٍ متجدّدٍ و صيانة حال المسلم على تقديره من الحمل على الزنى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كما یصحّ الرجوع في تدبير المدبّر بالمباشرة یصحّ الرجوع في تدبير هذا الحمل قبل وضعه؛ لوجود المقتضي له و انتفاء المانع؛ إذ ليس الّاكونه حملاً و هو لايصلح للمانعيّة؛ لدخوله في العموم</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خالف في ذلك بعض العامّة حيث لم يجزئ الرجوع في التدبير بالقول مطلقاً بل بالفعل و هو الإخراج عن الملك</w:t>
      </w:r>
      <w:r>
        <w:rPr>
          <w:rStyle w:val="FootnoteAnchor"/>
          <w:rtl w:val="true"/>
        </w:rPr>
        <w:footnoteReference w:id="1609"/>
      </w:r>
      <w:r>
        <w:rPr>
          <w:rFonts w:ascii="Amiri" w:hAnsi="Amiri" w:eastAsia="Amiri" w:cs="Amiri"/>
          <w:color w:val="111111"/>
          <w:sz w:val="28"/>
          <w:sz w:val="28"/>
          <w:szCs w:val="28"/>
          <w:rtl w:val="true"/>
          <w:lang w:bidi="ar-SA"/>
        </w:rPr>
        <w:t>، و الحمل لايمكن إخراجه بالبيع منفرداً بل بالتبعيّة لأُمّه، فإذا باعهما كذلك صحّ الرجوع عنده و إلّا فلا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كان الرجوع جائزاً عندنا بالقول مطلقاً صحّ في الحمل كغيره، وبالفعل منفرداً في موضع یصحّ إفراده بالنقل كالهبة و الصلح</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2" w:name="pg10270_80471"/>
      <w:bookmarkStart w:id="493" w:name="pg10270_80471"/>
      <w:bookmarkEnd w:id="493"/>
    </w:p>
    <w:p>
      <w:pPr>
        <w:pStyle w:val="Heading3"/>
        <w:numPr>
          <w:ilvl w:val="2"/>
          <w:numId w:val="1"/>
        </w:numPr>
        <w:rPr/>
      </w:pPr>
      <w:bookmarkStart w:id="494" w:name="pg10270_80471"/>
      <w:bookmarkStart w:id="495" w:name="__RefHeading___Toc3860332_1067777946"/>
      <w:bookmarkStart w:id="496" w:name="_Toc180"/>
      <w:bookmarkEnd w:id="494"/>
      <w:bookmarkEnd w:id="495"/>
      <w:r>
        <w:rPr>
          <w:rtl w:val="true"/>
        </w:rPr>
        <w:t>المکاتبة</w:t>
      </w:r>
      <w:bookmarkEnd w:id="496"/>
    </w:p>
    <w:p>
      <w:pPr>
        <w:pStyle w:val="Heading4"/>
        <w:numPr>
          <w:ilvl w:val="3"/>
          <w:numId w:val="1"/>
        </w:numPr>
        <w:rPr/>
      </w:pPr>
      <w:bookmarkStart w:id="497" w:name="__RefHeading___Toc3860334_1067777946"/>
      <w:bookmarkStart w:id="498" w:name="_Toc181"/>
      <w:bookmarkEnd w:id="497"/>
      <w:r>
        <w:rPr>
          <w:rtl w:val="true"/>
        </w:rPr>
        <w:t>اشارة</w:t>
      </w:r>
      <w:bookmarkEnd w:id="4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فتستدعي بيان أركانها و أحكامها و لواحقها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المكاتبة</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3860336_1067777946"/>
      <w:bookmarkStart w:id="500" w:name="_Toc182"/>
      <w:bookmarkEnd w:id="499"/>
      <w:r>
        <w:rPr>
          <w:rtl w:val="true"/>
        </w:rPr>
        <w:t>تعریف المکاتبة</w:t>
      </w:r>
      <w:bookmarkEnd w:id="500"/>
    </w:p>
    <w:p>
      <w:pPr>
        <w:pStyle w:val="BookText"/>
        <w:rPr/>
      </w:pPr>
      <w:r>
        <w:rPr>
          <w:rFonts w:ascii="Amiri" w:hAnsi="Amiri" w:eastAsia="Amiri" w:cs="Amiri"/>
          <w:color w:val="111111"/>
          <w:sz w:val="28"/>
          <w:sz w:val="28"/>
          <w:szCs w:val="28"/>
          <w:rtl w:val="true"/>
          <w:lang w:bidi="ar-SA"/>
        </w:rPr>
        <w:t>المكاتبة و الكتابة مصدران مزيدان مشتقّان من المجرّد و هو الكتب</w:t>
      </w:r>
      <w:r>
        <w:rPr>
          <w:rStyle w:val="FootnoteAnchor"/>
          <w:rtl w:val="true"/>
        </w:rPr>
        <w:footnoteReference w:id="1610"/>
      </w:r>
      <w:r>
        <w:rPr>
          <w:rFonts w:ascii="Amiri" w:hAnsi="Amiri" w:eastAsia="Amiri" w:cs="Amiri"/>
          <w:color w:val="111111"/>
          <w:sz w:val="28"/>
          <w:sz w:val="28"/>
          <w:szCs w:val="28"/>
          <w:rtl w:val="true"/>
          <w:lang w:bidi="ar-SA"/>
        </w:rPr>
        <w:t>، و أصله الضمّ و الجمع،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البغلة إذا ضممت بين شفريها بحلقة، و كتبت القربة إذا أوكيت رأسها، 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فيها من ضمّ بعض الحروف إلى بعض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لانضمام بعضهم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هذا العقد كتابة؛ لانضمام النجم فيها إلى النجم، أو لأنّها توثق بالكتابة من حيث إنّها منجّمة مؤجّلة، و ما يدخله الأجل يستوثق بالكتابة؛ و لذلك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تَدَايَنْتُمْ بِدَيْنٍ إِلَى أَجَلٍ مُسَمًّى فَاكْتُبُوهُ</w:t>
      </w:r>
      <w:r>
        <w:rPr>
          <w:rFonts w:eastAsia="Amiri" w:cs="Amiri" w:ascii="Amiri" w:hAnsi="Amiri"/>
          <w:color w:val="111111"/>
          <w:sz w:val="28"/>
          <w:szCs w:val="28"/>
          <w:rtl w:val="true"/>
          <w:lang w:bidi="ar-SA"/>
        </w:rPr>
        <w:t>»</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و اعلم أنّ عقد الكتابة خارج عن قياس المعاملات، من جهة أنّها دائرة بين السيّد و عبده، و أنّ العوضين للسيّد، و أنّ المكاتب على رتبة متوسّطة بين الرقّ و الحرّيّة، و ليس له استقلال الأحرار و لا عجز المماليك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تكون تصرّفاته متردّدة بين الاستقلال و نقيضه؛ لأنّ الحاجة داعية إليها، فإنّ السيّد قد لاتسمح نفسه بالعتق مجّاناً، و المملوك لايتشمّر للكسب تشمّره إذا علّق عتقه بالتحصيل و الأداء، فاحتمل الشرع فيه ما لم يحتمل في غيره، كما احتمل الجهالة في ربح القراض و عمل الجعالة للحاجة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فيه الإجماع، 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يَبْتَغُونَ الْكِتَابَ مِمَّا مَلَكَتْ أَيْمَانُكُمْ </w:t>
      </w:r>
      <w:bookmarkStart w:id="501" w:name="pg10270_80472"/>
    </w:p>
    <w:p>
      <w:pPr>
        <w:pStyle w:val="BookText"/>
        <w:rPr/>
      </w:pPr>
      <w:bookmarkEnd w:id="501"/>
      <w:r>
        <w:rPr>
          <w:rFonts w:ascii="Amiri" w:hAnsi="Amiri" w:eastAsia="Amiri" w:cs="Amiri"/>
          <w:color w:val="111111"/>
          <w:sz w:val="28"/>
          <w:sz w:val="28"/>
          <w:szCs w:val="28"/>
          <w:rtl w:val="true"/>
          <w:lang w:bidi="ar-SA"/>
        </w:rPr>
        <w:t>أمّا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فالصيغة و الموجب و المملوك و العوض</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3860338_1067777946"/>
      <w:bookmarkStart w:id="503" w:name="_Toc183"/>
      <w:bookmarkEnd w:id="502"/>
      <w:r>
        <w:rPr>
          <w:rtl w:val="true"/>
        </w:rPr>
        <w:t>الكتابة مستحبّة مع الأمانة و الاكتساب</w:t>
      </w:r>
      <w:bookmarkEnd w:id="5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الكتابة مستحبّة ابتداءً مع الأمانة و الاكتساب، و تتأكّد بسؤال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عدم الأمران كانت مباحة و كذا لو عدم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w:t>
      </w:r>
      <w:r>
        <w:rPr>
          <w:rStyle w:val="FootnoteAnchor"/>
          <w:rtl w:val="true"/>
        </w:rPr>
        <w:footnoteReference w:id="1612"/>
      </w:r>
      <w:r>
        <w:rPr>
          <w:rFonts w:ascii="Amiri" w:hAnsi="Amiri" w:eastAsia="Amiri" w:cs="Amiri"/>
          <w:color w:val="111111"/>
          <w:sz w:val="28"/>
          <w:sz w:val="28"/>
          <w:szCs w:val="28"/>
          <w:rtl w:val="true"/>
          <w:lang w:bidi="ar-SA"/>
        </w:rPr>
        <w:t>و ما روي أنّه قال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غارماً أو غازياً أو مكاتباً كتابته أظلّه الله يوم لا ظلّ إلّا ظلّه</w:t>
      </w:r>
      <w:r>
        <w:rPr>
          <w:rFonts w:eastAsia="Amiri" w:cs="Amiri" w:ascii="Amiri" w:hAnsi="Amiri"/>
          <w:color w:val="111111"/>
          <w:sz w:val="28"/>
          <w:szCs w:val="28"/>
          <w:rtl w:val="true"/>
          <w:lang w:bidi="ar-SA"/>
        </w:rPr>
        <w:t>»</w:t>
      </w:r>
      <w:r>
        <w:rPr>
          <w:rStyle w:val="FootnoteAnchor"/>
          <w:rtl w:val="true"/>
        </w:rPr>
        <w:footnoteReference w:id="1613"/>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المكاتب عبد ما بقي عليه درهم</w:t>
      </w:r>
      <w:r>
        <w:rPr>
          <w:rFonts w:eastAsia="IRNazanin" w:cs="IRNazanin"/>
          <w:color w:val="111111"/>
          <w:sz w:val="28"/>
          <w:szCs w:val="28"/>
          <w:rtl w:val="true"/>
          <w:lang w:bidi="fa-IR"/>
        </w:rPr>
        <w:t>»</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الكتابة مستحبّة ابتداءً مع الأمانة و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الكتابة غير واجبة مطلقاً؛ للأصل، كما لايجب التدبير و شراء القريب ليعتق، و لئلّا يبطل أثر الملك و يحتكم المملوك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مستحبّة مع علم الخير في المملوك؛ للأمر بها حينئذ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w:t>
      </w:r>
      <w:r>
        <w:rPr>
          <w:rStyle w:val="FootnoteAnchor"/>
          <w:rtl w:val="true"/>
        </w:rPr>
        <w:footnoteReference w:id="1615"/>
      </w:r>
      <w:r>
        <w:rPr>
          <w:rFonts w:ascii="IRNazanin" w:hAnsi="IRNazanin" w:eastAsia="IRNazanin"/>
          <w:color w:val="111111"/>
          <w:sz w:val="28"/>
          <w:sz w:val="28"/>
          <w:szCs w:val="28"/>
          <w:rtl w:val="true"/>
          <w:lang w:bidi="fa-IR"/>
        </w:rPr>
        <w:t>، و الأمرهنا للاستحباب</w:t>
      </w:r>
    </w:p>
    <w:p>
      <w:pPr>
        <w:pStyle w:val="BookText"/>
        <w:rPr/>
      </w:pPr>
      <w:r>
        <w:rPr>
          <w:rFonts w:ascii="Amiri" w:hAnsi="Amiri" w:eastAsia="Amiri" w:cs="Amiri"/>
          <w:color w:val="111111"/>
          <w:sz w:val="28"/>
          <w:sz w:val="28"/>
          <w:szCs w:val="28"/>
          <w:rtl w:val="true"/>
          <w:lang w:bidi="ar-SA"/>
        </w:rPr>
        <w:t>و لبعض العامّة قول أنّه للوجوب</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اختلف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الآية، فروى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أنّ المراد به الدين و المال</w:t>
      </w:r>
      <w:r>
        <w:rPr>
          <w:rStyle w:val="FootnoteAnchor"/>
          <w:rtl w:val="true"/>
        </w:rPr>
        <w:footnoteReference w:id="1617"/>
      </w:r>
      <w:r>
        <w:rPr>
          <w:rFonts w:ascii="Amiri" w:hAnsi="Amiri" w:eastAsia="Amiri" w:cs="Amiri"/>
          <w:color w:val="111111"/>
          <w:sz w:val="28"/>
          <w:sz w:val="28"/>
          <w:szCs w:val="28"/>
          <w:rtl w:val="true"/>
          <w:lang w:bidi="ar-SA"/>
        </w:rPr>
        <w:t>، و هما المعبّر عنهما في عبارة المصنّف بالأمانة و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اعتبار الأمانة؛ لئلّا يضيع ما يحصّله و يصرفه إلى السيّد فيعتق، و القدرة على الاكتساب ليتمكّن من تحصيل ما يؤدّيه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يتأكّد الاستحباب مع اجتماع الشرطين بسؤال المملوك الكتابة 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العبارة أنّه لو فقد الأمران أو أحدهما لم يتأكّد الاستحباب وإن طلب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الاستحباب يتأكّد بسؤال المملوك</w:t>
      </w:r>
      <w:r>
        <w:rPr>
          <w:rStyle w:val="FootnoteAnchor"/>
          <w:rtl w:val="true"/>
        </w:rPr>
        <w:footnoteReference w:id="1618"/>
      </w:r>
      <w:r>
        <w:rPr>
          <w:rFonts w:ascii="Amiri" w:hAnsi="Amiri" w:eastAsia="Amiri" w:cs="Amiri"/>
          <w:color w:val="111111"/>
          <w:sz w:val="28"/>
          <w:sz w:val="28"/>
          <w:szCs w:val="28"/>
          <w:rtl w:val="true"/>
          <w:lang w:bidi="ar-SA"/>
        </w:rPr>
        <w:t>وإن كان عاجزاً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على ما يقتضي ترجيح أحد القولين من الأخبار، وإنّما الذي دلّت عليه استحبابها مع الوصفين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صحيحة عن الحلبي عن أبي عبد الله علیه السلام في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كاتبوهم إن علمتم لهم مالاً</w:t>
      </w:r>
      <w:r>
        <w:rPr>
          <w:rFonts w:eastAsia="Amiri" w:cs="Amiri" w:ascii="Amiri" w:hAnsi="Amiri"/>
          <w:color w:val="111111"/>
          <w:sz w:val="28"/>
          <w:szCs w:val="28"/>
          <w:rtl w:val="true"/>
          <w:lang w:bidi="ar-SA"/>
        </w:rPr>
        <w:t>»</w:t>
      </w:r>
      <w:r>
        <w:rPr>
          <w:rStyle w:val="FootnoteAnchor"/>
          <w:rtl w:val="true"/>
        </w:rPr>
        <w:footnoteReference w:id="1619"/>
      </w:r>
      <w:r>
        <w:rPr>
          <w:rFonts w:ascii="Amiri" w:hAnsi="Amiri" w:eastAsia="Amiri" w:cs="Amiri"/>
          <w:color w:val="111111"/>
          <w:sz w:val="28"/>
          <w:sz w:val="28"/>
          <w:szCs w:val="28"/>
          <w:rtl w:val="true"/>
          <w:lang w:bidi="ar-SA"/>
        </w:rPr>
        <w:t>، و لم يعتبر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رجّحه بعضهم بأنّ فيه استعمال المشترك في أحد معنييه، و في الأوّل استعماله فيهما،</w:t>
      </w:r>
    </w:p>
    <w:p>
      <w:pPr>
        <w:pStyle w:val="BookText"/>
        <w:rPr/>
      </w:pPr>
      <w:r>
        <w:rPr>
          <w:rFonts w:ascii="Amiri" w:hAnsi="Amiri" w:eastAsia="Amiri" w:cs="Amiri"/>
          <w:color w:val="111111"/>
          <w:sz w:val="28"/>
          <w:sz w:val="28"/>
          <w:szCs w:val="28"/>
          <w:rtl w:val="true"/>
          <w:lang w:bidi="ar-SA"/>
        </w:rPr>
        <w:t>و هو مجاز على أشهر القولين لايصار إليه بدون القرينة</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 بأنّ القرينة موجودة و هى الرواية الصحيحة، و لاتعارضها الأخرى؛ لاشتمالها</w:t>
      </w:r>
    </w:p>
    <w:p>
      <w:pPr>
        <w:pStyle w:val="BookText"/>
        <w:rPr/>
      </w:pPr>
      <w:r>
        <w:rPr>
          <w:rFonts w:ascii="IRNazanin" w:hAnsi="IRNazanin" w:eastAsia="IRNazanin"/>
          <w:color w:val="111111"/>
          <w:sz w:val="28"/>
          <w:sz w:val="28"/>
          <w:szCs w:val="28"/>
          <w:rtl w:val="true"/>
          <w:lang w:bidi="fa-IR"/>
        </w:rPr>
        <w:t>على إثبات شرط آخر و المثبت مقدّم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يمكن إثبات أصل الاستحباب بوجود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القدرة على كسبه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بالرواية الصحيحة، ويتأكد الاستحباب مع وجود الوصفين؛ نظراً إلى الخبر الآخر، إلّا أنّ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عُدم الأمران كانت مباحةً ، وكذا لو عُدم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فقد الشرطان معاً لم يستحبّ ؛ لعدم المقتضي له حيث إنّ الأمر مخصوص بالخير المفسّر</w:t>
      </w:r>
    </w:p>
    <w:p>
      <w:pPr>
        <w:pStyle w:val="BookText"/>
        <w:rPr/>
      </w:pPr>
      <w:r>
        <w:rPr>
          <w:rFonts w:ascii="Amiri" w:hAnsi="Amiri" w:eastAsia="Amiri" w:cs="Amiri"/>
          <w:color w:val="111111"/>
          <w:sz w:val="28"/>
          <w:sz w:val="28"/>
          <w:szCs w:val="28"/>
          <w:rtl w:val="true"/>
          <w:lang w:bidi="ar-SA"/>
        </w:rPr>
        <w:t>بهما أو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اتّصف بالأوّل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يستحب؛ لعدم المقتضي له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قيل بالاستحباب أيضاً؛</w:t>
      </w:r>
      <w:r>
        <w:rPr>
          <w:rStyle w:val="FootnoteAnchor"/>
          <w:rtl w:val="true"/>
        </w:rPr>
        <w:footnoteReference w:id="1621"/>
      </w:r>
      <w:r>
        <w:rPr>
          <w:rFonts w:ascii="Amiri" w:hAnsi="Amiri" w:eastAsia="Amiri" w:cs="Amiri"/>
          <w:color w:val="111111"/>
          <w:sz w:val="28"/>
          <w:sz w:val="28"/>
          <w:szCs w:val="28"/>
          <w:rtl w:val="true"/>
          <w:lang w:bidi="ar-SA"/>
        </w:rPr>
        <w:t xml:space="preserve">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وحده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Style w:val="FootnoteAnchor"/>
          <w:rtl w:val="true"/>
        </w:rPr>
        <w:footnoteReference w:id="1622"/>
      </w:r>
      <w:r>
        <w:rPr>
          <w:rFonts w:ascii="Amiri" w:hAnsi="Amiri" w:eastAsia="Amiri" w:cs="Amiri"/>
          <w:color w:val="111111"/>
          <w:sz w:val="28"/>
          <w:sz w:val="28"/>
          <w:szCs w:val="28"/>
          <w:rtl w:val="true"/>
          <w:lang w:bidi="ar-SA"/>
        </w:rPr>
        <w:t>، يعني عملاً صالحاً و هو الدين ، 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وَالْبُدْنَ جَعَلْنَاهَا لَكُمْ مِنْ شَعَائِرِ اللَّهِ لَكُمْ فِيهَا خَيْرٌ</w:t>
      </w:r>
      <w:r>
        <w:rPr>
          <w:rFonts w:eastAsia="Amiri" w:cs="Amiri" w:ascii="Amiri" w:hAnsi="Amiri"/>
          <w:color w:val="111111"/>
          <w:sz w:val="28"/>
          <w:szCs w:val="28"/>
          <w:rtl w:val="true"/>
          <w:lang w:bidi="ar-SA"/>
        </w:rPr>
        <w:t>»</w:t>
      </w:r>
      <w:r>
        <w:rPr>
          <w:rStyle w:val="FootnoteAnchor"/>
          <w:rtl w:val="true"/>
        </w:rPr>
        <w:footnoteReference w:id="1623"/>
      </w:r>
      <w:r>
        <w:rPr>
          <w:rFonts w:ascii="Amiri" w:hAnsi="Amiri" w:eastAsia="Amiri" w:cs="Amiri"/>
          <w:color w:val="111111"/>
          <w:sz w:val="28"/>
          <w:sz w:val="28"/>
          <w:szCs w:val="28"/>
          <w:rtl w:val="true"/>
          <w:lang w:bidi="ar-SA"/>
        </w:rPr>
        <w:t>أي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وحده في </w:t>
      </w:r>
      <w:bookmarkStart w:id="504" w:name="pg10270_80474"/>
    </w:p>
    <w:p>
      <w:pPr>
        <w:pStyle w:val="Heading4"/>
        <w:numPr>
          <w:ilvl w:val="3"/>
          <w:numId w:val="1"/>
        </w:numPr>
        <w:rPr/>
      </w:pPr>
      <w:bookmarkStart w:id="505" w:name="__RefHeading___Toc3860340_1067777946"/>
      <w:bookmarkStart w:id="506" w:name="_Toc184"/>
      <w:bookmarkEnd w:id="504"/>
      <w:bookmarkEnd w:id="505"/>
      <w:r>
        <w:rPr>
          <w:rtl w:val="true"/>
        </w:rPr>
        <w:t>بيان الفرق بين الکتابة و البیع</w:t>
      </w:r>
      <w:bookmarkEnd w:id="5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عتقاً بصفة، و لا بيعاً للعبد من نفسه، بل هي معاملة مستقلّة بعيدة عن شبه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باعه نفسه بثمن مؤجّل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لايثبت مع الكتابة خيار المجلس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لِحُبِّ الْخَيْرِ لَشَدِيدٌ</w:t>
      </w:r>
      <w:r>
        <w:rPr>
          <w:rFonts w:eastAsia="Amiri" w:cs="Amiri" w:ascii="Amiri" w:hAnsi="Amiri"/>
          <w:color w:val="111111"/>
          <w:sz w:val="28"/>
          <w:szCs w:val="28"/>
          <w:rtl w:val="true"/>
          <w:lang w:bidi="ar-SA"/>
        </w:rPr>
        <w:t>»</w:t>
      </w:r>
      <w:r>
        <w:rPr>
          <w:rStyle w:val="FootnoteAnchor"/>
          <w:rtl w:val="true"/>
        </w:rPr>
        <w:footnoteReference w:id="1624"/>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 بأنّ استعمال المشترك في أحد معنييه لايجوز بدون القرينة كاستعماله في المعنيين، و هي منتفية في جانب الدين وحده بخلاف المال، فقد يترجّح جانبه بالرواية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أنّ 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المعنيين المرادين هنا مجاز؛ لأنّه في الشواهد إنّما استعمل في العمل الصالح و الثواب و نفس المال، و المراد هنا الأمانة و القدرة على التكسّب و هما ليستا عملاً صالحاً و لا ثواباً و لا مالاً حقيقةً، وإنّما يكون الكسب سبباً في المال و إطلاق اسم السبب على المسبَّب مجاز، كما أنّ إطلاق الأمانة القلبيّة على الأعمال الصالحة المتبادر منها إرادة أعمال الجوارح أو الثواب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لايعرفه إلّا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فإطلاقه عليهما أو على أحدهما موقوف على النقل، و هو موجود في إرادتهما و إرادة الثاني منهما دون الأوّل، فكان العمل به متعيّناً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يُفقد الشرطان أو الأوّل تكون مباحةً و لايكره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حينئذٍ</w:t>
      </w:r>
      <w:r>
        <w:rPr>
          <w:rStyle w:val="FootnoteAnchor"/>
          <w:rtl w:val="true"/>
        </w:rPr>
        <w:footnoteReference w:id="1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قوّاه في المبسوط</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عتقاً بصفة و لا بيعاً للعبد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العلماء في الكتابة هل هي عتق بعوض أو بيع للعبد من نفسه أو معاملة مستقلّة؟ و منشأ الخلاف وجود خواصّ بعض كلّ من الأمرين، و يشتركان في حصول العتق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تظهر الفائدة في لحوق جميع أحكام ما يجعل منه كالخيار، و وقوعها بلفظ البيع و العتق بالعوض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أنّها معاملة بين المولى والمملوك مستقلّة تتبعها أحكام خاصّة، و لايلزم من مشاركتها لبعض فى حكم أن يلحق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بكونها بيعاً لأبي الصلاح</w:t>
      </w:r>
      <w:r>
        <w:rPr>
          <w:rStyle w:val="FootnoteAnchor"/>
          <w:rtl w:val="true"/>
        </w:rPr>
        <w:footnoteReference w:id="1628"/>
      </w:r>
      <w:r>
        <w:rPr>
          <w:rFonts w:ascii="Amiri" w:hAnsi="Amiri" w:eastAsia="Amiri" w:cs="Amiri"/>
          <w:color w:val="111111"/>
          <w:sz w:val="28"/>
          <w:sz w:val="28"/>
          <w:szCs w:val="28"/>
          <w:rtl w:val="true"/>
          <w:lang w:bidi="ar-SA"/>
        </w:rPr>
        <w:t>و ابن إدريس</w:t>
      </w:r>
      <w:r>
        <w:rPr>
          <w:rStyle w:val="FootnoteAnchor"/>
          <w:rtl w:val="true"/>
        </w:rPr>
        <w:footnoteReference w:id="1629"/>
      </w:r>
      <w:r>
        <w:rPr>
          <w:rFonts w:ascii="Amiri" w:hAnsi="Amiri" w:eastAsia="Amiri" w:cs="Amiri"/>
          <w:color w:val="111111"/>
          <w:sz w:val="28"/>
          <w:sz w:val="28"/>
          <w:szCs w:val="28"/>
          <w:rtl w:val="true"/>
          <w:lang w:bidi="ar-SA"/>
        </w:rPr>
        <w:t xml:space="preserve">، و الاستقلال مذهب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بعدها عن شبه البيع أنّه يقتضي المغايرة بين البائع و المشتري و المبيع، و هنا المبيع هو المشتري، ويقتضي قبول المشتري للملك و هو منتفٍ عن المملوك، و كون العوض ملكاً للمشتري و المعوّض ملكاً للبائع و هنا الأمران للمولى، إلى غير ذلك من المخالفات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أتى المصنّف بالفاء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باعه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ليفرّع بطلانه على كونها ليست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التفريع أنّ التعبير بالبيع يستتبع أحكامه، و قد عرفت تخلّفها عن هذا العقد فلايقع به</w:t>
      </w:r>
      <w:r>
        <w:rPr>
          <w:rStyle w:val="FootnoteAnchor"/>
          <w:rtl w:val="true"/>
        </w:rPr>
        <w:footnoteReference w:id="1630"/>
      </w:r>
      <w:r>
        <w:rPr>
          <w:rFonts w:ascii="Amiri" w:hAnsi="Amiri" w:eastAsia="Amiri" w:cs="Amiri"/>
          <w:color w:val="111111"/>
          <w:sz w:val="28"/>
          <w:sz w:val="28"/>
          <w:szCs w:val="28"/>
          <w:rtl w:val="true"/>
          <w:lang w:bidi="ar-SA"/>
        </w:rPr>
        <w:t>خلافاً للشيخ فإنّه في المبسوط مع اختياره أنّها ليست بيعاً</w:t>
      </w:r>
      <w:r>
        <w:rPr>
          <w:rStyle w:val="FootnoteAnchor"/>
          <w:rtl w:val="true"/>
        </w:rPr>
        <w:footnoteReference w:id="1631"/>
      </w:r>
      <w:r>
        <w:rPr>
          <w:rFonts w:ascii="Amiri" w:hAnsi="Amiri" w:eastAsia="Amiri" w:cs="Amiri"/>
          <w:color w:val="111111"/>
          <w:sz w:val="28"/>
          <w:sz w:val="28"/>
          <w:szCs w:val="28"/>
          <w:rtl w:val="true"/>
          <w:lang w:bidi="ar-SA"/>
        </w:rPr>
        <w:t>، جوّز إيقاعها بلفظ البيع</w:t>
      </w:r>
      <w:r>
        <w:rPr>
          <w:rStyle w:val="FootnoteAnchor"/>
          <w:rtl w:val="true"/>
        </w:rPr>
        <w:footnoteReference w:id="1632"/>
      </w:r>
      <w:r>
        <w:rPr>
          <w:rFonts w:ascii="IRNazanin" w:hAnsi="IRNazanin" w:eastAsia="IRNazanin"/>
          <w:color w:val="111111"/>
          <w:sz w:val="28"/>
          <w:sz w:val="28"/>
          <w:szCs w:val="28"/>
          <w:rtl w:val="true"/>
          <w:lang w:bidi="fa-IR"/>
        </w:rPr>
        <w:t>لإفادته المراد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ما اختاره المصنّف لما تقدّم من أنّ البيع انتقال عين مملوكة من شخص إلى آخر، فلا بدّ من تحقّق إضافة الملك بين المشتري و المبيع؛ لتوقّف الإضافة على تغاير المضافين، و هنا ليس كذلك، و لأنّ ملك العبد يتوقّف على حرّيّته، و حرّيّته موقوفة على تملّكه، فيدور، و لأنّ السيّد لايبايع عبده، و من ثَمَّ لایصحّ بيعه مالاً آخر قولاً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القول بصحّة البيع يثبت المال في ذمّته ويعتق في الحال كما لو أعتقه على 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لايثبت مع الكتابة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أيضاً على كونها ليست بيعاً، فينتفي</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عنها حكمه، و من جعلها بيعاً لزمه لحوق الخيار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فهم بعضهم من كلام الشيخ في المبسوط أنّ الخيار منتفٍ هنا و إن جعلناها بيعاً، و جعل ذلك وارداً على من جعلها بيعاً</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كذلك، وإنّما فرّع الشيخ ما ذكره من انتفاء الخيار و غيره على مذهبه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الكتابة تفارق البيع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الكتابة لا بدّ فيها من أجل، و البيع لايفتقر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الكتابة يمتدّ فيها خيار العبد، و البيع لايمتدّ فيه خيار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البائع يشترط لنفسه الخيار، و السيّد لايشترط في عقد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يتّفقان في أنّ الأجل فيهما لا بدّ أن يكون معلوماً، و لا یصحّ كلّ واحد منهما إلّا بعوض معلوم</w:t>
      </w:r>
      <w:r>
        <w:rPr>
          <w:rFonts w:eastAsia="IRNazanin" w:cs="IRNazanin"/>
          <w:color w:val="111111"/>
          <w:sz w:val="28"/>
          <w:szCs w:val="28"/>
          <w:rtl w:val="true"/>
          <w:lang w:bidi="fa-IR"/>
        </w:rPr>
        <w:t>»</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الكتابة لا بدّ فيها من أجل، و البيع لايفتقر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من حيث هو لايفتقر إلى الأجل، و إلّا فإنّ السلم منه مفتقر إليه، فلتكن الكتابة كذلك إن اعتبرنا فيها الأجل، و بينهما مناسبة في ذلك من حيث إنّ السلم يقع على ما يتجدّد و لايكون موجوداً حال العقد فناسبه اشتراط الأجل، و ذهب بعضهم إلى عدم اشتراطه</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المكاتبة كذلك من حيث إنّ المملوك عاجز عن الوفاء في الحال بناءً على أنّه لايملك شيئاً فناسبه الأجل، و ذهب بعضهم إلى عدم اشتراطه</w:t>
      </w:r>
      <w:r>
        <w:rPr>
          <w:rStyle w:val="FootnoteAnchor"/>
          <w:rtl w:val="true"/>
        </w:rPr>
        <w:footnoteReference w:id="1636"/>
      </w:r>
      <w:r>
        <w:rPr>
          <w:rFonts w:ascii="Amiri" w:hAnsi="Amiri" w:eastAsia="Amiri" w:cs="Amiri"/>
          <w:color w:val="111111"/>
          <w:sz w:val="28"/>
          <w:sz w:val="28"/>
          <w:szCs w:val="28"/>
          <w:rtl w:val="true"/>
          <w:lang w:bidi="ar-SA"/>
        </w:rPr>
        <w:t>، فالفرق بينها و بين البيع بذلك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الكتابة يمتدّ فيها خيار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أنها جائزة من قبله، و سيأتي الكلام فيه</w:t>
      </w:r>
      <w:r>
        <w:rPr>
          <w:rStyle w:val="FootnoteAnchor"/>
          <w:rtl w:val="true"/>
        </w:rPr>
        <w:footnoteReference w:id="1637"/>
      </w:r>
      <w:r>
        <w:rPr>
          <w:rFonts w:ascii="Amiri" w:hAnsi="Amiri" w:eastAsia="Amiri" w:cs="Amiri"/>
          <w:color w:val="111111"/>
          <w:sz w:val="28"/>
          <w:sz w:val="28"/>
          <w:szCs w:val="28"/>
          <w:rtl w:val="true"/>
          <w:lang w:bidi="ar-SA"/>
        </w:rPr>
        <w:t>، و البيع يشاركها في ذلك بالنسبة إلى خيار المجلس حيث يمتدّ المجلس بين المتبايعين من غير تقدير، و فيما لو شرط الخيار لنفسه مدّة يقطع بعدم بقائه إليها فيمتدّ خيار الشرط</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الفرق الثالث فإنّه متفرّع على عدم كونها بيعاً، و من جعلها بيعاً لايلزمه ذلك؛ عملاً بعموم ما دلّ على ثبوت ذلك في البيع</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من دون الأجل على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يفتقر ثبوت حكمها إلى الإيجاب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لایصحّ من دون الأجل على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يفتقر ثبوت حكمها إلى الإيجاب و 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 العلماء في اشتراط الأجل في الكتابة، فاعتبره الأكثر منهم الشيخ في المبسوط</w:t>
      </w:r>
      <w:r>
        <w:rPr>
          <w:rStyle w:val="FootnoteAnchor"/>
          <w:rtl w:val="true"/>
        </w:rPr>
        <w:footnoteReference w:id="1639"/>
      </w:r>
      <w:r>
        <w:rPr>
          <w:rFonts w:ascii="IRNazanin" w:hAnsi="IRNazanin" w:eastAsia="IRNazanin"/>
          <w:color w:val="111111"/>
          <w:sz w:val="28"/>
          <w:sz w:val="28"/>
          <w:szCs w:val="28"/>
          <w:rtl w:val="true"/>
          <w:lang w:bidi="fa-IR"/>
        </w:rPr>
        <w:t>و أتباعه</w:t>
      </w:r>
      <w:r>
        <w:rPr>
          <w:rStyle w:val="FootnoteAnchor"/>
          <w:rtl w:val="true"/>
        </w:rPr>
        <w:footnoteReference w:id="1640"/>
      </w:r>
      <w:r>
        <w:rPr>
          <w:rFonts w:ascii="Amiri" w:hAnsi="Amiri" w:eastAsia="Amiri" w:cs="Amiri"/>
          <w:color w:val="111111"/>
          <w:sz w:val="28"/>
          <w:sz w:val="28"/>
          <w:szCs w:val="28"/>
          <w:rtl w:val="true"/>
          <w:lang w:bidi="ar-SA"/>
        </w:rPr>
        <w:t>و المصنّف و أكثر المتأخّرين؛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السلف من عهد النبي صلّى الله عليه و آله و سلّم و بعده؛ فإنّهم لايعقدون الكتابة إلّا على عوض مؤجّل، فكان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الحلول تتوجّه المطالبة في الحال و هو عاجز عن الأداء حينئذٍ، فيكون كالسلم في شيء لايوجد عند المحلّ، فلا بدّ من ضرب أجل له؛ لئلّا تتطرّق الجهالة الداخلة في الغرر المنهيّ عنه</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فيهما نظر؛ لمنع الإجماع على ذلك، و نقل أفراد خاصّة لايقتضي كون جميع ما وقع كذلك، سلّمنا لكن لايلزم من ذلك بطلان غيره، فإنّ الإجماع المعتبر في مثل ذلك اتّفاقهم على بطلان المتنازع لا عدم استعمالهم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لايلزم من عدم ملكه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عجزه عن الإيفاء مطلقاً؛ لإمكان ملكه عاجلاً و لو بالاقتراض كشراء من لايملك شيئاً من الأحرار، و قد يوصى له بمال لو قبل الكتابة و يموت الموصي قبل عقد الكتابة، أو يوهب منه عقيب العقد، أو يتبرّع عنه متبرّع، فلايتحقّق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يفرض جريان العقد على قدر من الملح و هما على مملحة فيمكنه تسليم الملح عقيب عقد الكتابة، فلايلزم بطلان الحال قطعاً </w:t>
      </w:r>
      <w:bookmarkStart w:id="507" w:name="pg10270_80478"/>
    </w:p>
    <w:p>
      <w:pPr>
        <w:pStyle w:val="Heading4"/>
        <w:numPr>
          <w:ilvl w:val="3"/>
          <w:numId w:val="1"/>
        </w:numPr>
        <w:rPr/>
      </w:pPr>
      <w:bookmarkStart w:id="508" w:name="__RefHeading___Toc3860342_1067777946"/>
      <w:bookmarkStart w:id="509" w:name="_Toc185"/>
      <w:bookmarkEnd w:id="507"/>
      <w:bookmarkEnd w:id="508"/>
      <w:r>
        <w:rPr>
          <w:rtl w:val="true"/>
        </w:rPr>
        <w:t>صيغة الکتابة</w:t>
      </w:r>
      <w:bookmarkEnd w:id="5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ويكفى فى المكاتبة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تعيين الأجل والعوض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يفتقر 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أديت فأنت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نیّة ذلك؟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يكتفى بالنیّة مع العقد، فإذا أدّى عتق سواء نطق بالضميمة أو أغفلها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أجيب عنه بأنّ قبول الوصيّة و الهبة لابدّ و أن يتأخّر عن قبول الكتابة فيكون العوض لازماً قبل القدرة و التمكّن، و قد لايتيسّر القبول و الملح لايملك ما لم يأخذه، و الأخذ متأخّر عن الكتابة و قد يعوق عنه عائق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مثل هذا لايقدح في صحّة العقد، و من ثَمّ ذهب الشيخ في الخلاف</w:t>
      </w:r>
      <w:r>
        <w:rPr>
          <w:rStyle w:val="FootnoteAnchor"/>
          <w:rtl w:val="true"/>
        </w:rPr>
        <w:footnoteReference w:id="1642"/>
      </w:r>
      <w:r>
        <w:rPr>
          <w:rFonts w:ascii="Amiri" w:hAnsi="Amiri" w:eastAsia="Amiri" w:cs="Amiri"/>
          <w:color w:val="111111"/>
          <w:sz w:val="28"/>
          <w:sz w:val="28"/>
          <w:szCs w:val="28"/>
          <w:rtl w:val="true"/>
          <w:lang w:bidi="ar-SA"/>
        </w:rPr>
        <w:t>، و ابن إدريس</w:t>
      </w:r>
      <w:r>
        <w:rPr>
          <w:rStyle w:val="FootnoteAnchor"/>
          <w:rtl w:val="true"/>
        </w:rPr>
        <w:footnoteReference w:id="1643"/>
      </w:r>
      <w:r>
        <w:rPr>
          <w:rFonts w:ascii="Amiri" w:hAnsi="Amiri" w:eastAsia="Amiri" w:cs="Amiri"/>
          <w:color w:val="111111"/>
          <w:sz w:val="28"/>
          <w:sz w:val="28"/>
          <w:szCs w:val="28"/>
          <w:rtl w:val="true"/>
          <w:lang w:bidi="ar-SA"/>
        </w:rPr>
        <w:t>إلى جوازها حالّةً؛ للأصل، و عموم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w:t>
      </w:r>
      <w:r>
        <w:rPr>
          <w:rStyle w:val="FootnoteAnchor"/>
          <w:rtl w:val="true"/>
        </w:rPr>
        <w:footnoteReference w:id="1644"/>
      </w:r>
      <w:r>
        <w:rPr>
          <w:rFonts w:ascii="IRNazanin" w:hAnsi="IRNazanin" w:eastAsia="IRNazanin"/>
          <w:color w:val="111111"/>
          <w:sz w:val="28"/>
          <w:sz w:val="28"/>
          <w:szCs w:val="28"/>
          <w:rtl w:val="true"/>
          <w:lang w:bidi="fa-IR"/>
        </w:rPr>
        <w:t>، خصوصاً على القول بكونها بيعاً أو عتقاً بعوض، فإنّهما لايتوقّفان على الأجل، و إنّما يجىء القولان على كونها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ملك شقصاً من عبد باقيه حرّ فكاتب ما يملكه منه حالّاً، ففي صحّتها وجهان يلتفتان على الوجهين السابقين، فعلى الأوّل لایصحّ؛ اتّباعاً لما جرى عليه الأوّلون، و على الثاني يجوز؛ لأنّه قد يملك ببعضه الحرّ ما يؤدّيه، فلايتحقّق العجز في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البيع من المعسر؛ لأنّ الحرّيّة مظنّة القدرة، وإن لم يملك شيئاً آخر فإنّه يقدر على أداء الثمن من المبيع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حيث يعتبر الأجل أو أُريد اشترط ضبطه كأجل 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لايشترط زيادته عن أجل عندنا؛ لحصول 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قصر الأجل إلى حدّ يتعذّر حصول المال فيه عادةً بطل على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في المكاتبة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تعيين الأجل و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لهذه المعاملة من عقد مشتمل على لفظ مفيد للمعنى المراد منه كنظائره من عقود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المعاملات و القدر المتّفق على صحّته أن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كاتبتك على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تؤدّيه في نجمين أو أكثر، في كلّ نجم كذا، فإذا أدّيت فأنت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يصرّح بتعليق الحرّيّة بالأداء ولكن نواه بقلبه ففي صحّته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هو قول الشيخ في المبسوط</w:t>
      </w:r>
      <w:r>
        <w:rPr>
          <w:rStyle w:val="FootnoteAnchor"/>
          <w:rtl w:val="true"/>
        </w:rPr>
        <w:footnoteReference w:id="1645"/>
      </w:r>
      <w:r>
        <w:rPr>
          <w:rFonts w:ascii="IRNazanin" w:hAnsi="IRNazanin" w:eastAsia="IRNazanin"/>
          <w:color w:val="111111"/>
          <w:sz w:val="28"/>
          <w:sz w:val="28"/>
          <w:szCs w:val="28"/>
          <w:rtl w:val="true"/>
          <w:lang w:bidi="fa-IR"/>
        </w:rPr>
        <w:t>و المصنّف؛ لأنّ الكتابة دالّة على ذلك و التحرير غايتها، فلايجب ذكرها كغيرها من غايات العقود، خصوصاً لو جعلنا الكتابة بيعاً للعبد من نفسه؛ لأنّه مقتضٍ للعتق فلايفتقر إلى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افتقر إلى النیّة؛ لأنّ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بين المراسلة و المخارجة، فأشبهت الكتابة المشتركة المعنى، فافتقرت إلى انضمام القصد إلى اللفظ، و هذا قصد آخر غير القصد المعتبر في سائر العقود المميّز عن عقد النائم و الساهي، كما تقدّم تقريره مراراً</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ذهب في الخلاف</w:t>
      </w:r>
      <w:r>
        <w:rPr>
          <w:rStyle w:val="FootnoteAnchor"/>
          <w:rtl w:val="true"/>
        </w:rPr>
        <w:footnoteReference w:id="1647"/>
      </w:r>
      <w:r>
        <w:rPr>
          <w:rFonts w:ascii="Amiri" w:hAnsi="Amiri" w:eastAsia="Amiri" w:cs="Amiri"/>
          <w:color w:val="111111"/>
          <w:sz w:val="28"/>
          <w:sz w:val="28"/>
          <w:szCs w:val="28"/>
          <w:rtl w:val="true"/>
          <w:lang w:bidi="ar-SA"/>
        </w:rPr>
        <w:t>،و هو الظاهر من كلام ابن إدريس</w:t>
      </w:r>
      <w:r>
        <w:rPr>
          <w:rStyle w:val="FootnoteAnchor"/>
          <w:rtl w:val="true"/>
        </w:rPr>
        <w:footnoteReference w:id="1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التلفّظ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أدّيت فأنت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عرفت من اشتراك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الأمرين و بين الشرعيّة، فلا بدّ من مائز باللفظ يخرجها عن الاشتراك إلى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 مفهومها الشرعي معلوم، و الإطلاق منزّل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يتخرّج في المسألة قول ثالث، و هو عدم اشتراط القصد الخاصّ إلى اللفظ كغيره من الألفاظ الصريحة في معناها؛ لأنّ اعتبار القصد المدّعى في الاكتفاء باللفظ الأوّل يوجب عدم الاكتفاء به عند من لايسوّغ الكنايات و يعتبر اللفظ الصريح، فإن كان صريحاً لم يفتقر إلى القصد المميّز، و إلّا لم يكف و إن ضمّ إليه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 هذا الخلاف ما تقدّم في التدبير من الاكتفاء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مدبّر</w:t>
      </w:r>
      <w:r>
        <w:rPr>
          <w:rFonts w:eastAsia="Amiri" w:cs="Amiri" w:ascii="Amiri" w:hAnsi="Amiri"/>
          <w:color w:val="111111"/>
          <w:sz w:val="28"/>
          <w:szCs w:val="28"/>
          <w:rtl w:val="true"/>
          <w:lang w:bidi="ar-SA"/>
        </w:rPr>
        <w:t>»</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 xml:space="preserve">. </w:t>
      </w:r>
      <w:bookmarkStart w:id="510" w:name="pg10270_80480"/>
    </w:p>
    <w:p>
      <w:pPr>
        <w:pStyle w:val="Heading4"/>
        <w:numPr>
          <w:ilvl w:val="3"/>
          <w:numId w:val="1"/>
        </w:numPr>
        <w:rPr/>
      </w:pPr>
      <w:bookmarkStart w:id="511" w:name="__RefHeading___Toc3860344_1067777946"/>
      <w:bookmarkStart w:id="512" w:name="_Toc186"/>
      <w:bookmarkEnd w:id="510"/>
      <w:bookmarkEnd w:id="511"/>
      <w:r>
        <w:rPr>
          <w:rtl w:val="true"/>
        </w:rPr>
        <w:t>الكتابة قسمان</w:t>
      </w:r>
      <w:r>
        <w:rPr>
          <w:rtl w:val="true"/>
        </w:rPr>
        <w:t xml:space="preserve">: </w:t>
      </w:r>
      <w:r>
        <w:rPr>
          <w:rtl w:val="true"/>
        </w:rPr>
        <w:t>مشروطة و مطلقة</w:t>
      </w:r>
      <w:bookmarkEnd w:id="5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مشروطة، و مطلقة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يقتصر على العقد و ذكر الأجل و العوض و النیّة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عجزت فأنت ردّ في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عجز كان للمولى ردّه رقّاً، و لايعيد عليه 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تخريج القولين فيهما على أنّهما مشتهران في معنييهما اشتهار البيع و الهبة و سائر العقود في معانيها، فيكونان صريحين لايفتقران إلى ضميمة و لا قصد يخصّصهما، و دعوى خفاء معنييهما عند العامّة و لايعرفهما إلّا الخواصّ فكانا 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فرّق بين اللفظين و اكتفى في التدبير بلفظه دون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جهة فرقه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التدبير ظاهر المعنى مشهور عند كلّ أحد ، و الكتابة بمعناها لايعرفها إلّا الخواص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التدبير كان معروفاً في الجاهليّة في معناه، و الشرع قرّره، و لايستعمل في معنى آخر، و الكتابة تقع على العقد المعلوم و على المخارجة، و هي أن توظّف على العبد الكسوب كلّ يوم خراجاً و لايعتق به، فلابدّ من التمييز باللفظ أو النیّة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مذهب المصنّف في الموضعين راجع إلى هذا الفرق، إلّا أنّ فيه ما تقدّم من الاجتزاء بما هو فى معنى الكتابة منضمّاً إلى ما يعتبر فيها من القصد</w:t>
      </w:r>
      <w:r>
        <w:rPr>
          <w:rStyle w:val="FootnoteAnchor"/>
          <w:rtl w:val="true"/>
        </w:rPr>
        <w:footnoteReference w:id="1650"/>
      </w:r>
      <w:r>
        <w:rPr>
          <w:rFonts w:ascii="Amiri" w:hAnsi="Amiri" w:eastAsia="Amiri" w:cs="Amiri"/>
          <w:color w:val="111111"/>
          <w:sz w:val="28"/>
          <w:sz w:val="28"/>
          <w:szCs w:val="28"/>
          <w:rtl w:val="true"/>
          <w:lang w:bidi="ar-SA"/>
        </w:rPr>
        <w:t>، و هو لايوافق قاعدة الأصحاب و إنّما اللازم منه عندهم وجوب الضميمة لفظاً ليكون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مشروطة، و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يقتصر على العقد إلى آخره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الفرق بين القسمين الأخبار الصحيحة الدالّة عليها من طرقنا، كصحيحة محمّد بن مسلم عن أبي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المكاتب إذا أدّى شيئاً أعتق بقدر ما أدّى إلّا أن يشترط مواليه إن عجز فهو مردود فلهم شرطهم</w:t>
      </w:r>
      <w:r>
        <w:rPr>
          <w:rFonts w:eastAsia="IRNazanin" w:cs="IRNazanin"/>
          <w:color w:val="111111"/>
          <w:sz w:val="28"/>
          <w:szCs w:val="28"/>
          <w:rtl w:val="true"/>
          <w:lang w:bidi="fa-IR"/>
        </w:rPr>
        <w:t>»</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 xml:space="preserve">. </w:t>
      </w:r>
      <w:bookmarkStart w:id="513" w:name="pg10270_80481"/>
    </w:p>
    <w:p>
      <w:pPr>
        <w:pStyle w:val="Heading4"/>
        <w:numPr>
          <w:ilvl w:val="3"/>
          <w:numId w:val="1"/>
        </w:numPr>
        <w:rPr/>
      </w:pPr>
      <w:bookmarkStart w:id="514" w:name="__RefHeading___Toc3860346_1067777946"/>
      <w:bookmarkStart w:id="515" w:name="_Toc187"/>
      <w:bookmarkEnd w:id="513"/>
      <w:bookmarkEnd w:id="514"/>
      <w:r>
        <w:rPr>
          <w:rtl w:val="true"/>
        </w:rPr>
        <w:t>حدّ العجز عن مال الکتابة</w:t>
      </w:r>
      <w:bookmarkEnd w:id="5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العجز أن يؤخّر نجماً إلى نجم، أو يعلم من حاله العجز عن فكّ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يؤخّر نجماً عن محلّه، و هو 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العامّة أنّها قسم واحد</w:t>
      </w:r>
      <w:r>
        <w:rPr>
          <w:rStyle w:val="FootnoteAnchor"/>
          <w:rtl w:val="true"/>
        </w:rPr>
        <w:footnoteReference w:id="1652"/>
      </w:r>
      <w:r>
        <w:rPr>
          <w:rFonts w:ascii="Amiri" w:hAnsi="Amiri" w:eastAsia="Amiri" w:cs="Amiri"/>
          <w:color w:val="111111"/>
          <w:sz w:val="28"/>
          <w:sz w:val="28"/>
          <w:szCs w:val="28"/>
          <w:rtl w:val="true"/>
          <w:lang w:bidi="ar-SA"/>
        </w:rPr>
        <w:t>، و هو المشروطة عندنا، فلايعتق إلّا بأداء جميع المال،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 عبد ما بقي عليه درهم</w:t>
      </w:r>
      <w:r>
        <w:rPr>
          <w:rFonts w:eastAsia="Amiri" w:cs="Amiri" w:ascii="Amiri" w:hAnsi="Amiri"/>
          <w:color w:val="111111"/>
          <w:sz w:val="28"/>
          <w:szCs w:val="28"/>
          <w:rtl w:val="true"/>
          <w:lang w:bidi="ar-SA"/>
        </w:rPr>
        <w:t>»</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العجز أن يؤخّر نجماً إلى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عجز المكاتب عن مال الكتابة أو بعضه جاز للمولى الفسخ في الجملة، لكن إن كانت مشروطةً رجع رقّاً بالعجز و لو عن درهم من آخر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مطلقةً و كان عجزه عن النجم الأوّل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عن غيره أو عن بعضه بعد أن أدّى شيئاً أفاد الفسخ عود ما بقي منه رقّاً، و استقرّ عتق مقدار ما أدّى، فاحتيج إلى معرفة العجز المسوّغ للفسخ في القسمين، و إن كان مقتضى عبارة المصنّف و الأكثر أنّ البحث عن عجز المشروط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الأصحاب في حدّه، فذهب الشيخ في النهاية</w:t>
      </w:r>
      <w:r>
        <w:rPr>
          <w:rStyle w:val="FootnoteAnchor"/>
          <w:rtl w:val="true"/>
        </w:rPr>
        <w:footnoteReference w:id="1654"/>
      </w:r>
      <w:r>
        <w:rPr>
          <w:rFonts w:ascii="IRNazanin" w:hAnsi="IRNazanin" w:eastAsia="IRNazanin"/>
          <w:color w:val="111111"/>
          <w:sz w:val="28"/>
          <w:sz w:val="28"/>
          <w:szCs w:val="28"/>
          <w:rtl w:val="true"/>
          <w:lang w:bidi="fa-IR"/>
        </w:rPr>
        <w:t>، و أتباعه</w:t>
      </w:r>
      <w:r>
        <w:rPr>
          <w:rStyle w:val="FootnoteAnchor"/>
          <w:rtl w:val="true"/>
        </w:rPr>
        <w:footnoteReference w:id="1655"/>
      </w:r>
      <w:r>
        <w:rPr>
          <w:rFonts w:ascii="Amiri" w:hAnsi="Amiri" w:eastAsia="Amiri" w:cs="Amiri"/>
          <w:color w:val="111111"/>
          <w:sz w:val="28"/>
          <w:sz w:val="28"/>
          <w:szCs w:val="28"/>
          <w:rtl w:val="true"/>
          <w:lang w:bidi="ar-SA"/>
        </w:rPr>
        <w:t>إلى أنّ حدّه تأخير نجم إلى نجم آخر، بمعنى تأخير مال أجل إلى أن يحلّ أجل آخر و يجتمع مالان على الحلول، سواء كان ذلك التأخير بسبب العجز عنه أو بالمطل أو بالغيبة بغير إذن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اسم العجز على هذا الشقّ مجاز باعتبار قسيمه، و لمشاركته العجز في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يعلم من حاله العجز بعد حلول النجم عن أدائه وإن لم يؤخّر إلى نجم آخر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جماعة منهم المفيد</w:t>
      </w:r>
      <w:r>
        <w:rPr>
          <w:rStyle w:val="FootnoteAnchor"/>
          <w:rtl w:val="true"/>
        </w:rPr>
        <w:footnoteReference w:id="1656"/>
      </w:r>
      <w:r>
        <w:rPr>
          <w:rFonts w:ascii="Amiri" w:hAnsi="Amiri" w:eastAsia="Amiri" w:cs="Amiri"/>
          <w:color w:val="111111"/>
          <w:sz w:val="28"/>
          <w:sz w:val="28"/>
          <w:szCs w:val="28"/>
          <w:rtl w:val="true"/>
          <w:lang w:bidi="ar-SA"/>
        </w:rPr>
        <w:t>، و الشيخ في الاستبصار</w:t>
      </w:r>
      <w:r>
        <w:rPr>
          <w:rStyle w:val="FootnoteAnchor"/>
          <w:rtl w:val="true"/>
        </w:rPr>
        <w:footnoteReference w:id="1657"/>
      </w:r>
      <w:r>
        <w:rPr>
          <w:rFonts w:ascii="Amiri" w:hAnsi="Amiri" w:eastAsia="Amiri" w:cs="Amiri"/>
          <w:color w:val="111111"/>
          <w:sz w:val="28"/>
          <w:sz w:val="28"/>
          <w:szCs w:val="28"/>
          <w:rtl w:val="true"/>
          <w:lang w:bidi="ar-SA"/>
        </w:rPr>
        <w:t>و ابن إدريس</w:t>
      </w:r>
      <w:r>
        <w:rPr>
          <w:rStyle w:val="FootnoteAnchor"/>
          <w:rtl w:val="true"/>
        </w:rPr>
        <w:footnoteReference w:id="1658"/>
      </w:r>
      <w:r>
        <w:rPr>
          <w:rFonts w:ascii="Amiri" w:hAnsi="Amiri" w:eastAsia="Amiri" w:cs="Amiri"/>
          <w:color w:val="111111"/>
          <w:sz w:val="28"/>
          <w:sz w:val="28"/>
          <w:szCs w:val="28"/>
          <w:rtl w:val="true"/>
          <w:lang w:bidi="ar-SA"/>
        </w:rPr>
        <w:t xml:space="preserve">، و كثير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المتأخّرين إلى أنّ حدّه تأخير النجم عن محلّه، سواء بلغ التأخير نجماً آخر أم لا، و سواء علم من حاله العجز أم لا، حتّى لو كان قادراً على الأداء فمطل به جاز الفسخ إذا أخّره عن وقت حلوله و لو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أقوال أُخر شاذّة أعرضنا عن ذكرها كما أعرض عنها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حجّة الشيخ على القول الأوّل رواية إسحاق بن عمّار عن الصادق علیه السلام أنّ عليّاً علیه السلام کان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عجز المكاتب لم تردّ مكاتبته في الرقّ ولكن ينتظر عاماً أو عامين، فإن أقام بمكاتبته وإلا ردّ مملوكاً</w:t>
      </w:r>
      <w:r>
        <w:rPr>
          <w:rFonts w:eastAsia="IRNazanin" w:cs="IRNazanin"/>
          <w:color w:val="111111"/>
          <w:sz w:val="28"/>
          <w:szCs w:val="28"/>
          <w:rtl w:val="true"/>
          <w:lang w:bidi="fa-IR"/>
        </w:rPr>
        <w:t>»</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 أنّه علیه السلام نفى ردّه قبل العام و هو النجم الآخر،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على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من حاله العجز كان التأخير عبثاً؛ لأنّه لرجاء القدرة، فإذا علم</w:t>
      </w:r>
    </w:p>
    <w:p>
      <w:pPr>
        <w:pStyle w:val="BookText"/>
        <w:rPr/>
      </w:pPr>
      <w:r>
        <w:rPr>
          <w:rFonts w:ascii="IRNazanin" w:hAnsi="IRNazanin" w:eastAsia="IRNazanin"/>
          <w:color w:val="111111"/>
          <w:sz w:val="28"/>
          <w:sz w:val="28"/>
          <w:szCs w:val="28"/>
          <w:rtl w:val="true"/>
          <w:lang w:bidi="fa-IR"/>
        </w:rPr>
        <w:t>عدمها انتفت فائدته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لايخفى ضعف هذه الحجّة دلالةً و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السند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الدلالة؛ فلأنّ النجم الثانى لايلزم أن يكون عاماً، و لا في الكلام إشعار به، بل يجوز كونه أكثر منه فيقتضي جواز الفسخ قبل حلول النجم الآخر، و قديكون أقلّ منه فلايجوز بعد حلول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يفرّق فيها بين أن يعلم من حاله العجز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من عدم الفائدة في الصبر على تقديره ممنوع؛ لأنّ المعتبر في مثل هذا الظنّ الغالب؛ لتعذّر العلم الحقيقي، و يمكن وقوع خلاف الظنّ ببذل أحد له تبرّعاً أو من الزكاة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الرواية على الندب بقرينة التخيير بين العام و العامين و كونهما أعمّ من مقدار نجم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 لم يسند هذا القول إلى الرواية؛ و لعلّه لما ذكرناه، وإنّما أسند القول الثاني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بها صحيحة معاوية بن وهب عن الصادق علیه السلام و قد سأله عن حدّ العجز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قضاتنا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عجز المكاتب أن يؤخّر النجم إلى النجم الآخر حتّى يحول عليه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فما تقول أنت؟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لا كرامة، ليس له أن يؤخّر نجماً عن أجله إذا كان ذلك في شرطه</w:t>
      </w:r>
      <w:r>
        <w:rPr>
          <w:rFonts w:eastAsia="Amiri" w:cs="Amiri" w:ascii="Amiri" w:hAnsi="Amiri"/>
          <w:color w:val="111111"/>
          <w:sz w:val="28"/>
          <w:szCs w:val="28"/>
          <w:rtl w:val="true"/>
          <w:lang w:bidi="ar-SA"/>
        </w:rPr>
        <w:t>»</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روى معاوية بن وهب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مكاتبة أدّت ثلثي مكاتبتها و قد شرط عليها إن عجزت فهي ردّ في الرقّ، و نحن في حلّ ممّا أخذنا منها و قد اجتمع عليها نجمان،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و يطيب لهم ما أخذوا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لها أن تؤخّر النجم بعد حلّه شهراً واحداً إلّا بإذنهم</w:t>
      </w:r>
      <w:r>
        <w:rPr>
          <w:rFonts w:eastAsia="IRNazanin" w:cs="IRNazanin"/>
          <w:color w:val="111111"/>
          <w:sz w:val="28"/>
          <w:szCs w:val="28"/>
          <w:rtl w:val="true"/>
          <w:lang w:bidi="fa-IR"/>
        </w:rPr>
        <w:t>»</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هاتان الروايتان ليستا نصّاً في المطلوب بل ظاهرهما ذلك؛ لأنّ قوله في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 أن يؤخّر نجماً عن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الثانیّة مثله، لايدلّ على جواز الفسخ بذلك، لكنّه هو الظاهر بقرينة السابق، و الإنكار على قول من حكى عنه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فقوله في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ذلك من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يقتضي أنّه شرط عليه التعجيز بتأخير النجم عن محلّه، و لا نزاع في جواز الفسخ مع الشرط إنّما الكلام مع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يمكن أن يحتجّ للقول الأوّل بالرواية الثانیّة حيث دلّت صريحاً على جواز الفسخ بتأخير نجمٍ إلى نجمٍ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اجتمع عليها نجمان،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و يطيب لهم ما أخذوا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دليل صريحاً على جواز الفسخ قبل ذلك، بل على تحريم تأخير الأداء، و لا كلام فيه؛ لأنّ ذلك مقتضى الدين بعد حلوله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يبقى حكم ما إذا علم من حاله العجز مستفاداً ممّا اعتبره له سابقاً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أجود من الاستدلال له برواية إسحاق بن عمّار؛ لصحّة هذه و ضعف تلك</w:t>
      </w:r>
      <w:r>
        <w:rPr>
          <w:rStyle w:val="FootnoteAnchor"/>
          <w:rtl w:val="true"/>
        </w:rPr>
        <w:footnoteReference w:id="1662"/>
      </w:r>
      <w:r>
        <w:rPr>
          <w:rFonts w:ascii="Amiri" w:hAnsi="Amiri" w:eastAsia="Amiri" w:cs="Amiri"/>
          <w:color w:val="111111"/>
          <w:sz w:val="28"/>
          <w:sz w:val="28"/>
          <w:szCs w:val="28"/>
          <w:rtl w:val="true"/>
          <w:lang w:bidi="ar-SA"/>
        </w:rPr>
        <w:t>،و ظهور دلالة هذه دونها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نسبة المصنّف القول الثاني إلى الرواية وإشعار تصديره الحكم بالقول الأوّل ناشٍ</w:t>
      </w:r>
    </w:p>
    <w:p>
      <w:pPr>
        <w:pStyle w:val="BookText"/>
        <w:rPr/>
      </w:pPr>
      <w:r>
        <w:rPr>
          <w:rFonts w:ascii="Amiri" w:hAnsi="Amiri" w:eastAsia="Amiri" w:cs="Amiri"/>
          <w:color w:val="111111"/>
          <w:sz w:val="28"/>
          <w:sz w:val="28"/>
          <w:szCs w:val="28"/>
          <w:rtl w:val="true"/>
          <w:lang w:bidi="ar-SA"/>
        </w:rPr>
        <w:t>عمّا ذكرناه، وإلّا لم يمكن العدول عن الرواية الصحيحة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تنبّه في العبارة 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قبل حلول النجم لایصحّ الفسخ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علم من حاله العجز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فإطلاقه جواز الفسخ مع العلم المذكور و جعله قسيماً لتأخير النجم عن محلّه مقيّد بحلول النجم، و بهذا يظهر أنّه يصلح قسيماً للقول بأنّه تأخير النجم إلى نجم آخر؛ لتحقّق المغايرة بينهما، و لايجوز جعله قسيماً للقول الثاني و هو تأخير النجم عن محلّه؛ لأنّه على هذا القول إذا أخّره عن محلّه و لو لحظةً جاز الفسخ لذلك وإن لم يعلم من حاله العجز و قبله لايجوز كما ذكرناه؛ فلذلك جعل قسيماً للأوّل دون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اتّفق للعلّامة في الإرشاد جعله قسيماً للثاني، و نقله كذلك قولاً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حدّه تأخير النجم عن محلّه على رأي أو يعلم من حاله العجز</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فاسد الوضع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عدم المغايرة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قولاً لأحد، وإنّما الترديد بين الأمرين قول الشيخ في النهاية، و قد جعله فيها قسيماً لتأخير النجم إلى نجم آخر</w:t>
      </w:r>
      <w:r>
        <w:rPr>
          <w:rStyle w:val="FootnoteAnchor"/>
          <w:rtl w:val="true"/>
        </w:rPr>
        <w:footnoteReference w:id="1664"/>
      </w:r>
      <w:r>
        <w:rPr>
          <w:rFonts w:ascii="Amiri" w:hAnsi="Amiri" w:eastAsia="Amiri" w:cs="Amiri"/>
          <w:color w:val="111111"/>
          <w:sz w:val="28"/>
          <w:sz w:val="28"/>
          <w:szCs w:val="28"/>
          <w:rtl w:val="true"/>
          <w:lang w:bidi="ar-SA"/>
        </w:rPr>
        <w:t>كما حكاه المصنّف، و كذلك نقله العلّامة على الصواب في سائر كتبه</w:t>
      </w:r>
      <w:r>
        <w:rPr>
          <w:rStyle w:val="FootnoteAnchor"/>
          <w:rtl w:val="true"/>
        </w:rPr>
        <w:footnoteReference w:id="1665"/>
      </w:r>
      <w:r>
        <w:rPr>
          <w:rFonts w:ascii="Amiri" w:hAnsi="Amiri" w:eastAsia="Amiri" w:cs="Amiri"/>
          <w:color w:val="111111"/>
          <w:sz w:val="28"/>
          <w:sz w:val="28"/>
          <w:szCs w:val="28"/>
          <w:rtl w:val="true"/>
          <w:lang w:bidi="ar-SA"/>
        </w:rPr>
        <w:t>غير الإرشاد</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جعله قسيماً للقول المقرون بالرأي، و عادته أنّه إذا فعل ذلك لايكون في القسيم خلافاً</w:t>
      </w:r>
      <w:r>
        <w:rPr>
          <w:rStyle w:val="FootnoteAnchor"/>
          <w:rtl w:val="true"/>
        </w:rPr>
        <w:footnoteReference w:id="1666"/>
      </w:r>
      <w:r>
        <w:rPr>
          <w:rFonts w:ascii="Amiri" w:hAnsi="Amiri" w:eastAsia="Amiri" w:cs="Amiri"/>
          <w:color w:val="111111"/>
          <w:sz w:val="28"/>
          <w:sz w:val="28"/>
          <w:szCs w:val="28"/>
          <w:rtl w:val="true"/>
          <w:lang w:bidi="ar-SA"/>
        </w:rPr>
        <w:t>، فيقتضي أن يكون الفسخ مع العلم بالعجز جائزاً 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لم يقل به إلّا أصحاب القول الأوّل كما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يعلم من حاله العجز عن فكّ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بمعتبر في الحكم، بل يكفي العلم بالعجز عن أداء النجم الذي قد حلّ وإن لم يحصل به فكّ نفسه تامّاً، ولكنّه تبع معنى كلام الشيخ في النهاية، فإنّه عبّر بالعلم بأنّه لايقدر على فكّ رقبته، و وجه التعبير بذلك أنّهم فرضوا الحكم في المشروط، و بعجزه عن قليل من المال لا ينفكّ شيء من رقبته كما تقرّر، و إنّما يختلف الحكم في المطلق، فإنّه إذا عجز عن نجم يفسخ فيما قابله وإن كان قد فكّ أكثر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أحسن ابن الجنيد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شرط رقّه إن عجز عن شيء من المال استرقّ متى عجز عن أداء نجم أو بعضه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عجز عن نجم من نجومه، فبقي عليه بعض النجم الأخير لم يرجع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إن تأخّر عن بعض نجم إلى أن يؤدّيه مع الذي يليه</w:t>
      </w:r>
      <w:r>
        <w:rPr>
          <w:rFonts w:eastAsia="Amiri" w:cs="Amiri" w:ascii="Amiri" w:hAnsi="Amiri"/>
          <w:color w:val="111111"/>
          <w:sz w:val="28"/>
          <w:szCs w:val="28"/>
          <w:rtl w:val="true"/>
          <w:lang w:bidi="ar-SA"/>
        </w:rPr>
        <w:t>»</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الخلاف ما إذا لم يشترط عليه التعجيز بشيء بعينه، فلو شرط عند تأخير النجم عن محلّه، أو عند تأخيره إلى نجم آخر، أو إلى نجمين فصاعداً، أو إلى مدّة معيّنة اتّبع</w:t>
      </w:r>
    </w:p>
    <w:p>
      <w:pPr>
        <w:pStyle w:val="BookText"/>
        <w:rPr/>
      </w:pPr>
      <w:r>
        <w:rPr>
          <w:rFonts w:ascii="Amiri" w:hAnsi="Amiri" w:eastAsia="Amiri" w:cs="Amiri"/>
          <w:color w:val="111111"/>
          <w:sz w:val="28"/>
          <w:sz w:val="28"/>
          <w:szCs w:val="28"/>
          <w:rtl w:val="true"/>
          <w:lang w:bidi="ar-SA"/>
        </w:rPr>
        <w:t>شرطه، وإنّما الخلاف 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شرط غير ذلك من الشروط السائغة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العلّامة و السبب، لا الحدّ المصطلح، وإنّما ذكره المصنّف و غيره</w:t>
      </w:r>
      <w:r>
        <w:rPr>
          <w:rStyle w:val="FootnoteAnchor"/>
          <w:rtl w:val="true"/>
        </w:rPr>
        <w:footnoteReference w:id="1668"/>
      </w:r>
      <w:r>
        <w:rPr>
          <w:rFonts w:ascii="Amiri" w:hAnsi="Amiri" w:eastAsia="Amiri" w:cs="Amiri"/>
          <w:color w:val="111111"/>
          <w:sz w:val="28"/>
          <w:sz w:val="28"/>
          <w:szCs w:val="28"/>
          <w:rtl w:val="true"/>
          <w:lang w:bidi="ar-SA"/>
        </w:rPr>
        <w:t>تبعاً لوروده في النصوص</w:t>
      </w:r>
      <w:r>
        <w:rPr>
          <w:rStyle w:val="FootnoteAnchor"/>
          <w:rtl w:val="true"/>
        </w:rPr>
        <w:footnoteReference w:id="1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يعلم من حاله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الغالب المستند إلى قرائن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ظنّ الحاكم عند التنازع، و ظنّ المولى بالنسبة إلى ما بينه و بين الله تعالى حيث لايقع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 النجم غالباً على الأجل و أصله الوقت، و منه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إيّان نجومه</w:t>
      </w:r>
      <w:r>
        <w:rPr>
          <w:rFonts w:eastAsia="Amiri" w:cs="Amiri" w:ascii="Amiri" w:hAnsi="Amiri"/>
          <w:color w:val="111111"/>
          <w:sz w:val="28"/>
          <w:szCs w:val="28"/>
          <w:rtl w:val="true"/>
          <w:lang w:bidi="ar-SA"/>
        </w:rPr>
        <w:t>»</w:t>
      </w:r>
      <w:r>
        <w:rPr>
          <w:rStyle w:val="FootnoteAnchor"/>
          <w:rtl w:val="true"/>
        </w:rPr>
        <w:footnoteReference w:id="1670"/>
      </w:r>
      <w:r>
        <w:rPr>
          <w:rFonts w:ascii="IRNazanin" w:hAnsi="IRNazanin" w:eastAsia="IRNazanin"/>
          <w:color w:val="111111"/>
          <w:sz w:val="28"/>
          <w:sz w:val="28"/>
          <w:szCs w:val="28"/>
          <w:rtl w:val="true"/>
          <w:lang w:bidi="fa-IR"/>
        </w:rPr>
        <w:t>، يعني النبيّ صلّی الله علیه و آله و سلّم، أي وقت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العرب لايعرفون الحساب و يبنون </w:t>
      </w:r>
      <w:bookmarkStart w:id="516" w:name="pg10270_80486"/>
    </w:p>
    <w:p>
      <w:pPr>
        <w:pStyle w:val="BookText"/>
        <w:rPr/>
      </w:pPr>
      <w:bookmarkEnd w:id="5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للمولى مع العجز الصبر عليه</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3860348_1067777946"/>
      <w:bookmarkStart w:id="518" w:name="_Toc188"/>
      <w:bookmarkEnd w:id="517"/>
      <w:r>
        <w:rPr>
          <w:rtl w:val="true"/>
        </w:rPr>
        <w:t>الكتابة عقد لازم</w:t>
      </w:r>
      <w:bookmarkEnd w:id="5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الكتابة عقد لازم، مطلقةً كانت أو 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مشروطةٌ فهي جائزة من جهة العبد؛ لأنّ له أن يعجز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لانسلّم أنّ للعبد أن يعجّز نفسه، بل يجب عليه السعي، و لو امتنع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إشكال من حيث اقتضاء عقد الكتابة وجوب السعي، فكان الأشبه 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عجز كان للمولى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أمرهم على طلوع النجوم و المنازل، فيقول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نجم الثريّا أدّيت حقّك، فسمّيت الأوقات نجوماً، ثمّ أُطلق على المال المجعول عليه في ذلك الأجل، و هذا هو المراد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للمولى مع العجز الصبر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فيه من إعانته على التخلّص من الرقّ، وإنظار المعسر بالدين؛ لأنّه عليه بمنزلة الدين، و لرواية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المكاتب يشترط عليه إن عجز فهو ردّ في الرقّ فعجز قبل أن يؤدّي شيئاً، 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يردّه في الرقّ حتّى يمضي له ثلاث سنين</w:t>
      </w:r>
      <w:r>
        <w:rPr>
          <w:rFonts w:eastAsia="IRNazanin" w:cs="IRNazanin"/>
          <w:color w:val="111111"/>
          <w:sz w:val="28"/>
          <w:szCs w:val="28"/>
          <w:rtl w:val="true"/>
          <w:lang w:bidi="fa-IR"/>
        </w:rPr>
        <w:t>»</w:t>
      </w:r>
      <w:r>
        <w:rPr>
          <w:rStyle w:val="FootnoteAnchor"/>
          <w:rtl w:val="true"/>
        </w:rPr>
        <w:footnoteReference w:id="1671"/>
      </w:r>
      <w:r>
        <w:rPr>
          <w:rFonts w:ascii="IRNazanin" w:hAnsi="IRNazanin" w:eastAsia="IRNazanin"/>
          <w:color w:val="111111"/>
          <w:sz w:val="28"/>
          <w:sz w:val="28"/>
          <w:szCs w:val="28"/>
          <w:rtl w:val="true"/>
          <w:lang w:bidi="fa-IR"/>
        </w:rPr>
        <w:t>، بحمله على الاستحباب</w:t>
      </w:r>
      <w:r>
        <w:rPr>
          <w:rStyle w:val="FootnoteAnchor"/>
          <w:rtl w:val="true"/>
        </w:rPr>
        <w:footnoteReference w:id="1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الأخبار</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الكتابة عقد لازم، مطلقةً كانت أو 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الأصحاب في لزوم عقد الكتابة و جوازه على أقوال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لازمة مطلقاً ذهب إليه المصنّف و جملة المتأخرين</w:t>
      </w:r>
      <w:r>
        <w:rPr>
          <w:rStyle w:val="FootnoteAnchor"/>
          <w:rtl w:val="true"/>
        </w:rPr>
        <w:footnoteReference w:id="1674"/>
      </w:r>
      <w:r>
        <w:rPr>
          <w:rFonts w:ascii="IRNazanin" w:hAnsi="IRNazanin" w:eastAsia="IRNazanin"/>
          <w:color w:val="111111"/>
          <w:sz w:val="28"/>
          <w:sz w:val="28"/>
          <w:szCs w:val="28"/>
          <w:rtl w:val="true"/>
          <w:lang w:bidi="fa-IR"/>
        </w:rPr>
        <w:t xml:space="preserve">لأنّها عقد، و الأصل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العقود اللزوم؛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675"/>
      </w:r>
      <w:r>
        <w:rPr>
          <w:rFonts w:ascii="Amiri" w:hAnsi="Amiri" w:eastAsia="Amiri" w:cs="Amiri"/>
          <w:color w:val="111111"/>
          <w:sz w:val="28"/>
          <w:sz w:val="28"/>
          <w:szCs w:val="28"/>
          <w:rtl w:val="true"/>
          <w:lang w:bidi="ar-SA"/>
        </w:rPr>
        <w:t>، و لايتحقّق امتثال الأمر إلّا على تقدير اللزوم؛ إذ الجائز لايجب الوفاء به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الأمر مختصّ بالعقود اللازمة؛ للإجماع على أنّ مثل عقد الوديعة و العارية و الوكالة لايجب الوفاء به، أو أنّ الوفاء بالعقد العمل بمقتضاه من لزوم أو جواز، فلاتصلح الآية للاحتجاج في مواضع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المأمور بالوفاء به عامّ؛ لأنّه جمع محلّى، فيدلّ على وجوب الوفاء بالجميع، و خروج الجائزة بدليل من خارج يبقي العامّ حجّة في الباقي، و ذلك لايوجب القول بأنّ المراد من الآية ابتداءً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حمله على التزام حكمه من لزوم و جواز فهو خلاف الظاهر، و إنّما مقتضى الوفاء به الاستمرار عليه و العمل بموجبه، و ذلك يوجب السعي على المكاتب في وفاء مال الكتابة و أدائه إلى المولى حيث يمكن، فليس له أن يعجّز نفسه اختياراً؛ لأنّه منافٍ للوفاء بالعقد</w:t>
      </w:r>
    </w:p>
    <w:p>
      <w:pPr>
        <w:pStyle w:val="BookText"/>
        <w:rPr/>
      </w:pPr>
      <w:r>
        <w:rPr>
          <w:rFonts w:ascii="IRNazanin" w:hAnsi="IRNazanin" w:eastAsia="IRNazanin"/>
          <w:color w:val="111111"/>
          <w:sz w:val="28"/>
          <w:sz w:val="28"/>
          <w:szCs w:val="28"/>
          <w:rtl w:val="true"/>
          <w:lang w:bidi="fa-IR"/>
        </w:rPr>
        <w:t>و العمل بمقتضاه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لازمة من طرف السيّد جائزة من طرف العبد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الشيخ في الخلاف</w:t>
      </w:r>
      <w:r>
        <w:rPr>
          <w:rStyle w:val="FootnoteAnchor"/>
          <w:rtl w:val="true"/>
        </w:rPr>
        <w:footnoteReference w:id="1676"/>
      </w:r>
      <w:r>
        <w:rPr>
          <w:rFonts w:ascii="Amiri" w:hAnsi="Amiri" w:eastAsia="Amiri" w:cs="Amiri"/>
          <w:color w:val="111111"/>
          <w:sz w:val="28"/>
          <w:sz w:val="28"/>
          <w:szCs w:val="28"/>
          <w:rtl w:val="true"/>
          <w:lang w:bidi="ar-SA"/>
        </w:rPr>
        <w:t>و احتجّ عليه بإجماع الفرقة و أخبارهم على أنّ المكاتب متى عجز كان لمولاه ردّه في الرقّ إذا كانت الكتابة 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فساد الدليل و عدم إفضائه إلى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حمل قوله على أنّ المراد بالكتابة المشروطة بقرينة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التحرير ادّعى الإجماع على لزوم المطلقة</w:t>
      </w:r>
      <w:r>
        <w:rPr>
          <w:rStyle w:val="FootnoteAnchor"/>
          <w:rtl w:val="true"/>
        </w:rPr>
        <w:footnoteReference w:id="1677"/>
      </w:r>
      <w:r>
        <w:rPr>
          <w:rFonts w:ascii="Amiri" w:hAnsi="Amiri" w:eastAsia="Amiri" w:cs="Amiri"/>
          <w:color w:val="111111"/>
          <w:sz w:val="28"/>
          <w:sz w:val="28"/>
          <w:szCs w:val="28"/>
          <w:rtl w:val="true"/>
          <w:lang w:bidi="ar-SA"/>
        </w:rPr>
        <w:t>، و هو مبنيّ على تخصيص قول الخلاف</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الاحتجاج لجوازها في القسمين من طرف المكاتب بأنّ الحظّ في الكتابة للعبد، فلايتمكن السيّد من إسقاط ما أثبته من الحقّ و الحظّ، و صاحب الحظّ بالخيار في حقّه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كما أنّ الرهن جائز من جهة المرتهن لازم من جهة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الكتابة تتضمّن تعليق العتق بصفة في العبد، و التعليق يلزم من جهة المعلّق، و العبد لايلزمه الإتيان بالصفة المعلّق عليها، و هذان الدليلان شاملان للمطلقة و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المطلقة من الطرفين و المشروطة من طرف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الشيخ في المبسوط، فإنّه بعد أن حكى خلاف قوم أنّها لازمة من جهة المولى و جائزة من جهة العبد و آخرين أنّها لازمة مطلقاً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يقتضيه مذهبنا أنّ الكتابة إن كانت مطلقةً فهي لازمة من الطرفين و ليس لأحدهما فسخ، وإن كانت مقيّدة فهي لازمة من جهة السيّد و جائزة من جهة العبد، فإن عجز لم يجبر على الاكتساب</w:t>
      </w:r>
      <w:r>
        <w:rPr>
          <w:rFonts w:eastAsia="Amiri" w:cs="Amiri" w:ascii="Amiri" w:hAnsi="Amiri"/>
          <w:color w:val="111111"/>
          <w:sz w:val="28"/>
          <w:szCs w:val="28"/>
          <w:rtl w:val="true"/>
          <w:lang w:bidi="ar-SA"/>
        </w:rPr>
        <w:t>»</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هذا ذهب ابن إدريس أيضاً</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وجهه ما أشار إليه الشيخ في الخلاف من جواز ردّه في الرقّ مع عجزه</w:t>
      </w:r>
      <w:r>
        <w:rPr>
          <w:rStyle w:val="FootnoteAnchor"/>
          <w:rtl w:val="true"/>
        </w:rPr>
        <w:footnoteReference w:id="1680"/>
      </w:r>
      <w:r>
        <w:rPr>
          <w:rFonts w:ascii="Amiri" w:hAnsi="Amiri" w:eastAsia="Amiri" w:cs="Amiri"/>
          <w:color w:val="111111"/>
          <w:sz w:val="28"/>
          <w:sz w:val="28"/>
          <w:szCs w:val="28"/>
          <w:rtl w:val="true"/>
          <w:lang w:bidi="ar-SA"/>
        </w:rPr>
        <w:t>، فدلّ على أنّ له تعجيز نفسه، و إلّا لوجب عليه التكسّب و لم يجزئ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ضعفه، فإنّ جواز ردّه في الرقّ مع عجزه لايدلّ على جواز تعجيزه نفسه اختياراً، و إنّما يدلّ على أنّه مع العجز حقيقةً عن أداء ما عليه يجوز فسخها، و هذا لا نزاع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فالقول بلزومها يستلزم عدم جواز تعجيز نفسه و وجوب سعيه في وفاء دينه كغيره، و القائل بجوازها يجوّزه، فلايجوز الاستدلال بالجواز على الجواز و لا باللزوم على اللزوم؛ لأنّه المتنازع</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ويتفرّع عليه إجباره مع الامتناع من السعي وعدمه، فإن قلنا باللزوم أُجبر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يجبر على التكسّب اللائق بحاله في وفاء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بالجواز لم يجبر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اتّفقا على التقايل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المصنّف في تعليل الإجبار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عقد الكتابة اقتضى وجوب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 استدلال الشيخ على الجواز بجواز تعجيزه نفسه؛ فإنّ الشيخ لايسلّم اقتضاء عقد الكتابة لوجوب السعي، و إنّما يسلّمه من يقول بلزومه من طرف المكاتب، فالاقتضاء و عدمه متفرّع على اللزوم و الجواز؛ لجواز التعجيز و عدمه، و كأنّ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بذلك أنّ الأمر العامّ بالوفاء بالعقد أوجب السعي، فأخذ المدلول و جعله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المشروطة من الطرفين و المطلقة من طرف المكاتب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ابن حمزة</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قول غريب لا شاهد له في الأخبار و لا الاعتبار، و لايؤثر عن أحد من أصحاب الأقوال، مع مخالفته للأصل من لزوم العقد خصوصاً من طرف من لا حظّ له في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المراد بالجواز من طرف المكاتب خاصّةً أنّه لايجب عليه السعي في مال الكتابة، و لا أداؤه على تقدير وجوده معه، بل له أن يعجّز نفسه و يمتنع من تحصيل صفة العتق، فللمولى حينئذٍ أن يفسخ العقد و له أن يصبر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بجوازه ما هو المعهود في غيره من العقود من أنّ له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في المبسوط قول آخر في تفسير الجواز،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لايلزمه التكسّب له وإن قدر عليه، لكن لو كان معه مال وجب عليه دفعه، و أجبر على أدائه مع الامتناع كمن عليه دين و هو موسر</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و معنى لزومها من الطرفين أنّه ليس لواحدٍ منهما فسخها بنفسه كغيرها من العقود اللازمة، و مع ذلك قد يجوز فسخها للمولى على تقدير عجز المكاتب عن الاكتساب أو قدرته و تركه له، مع عدم إمكان إجباره عليه إلى أن يحصل الحدّ المجوّز للفسخ كما مرّ</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اتّفقا على التقايل صحّ</w:t>
      </w:r>
      <w:r>
        <w:rPr>
          <w:rFonts w:eastAsia="Amiri" w:cs="Amiri" w:ascii="Amiri" w:hAnsi="Amiri"/>
          <w:color w:val="111111"/>
          <w:sz w:val="28"/>
          <w:szCs w:val="28"/>
          <w:rtl w:val="true"/>
          <w:lang w:bidi="ar-SA"/>
        </w:rPr>
        <w:t xml:space="preserve">». </w:t>
      </w:r>
      <w:bookmarkStart w:id="519" w:name="pg10270_80490"/>
    </w:p>
    <w:p>
      <w:pPr>
        <w:pStyle w:val="BookText"/>
        <w:rPr/>
      </w:pPr>
      <w:bookmarkEnd w:id="51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أبرأه من 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ينعتق بالإبراء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تبطل بموت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للوارث المطالبة بالمال، و ينعتق بالأداء إلى الوارث</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3860350_1067777946"/>
      <w:bookmarkStart w:id="521" w:name="_Toc189"/>
      <w:bookmarkEnd w:id="520"/>
      <w:r>
        <w:rPr>
          <w:rtl w:val="true"/>
        </w:rPr>
        <w:t>شروط المکاتِب</w:t>
      </w:r>
      <w:bookmarkEnd w:id="5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 الموجب البلوغ، و كمال العقل، و الاختيار، و جواز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يعتبر الإسلام؟ فيه تردّد، و الوجه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هذا العقد قابل للتقابل؛ لأنّه عقد معاوضة من الجانبين وإن كان فيه شائبة العبادة بالعتق الذي لايقبل التقايل، فإنّ العتق إنّما جاء في ضمن العقد و حصل بطريق المعاوضة كبيع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أبرأه من 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ينعتق بالإبراء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الإبراء من مال الكتابة بمنزلة قبضة يوجب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عطف حكمه على حكم التقايل ليس بجيّد؛ لأنّ التقايل يوجب انفساخ العقد، و الإبراء يوجب تماميّته بما هو بمنزلة أداء المال، لكنّهما لما اشتركا في ارتفاع حكم الكتابة عطفه عليه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لاتبطل بموت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للوارث المطالبة بالمال، و ينعتق بالأداء إلى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حكم العقد اللازم أن لايبطل بموت المتعاقدين، و ذلك يتمّ في طرف موت المولى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فينتقل حقّ الكتابة من المال و التعجيز و ما يترتّب عليه من الفسخ إلى الوارث، فإن أدّى إليه المال عتق وإلّا كان حكمه كالمورّث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موت المكاتب فسيأتي حكمه بخلاف ذلك</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في الموجب البلوغ وكمال العقل 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شبهة في اعتبار كماليّة المولى؛ لأنّه تصرّف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إسلامه ففي اعتباره قول مرتّب على أنّه عتق بعوض، و أنّ العتق لايقع من الكافر و المقدّمتان ممنوعتان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البحث فيهما</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كاتب الذمّي مملوكه على خمر أو خنزير و تقابضا حكم عليهما بالتزام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أسلما لم تبطل و إن لم يتقابضا، و كان عليه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المكاتب كافراً أيضاً فلا كلام؛ لأنّ يده تقرّ عليه بدون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مسلماً ففي صحّة كتابته له قولان، من حيث إنّه يجبر على نقله عن ملكه، و الكتابة كما عرفت لاتوجب الانتقال التامّ عن الملك؛ لأنّها متردّدة بين الخروج عنه و البقاء، و تمام الخروج موقوف على أداء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استلزامها رفع اليد في الجملة، و تشبّث المكاتب بالحرّيّة، و رفع الحجر عنه في كثير من الأعمال، خصوصاً إذا جعلناها بيعاً و لازمة من جهة المولى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فرّق بين المطلقة و المشروطة، فاكتفي بالأُولى دون الثانیّة؛ لأنّه لايخرج في المشروطة عن الرقّيّة إلّا بأداء جميع المال، و هو معرض للعجز اختياراً أو اضطراراً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يتفرّع على هذه الأقوال ما إذا كاتبه كافراً فأسلم قبل الأداء، و أولى بالاكتفاء هنا؛ لأنّ الاستدامة أقوى من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المنع من الاكتفاء بها يحتمل هنا الجواز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تساويهما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تقدير الاكتفاء بها فعجز احتمل تسلّط المولى على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فيباع عليه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بمقتضى التعجيز، و عدم تخيّره هنا؛ لاستلزامه تملّك المسلم</w:t>
      </w:r>
    </w:p>
    <w:p>
      <w:pPr>
        <w:pStyle w:val="BookText"/>
        <w:rPr/>
      </w:pP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كاتب الذمّي مملوكه على خمر أو خنزير و تقابضا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كاتب الذمّي عبده على خمرٍ أو خنزيرٍ ثمّ أسلما فإن كان ذلك بعد قبض العوض وقع</w:t>
      </w:r>
    </w:p>
    <w:p>
      <w:pPr>
        <w:pStyle w:val="BookText"/>
        <w:rPr/>
      </w:pPr>
      <w:r>
        <w:rPr>
          <w:rFonts w:ascii="Amiri" w:hAnsi="Amiri" w:eastAsia="Amiri" w:cs="Amiri"/>
          <w:color w:val="111111"/>
          <w:sz w:val="28"/>
          <w:sz w:val="28"/>
          <w:szCs w:val="28"/>
          <w:rtl w:val="true"/>
          <w:lang w:bidi="ar-SA"/>
        </w:rPr>
        <w:t>العتق، و لا رجوع للسيّد على العبد بشيء؛ لانفصال الأمر بينهما حال التزامهما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ترافعا قبل القبض لم يحكم بفسادها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سبيل إلى الرجوع بالعين؛ لتحريمه في شرع الإسلام، فيرجع إلى القيمة؛ لأنّها أقرب شيء إليه، و المحرّم لم يفسد بل صحّ فيما بينهم؛ و لهذا لو قبضه لم يجب له غيره وإنّما تعذّر الحكم به شرعاً، فوجب المصير إلى قيمته عند مستحلّيه، كما جرى العقد على عين و تعذّر تسليمها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اتّفق ذلك بعد قبض البعض مضى في المقبوض و لزمه قيمة الباقي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لولىّ اليتيم أن يكاتب مملوكه مع اعتبار الغبطة للمولّى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قول بالمنع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ارتدّ ثمّ كاتب لم یصحّ؛ إمّا لزوال ملكه عنه، أو لأنّه لايقرّ المسلم في ملكه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سبق الكلام على نظيره في المهر و غيره و أنّ فيه قولاً بالسقوط</w:t>
      </w:r>
      <w:r>
        <w:rPr>
          <w:rStyle w:val="FootnoteAnchor"/>
          <w:rtl w:val="true"/>
        </w:rPr>
        <w:footnoteReference w:id="1686"/>
      </w:r>
      <w:r>
        <w:rPr>
          <w:rFonts w:ascii="Amiri" w:hAnsi="Amiri" w:eastAsia="Amiri" w:cs="Amiri"/>
          <w:color w:val="111111"/>
          <w:sz w:val="28"/>
          <w:sz w:val="28"/>
          <w:szCs w:val="28"/>
          <w:rtl w:val="true"/>
          <w:lang w:bidi="ar-SA"/>
        </w:rPr>
        <w:t>لأنّه رضي بالعوض المحرّم فيدام عليه حكم رضاه، و قد تعذّر قبضه بالإسلام بالنسبة إلى المستحقّ عليه فسقطت المطالبة، لكن لم ينقلوه هنا مع أنّه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لوليّ اليتيم أن يكاتب مملوكه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بالمنع للشيخ في المبسوط</w:t>
      </w:r>
      <w:r>
        <w:rPr>
          <w:rStyle w:val="FootnoteAnchor"/>
          <w:rtl w:val="true"/>
        </w:rPr>
        <w:footnoteReference w:id="1687"/>
      </w:r>
      <w:r>
        <w:rPr>
          <w:rFonts w:ascii="Amiri" w:hAnsi="Amiri" w:eastAsia="Amiri" w:cs="Amiri"/>
          <w:color w:val="111111"/>
          <w:sz w:val="28"/>
          <w:sz w:val="28"/>
          <w:szCs w:val="28"/>
          <w:rtl w:val="true"/>
          <w:lang w:bidi="ar-SA"/>
        </w:rPr>
        <w:t>استناداً إلى أنّ الكتابة شبيهة بالتبرّع من حيث إنّها معاملة على ماله بماله، إذ المال المكتسب تابع للمملوك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الصحّة مع الغبطة، و هو قول الشيخ أيضاً في الخلاف</w:t>
      </w:r>
      <w:r>
        <w:rPr>
          <w:rStyle w:val="FootnoteAnchor"/>
          <w:rtl w:val="true"/>
        </w:rPr>
        <w:footnoteReference w:id="1688"/>
      </w:r>
      <w:r>
        <w:rPr>
          <w:rFonts w:ascii="Amiri" w:hAnsi="Amiri" w:eastAsia="Amiri" w:cs="Amiri"/>
          <w:color w:val="111111"/>
          <w:sz w:val="28"/>
          <w:sz w:val="28"/>
          <w:szCs w:val="28"/>
          <w:rtl w:val="true"/>
          <w:lang w:bidi="ar-SA"/>
        </w:rPr>
        <w:t>لأنّ الوليّ موضوع لعمل مصالحه، و قد لايحصل المال بدون المكاتبة، بل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كسبه بعد العقد ليس مالاً محضاً للمولى، و قبله ليس بموجود حتّى تكون المعاملة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لصحيحة معاوية بن وهب قال، قلت لأبي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كاتبت جارية لأيتام لنا، و اشترطت عليها إن عجزت فهي ردّ في الرقّ و أنا في حلّ ممّا أخذت منك، 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شرطك</w:t>
      </w:r>
      <w:r>
        <w:rPr>
          <w:rFonts w:eastAsia="IRNazanin" w:cs="IRNazanin"/>
          <w:color w:val="111111"/>
          <w:sz w:val="28"/>
          <w:szCs w:val="28"/>
          <w:rtl w:val="true"/>
          <w:lang w:bidi="fa-IR"/>
        </w:rPr>
        <w:t>»</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موضع الجواز ما إذا كان بيعه جائزاً لحاجة اليتيم إليه و نحوه، و هو المعبّر عنه بالغبطة،</w:t>
      </w:r>
    </w:p>
    <w:p>
      <w:pPr>
        <w:pStyle w:val="BookText"/>
        <w:rPr/>
      </w:pPr>
      <w:r>
        <w:rPr>
          <w:rFonts w:ascii="Amiri" w:hAnsi="Amiri" w:eastAsia="Amiri" w:cs="Amiri"/>
          <w:color w:val="111111"/>
          <w:sz w:val="28"/>
          <w:sz w:val="28"/>
          <w:szCs w:val="28"/>
          <w:rtl w:val="true"/>
          <w:lang w:bidi="ar-SA"/>
        </w:rPr>
        <w:t>وإلّا لم يجزئ كما هو قاعدة بيع مال اليتيم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ارتدّ ثمّ كاتب لم یصحّ؛ إمّا لزوال ملكه عنه، أو لأنّه لايقرّ المسلم في ملكه</w:t>
      </w:r>
      <w:r>
        <w:rPr>
          <w:rFonts w:eastAsia="IRNazanin" w:cs="IRNazanin"/>
          <w:color w:val="111111"/>
          <w:sz w:val="28"/>
          <w:szCs w:val="28"/>
          <w:rtl w:val="true"/>
          <w:lang w:bidi="fa-IR"/>
        </w:rPr>
        <w:t xml:space="preserve">». </w:t>
      </w:r>
      <w:bookmarkStart w:id="522" w:name="pg10270_80493"/>
    </w:p>
    <w:p>
      <w:pPr>
        <w:pStyle w:val="Heading4"/>
        <w:numPr>
          <w:ilvl w:val="3"/>
          <w:numId w:val="1"/>
        </w:numPr>
        <w:rPr/>
      </w:pPr>
      <w:bookmarkStart w:id="523" w:name="__RefHeading___Toc3860352_1067777946"/>
      <w:bookmarkStart w:id="524" w:name="_Toc190"/>
      <w:bookmarkEnd w:id="522"/>
      <w:bookmarkEnd w:id="523"/>
      <w:r>
        <w:rPr>
          <w:rtl w:val="true"/>
        </w:rPr>
        <w:t>شروط المکاتَب</w:t>
      </w:r>
      <w:bookmarkEnd w:id="5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 المملوك البلوغ وكمال العقل؛ لأنّه ليس لأحدهما أهليّة القبول،</w:t>
      </w:r>
    </w:p>
    <w:p>
      <w:pPr>
        <w:pStyle w:val="BookText"/>
        <w:rPr/>
      </w:pPr>
      <w:r>
        <w:rPr>
          <w:rFonts w:ascii="Amiri" w:hAnsi="Amiri" w:eastAsia="Amiri" w:cs="Amiri"/>
          <w:color w:val="111111"/>
          <w:sz w:val="28"/>
          <w:sz w:val="28"/>
          <w:szCs w:val="28"/>
          <w:rtl w:val="true"/>
          <w:lang w:bidi="ar-SA"/>
        </w:rPr>
        <w:t>المرتدّ إن كان عن فطرة انتقل ملكه عنه و لم يقبل ملكاً متجدّداً، فلايتصوّر كتابته لعبد</w:t>
      </w:r>
    </w:p>
    <w:p>
      <w:pPr>
        <w:pStyle w:val="BookText"/>
        <w:rPr/>
      </w:pPr>
      <w:r>
        <w:rPr>
          <w:rFonts w:ascii="Amiri" w:hAnsi="Amiri" w:eastAsia="Amiri" w:cs="Amiri"/>
          <w:color w:val="111111"/>
          <w:sz w:val="28"/>
          <w:sz w:val="28"/>
          <w:szCs w:val="28"/>
          <w:rtl w:val="true"/>
          <w:lang w:bidi="ar-SA"/>
        </w:rPr>
        <w:t>مسلم و 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أشار بالعلّة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عن ملّة صار بحكم الكافر ، فيباع المسلم عليه قهراً و لا تقرّ يده عليه و إن بقي</w:t>
      </w:r>
    </w:p>
    <w:p>
      <w:pPr>
        <w:pStyle w:val="BookText"/>
        <w:rPr/>
      </w:pPr>
      <w:r>
        <w:rPr>
          <w:rFonts w:ascii="IRNazanin" w:hAnsi="IRNazanin" w:eastAsia="IRNazanin"/>
          <w:color w:val="111111"/>
          <w:sz w:val="28"/>
          <w:sz w:val="28"/>
          <w:szCs w:val="28"/>
          <w:rtl w:val="true"/>
          <w:lang w:bidi="fa-IR"/>
        </w:rPr>
        <w:t>غيره من أملاكه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إليه أشار بالعلّة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يفهم من الحكم بعدم صحّة كتابة الملّي للمسلم أنّه لايكفي في نقل المسلم عن ملك</w:t>
      </w:r>
    </w:p>
    <w:p>
      <w:pPr>
        <w:pStyle w:val="BookText"/>
        <w:rPr/>
      </w:pPr>
      <w:r>
        <w:rPr>
          <w:rFonts w:ascii="Amiri" w:hAnsi="Amiri" w:eastAsia="Amiri" w:cs="Amiri"/>
          <w:color w:val="111111"/>
          <w:sz w:val="28"/>
          <w:sz w:val="28"/>
          <w:szCs w:val="28"/>
          <w:rtl w:val="true"/>
          <w:lang w:bidi="ar-SA"/>
        </w:rPr>
        <w:t>الكافر الكتابة؛ وإلّا لصحّت كتابته في موضع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المملوك كافراً صحّت كتابته له؛ لعدم المانع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التعليل بعدم قرار يده على</w:t>
      </w:r>
    </w:p>
    <w:p>
      <w:pPr>
        <w:pStyle w:val="BookText"/>
        <w:rPr/>
      </w:pPr>
      <w:r>
        <w:rPr>
          <w:rFonts w:ascii="Amiri" w:hAnsi="Amiri" w:eastAsia="Amiri" w:cs="Amiri"/>
          <w:color w:val="111111"/>
          <w:sz w:val="28"/>
          <w:sz w:val="28"/>
          <w:szCs w:val="28"/>
          <w:rtl w:val="true"/>
          <w:lang w:bidi="ar-SA"/>
        </w:rPr>
        <w:t>المسلم إيماء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في المملوك البلوغ وكمال العقل؛ لأنّه ليس لأحدهما أهليّة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على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لايلزم من عدم أهليّتهما للقبول عدم صحّة كتابتهما مطلقاً؛ لأنّ للسيّد عليهما ولاية فله القبول عنهما</w:t>
      </w:r>
      <w:r>
        <w:rPr>
          <w:rStyle w:val="FootnoteAnchor"/>
          <w:rtl w:val="true"/>
        </w:rPr>
        <w:footnoteReference w:id="1690"/>
      </w:r>
      <w:r>
        <w:rPr>
          <w:rFonts w:ascii="Amiri" w:hAnsi="Amiri" w:eastAsia="Amiri" w:cs="Amiri"/>
          <w:color w:val="111111"/>
          <w:sz w:val="28"/>
          <w:sz w:val="28"/>
          <w:szCs w:val="28"/>
          <w:rtl w:val="true"/>
          <w:lang w:bidi="ar-SA"/>
        </w:rPr>
        <w:t>، خصوصاً مع المصلحة لهما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 الله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يَبْتَغُونَ الْكِتَبَ</w:t>
      </w:r>
      <w:r>
        <w:rPr>
          <w:rFonts w:eastAsia="Amiri" w:cs="Amiri" w:ascii="Amiri" w:hAnsi="Amiri"/>
          <w:color w:val="111111"/>
          <w:sz w:val="28"/>
          <w:szCs w:val="28"/>
          <w:rtl w:val="true"/>
          <w:lang w:bidi="ar-SA"/>
        </w:rPr>
        <w:t>»</w:t>
      </w:r>
      <w:r>
        <w:rPr>
          <w:rStyle w:val="FootnoteAnchor"/>
          <w:rtl w:val="true"/>
        </w:rPr>
        <w:footnoteReference w:id="1691"/>
      </w:r>
      <w:r>
        <w:rPr>
          <w:rFonts w:ascii="Amiri" w:hAnsi="Amiri" w:eastAsia="Amiri" w:cs="Amiri"/>
          <w:color w:val="111111"/>
          <w:sz w:val="28"/>
          <w:sz w:val="28"/>
          <w:szCs w:val="28"/>
          <w:rtl w:val="true"/>
          <w:lang w:bidi="ar-SA"/>
        </w:rPr>
        <w:t>، و الصبيّ و المجنون لا ابتغاء لهما، و لأنّ مقتضى الكتابة وجوب السعي و لايجب عليهما شيء</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 لأنّ الابتغاء شرط في الأمر بالكتابة فلايلزم منه المنع منها مع عدم الأمر و عدم الابتغاء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اقتضاء الكتابة وجوب السعي موضع النزاع، و قد تقدّم</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لكنّ الوجوب مشروط بالتكليف، فجاز الحكم بعدم وجوبه على غير المكلّف لذلك؛ إذ الدليل على وجوبها ليس منافياً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إنّه إجماع فيكون هو الحجّة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كتابة الكافر تردّد ، أظهره المنع ؛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كتابة الكافر تردّد أظهره المنع؛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مبنیّة على أنّ الخير المجعول شرطاً في الكتابة هو الدين أو هو و المال أو المال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الأوّلين لاتصحّ كتابة الكافر؛ لعدم الشرط المقتضي لعدم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الثالث یصحّ؛ لوجود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يعلم من اختيار المصنّف المنع، و تعليله بالآية اختيار إرادة أحد القولين الأوّلين، بل الظاهر الثاني؛ لوروده في الخبر الصحيح</w:t>
      </w:r>
      <w:r>
        <w:rPr>
          <w:rStyle w:val="FootnoteAnchor"/>
          <w:rtl w:val="true"/>
        </w:rPr>
        <w:footnoteReference w:id="1694"/>
      </w:r>
      <w:r>
        <w:rPr>
          <w:rFonts w:ascii="Amiri" w:hAnsi="Amiri" w:eastAsia="Amiri" w:cs="Amiri"/>
          <w:color w:val="111111"/>
          <w:sz w:val="28"/>
          <w:sz w:val="28"/>
          <w:szCs w:val="28"/>
          <w:rtl w:val="true"/>
          <w:lang w:bidi="ar-SA"/>
        </w:rPr>
        <w:t>كما سلف</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و لمانع أن يمنع من دلالة الآية على المنع على جميع التقادير؛ لأنّ الشرط المذكور إنّما وقع للأمر بها الدالّ على الوجوب أو الندب لا لمطلق الإذن فيها، و لايلزم من توقّف الأمر بها على شرط توقّف إباحتها عليه، و الدليل على تسويغ عقد الكتابة غير منحصر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َآتُوهُمْ مِنْ مَالِ اللَّهِ الَّذِي آتَاكُمْ</w:t>
      </w:r>
      <w:r>
        <w:rPr>
          <w:rFonts w:eastAsia="Amiri" w:cs="Amiri" w:ascii="Amiri" w:hAnsi="Amiri"/>
          <w:color w:val="111111"/>
          <w:sz w:val="28"/>
          <w:szCs w:val="28"/>
          <w:rtl w:val="true"/>
          <w:lang w:bidi="ar-SA"/>
        </w:rPr>
        <w:t>»</w:t>
      </w:r>
      <w:r>
        <w:rPr>
          <w:rStyle w:val="FootnoteAnchor"/>
          <w:rtl w:val="true"/>
        </w:rPr>
        <w:footnoteReference w:id="1696"/>
      </w:r>
      <w:r>
        <w:rPr>
          <w:rFonts w:ascii="Amiri" w:hAnsi="Amiri" w:eastAsia="Amiri" w:cs="Amiri"/>
          <w:color w:val="111111"/>
          <w:sz w:val="28"/>
          <w:sz w:val="28"/>
          <w:szCs w:val="28"/>
          <w:rtl w:val="true"/>
          <w:lang w:bidi="ar-SA"/>
        </w:rPr>
        <w:t>، و الكافر لايستحقّ الزكاة و لا الصلة؛ لأنّها موادّة له منهىّ عنها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لَّاتَجِدُ قَوْمًا يُؤْمِنُونَ بِاللَّهِ وَالْيَوْمِ الْآخِرِ يُوَادُّونَ مَنْ حَادَّ اللَّهَ وَ رَسُولَهُ</w:t>
      </w:r>
      <w:r>
        <w:rPr>
          <w:rFonts w:eastAsia="Amiri" w:cs="Amiri" w:ascii="Amiri" w:hAnsi="Amiri"/>
          <w:color w:val="111111"/>
          <w:sz w:val="28"/>
          <w:szCs w:val="28"/>
          <w:rtl w:val="true"/>
          <w:lang w:bidi="ar-SA"/>
        </w:rPr>
        <w:t>»</w:t>
      </w:r>
      <w:r>
        <w:rPr>
          <w:rStyle w:val="FootnoteAnchor"/>
          <w:rtl w:val="true"/>
        </w:rPr>
        <w:footnoteReference w:id="1697"/>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الإيتاء من الواجب مشروط بعجزه المقتضي لاستحقاقه له، فهو راجع إلى اشتراطه باستحقاقه، فكما يمنع و يخصّ بالمحتاج لدليلٍ، جاز أن يخصّ بالمسلم كذلك للدليل الدالّ على عدم جواز دفع الزكاة إلى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استلزام إعانته الموادّة مطلقاً فممنوع، و قد حقّقناه في باب الوقف و الصدقة</w:t>
      </w:r>
      <w:r>
        <w:rPr>
          <w:rStyle w:val="FootnoteAnchor"/>
          <w:rtl w:val="true"/>
        </w:rPr>
        <w:footnoteReference w:id="1698"/>
      </w:r>
      <w:r>
        <w:rPr>
          <w:rFonts w:ascii="Amiri" w:hAnsi="Amiri" w:eastAsia="Amiri" w:cs="Amiri"/>
          <w:color w:val="111111"/>
          <w:sz w:val="28"/>
          <w:sz w:val="28"/>
          <w:szCs w:val="28"/>
          <w:rtl w:val="true"/>
          <w:lang w:bidi="ar-SA"/>
        </w:rPr>
        <w:t xml:space="preserve">، و من ثَمّ قيل بجواز كتابته كما يجوز </w:t>
      </w:r>
      <w:bookmarkStart w:id="525" w:name="pg10270_80495"/>
    </w:p>
    <w:p>
      <w:pPr>
        <w:pStyle w:val="Heading4"/>
        <w:numPr>
          <w:ilvl w:val="3"/>
          <w:numId w:val="1"/>
        </w:numPr>
        <w:rPr/>
      </w:pPr>
      <w:bookmarkStart w:id="526" w:name="__RefHeading___Toc3860354_1067777946"/>
      <w:bookmarkStart w:id="527" w:name="_Toc191"/>
      <w:bookmarkEnd w:id="525"/>
      <w:bookmarkEnd w:id="526"/>
      <w:r>
        <w:rPr>
          <w:rtl w:val="true"/>
        </w:rPr>
        <w:t>هل يشترط الأجل في الکتابة؟</w:t>
      </w:r>
      <w:bookmarkEnd w:id="5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الأجل ففي اشتراطه خلاف، فمن الأصحاب من أجاز الكتابة حالة و مؤجّلةً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اشترط الأجل، و هو أشبه؛ لأنّ ما في يد المملوك لسيّده، فلاتصحّ المعاملة عليه، و ما ليس في ملكه يتوقّع حصوله فيتعيّن ضرب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يكفى أجل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حدّ في الكثرة إذا كانت معلومة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عتقه</w:t>
      </w:r>
      <w:r>
        <w:rPr>
          <w:rStyle w:val="FootnoteAnchor"/>
          <w:rtl w:val="true"/>
        </w:rPr>
        <w:footnoteReference w:id="1699"/>
      </w:r>
      <w:r>
        <w:rPr>
          <w:rFonts w:ascii="Amiri" w:hAnsi="Amiri" w:eastAsia="Amiri" w:cs="Amiri"/>
          <w:color w:val="111111"/>
          <w:sz w:val="28"/>
          <w:sz w:val="28"/>
          <w:szCs w:val="28"/>
          <w:rtl w:val="true"/>
          <w:lang w:bidi="ar-SA"/>
        </w:rPr>
        <w:t>، و لأنّها معاوضة يغلب فيها جانب الماليّة فلايمنع بين المسلم و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الأجل ففي اشتراطه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تقدّمت</w:t>
      </w:r>
      <w:r>
        <w:rPr>
          <w:rStyle w:val="FootnoteAnchor"/>
          <w:rtl w:val="true"/>
        </w:rPr>
        <w:footnoteReference w:id="1700"/>
      </w:r>
      <w:r>
        <w:rPr>
          <w:rFonts w:ascii="Amiri" w:hAnsi="Amiri" w:eastAsia="Amiri" w:cs="Amiri"/>
          <w:color w:val="111111"/>
          <w:sz w:val="28"/>
          <w:sz w:val="28"/>
          <w:szCs w:val="28"/>
          <w:rtl w:val="true"/>
          <w:lang w:bidi="ar-SA"/>
        </w:rPr>
        <w:t>، وإنّما أعادها؛ ليرتّب عليها فروع الأجل التي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اشترط الأجل و هو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توجيه الدليل أنّ المعاملة إن وقعت على ما في يد العبد من المال فهو للمولى لاتصحّ المعاملة عليه له، وإن وقعت على غيره فهو متوقّع الحصول فلا بدّ من ضرب أجل له؛ لئلّا تتطرّق الجهالة و يفضي إلى التكليف بغير المقدور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 نظر؛ لأنّا إن قلنا بجواز ملكه أمكن على المعيّن، وإن لم نقل لم يلزم من العجز عن العوض في الحال بطلان معاملته حالّاً كما في معاملة المعسر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الجهالة ممنوعة، لإمكان حصول المال في کلّ وقت يتعقّب العقد و لو بالاقتراض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أشرنا إلى ذلك فيما سلف</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أجل واحد و لا حدّ في الكثرة إذا كانت معلومة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الاكتفاء بأجل واحد على تقدير اشتراط تأجيلها مذهب الأصحاب و كثير من العامّة</w:t>
      </w:r>
      <w:r>
        <w:rPr>
          <w:rStyle w:val="FootnoteAnchor"/>
          <w:rtl w:val="true"/>
        </w:rPr>
        <w:footnoteReference w:id="1702"/>
      </w:r>
      <w:r>
        <w:rPr>
          <w:rFonts w:ascii="Amiri" w:hAnsi="Amiri" w:eastAsia="Amiri" w:cs="Amiri"/>
          <w:color w:val="111111"/>
          <w:sz w:val="28"/>
          <w:sz w:val="28"/>
          <w:szCs w:val="28"/>
          <w:rtl w:val="true"/>
          <w:lang w:bidi="ar-SA"/>
        </w:rPr>
        <w:t>للأصل، و عموم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فَكَاتِبُوهُمْ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وخالف فيه بعضهم فاشترط كونه نجمين فصاعداً</w:t>
      </w:r>
      <w:r>
        <w:rPr>
          <w:rStyle w:val="FootnoteAnchor"/>
          <w:rtl w:val="true"/>
        </w:rPr>
        <w:footnoteReference w:id="1703"/>
      </w:r>
      <w:r>
        <w:rPr>
          <w:rFonts w:ascii="Amiri" w:hAnsi="Amiri" w:eastAsia="Amiri" w:cs="Amiri"/>
          <w:color w:val="111111"/>
          <w:sz w:val="28"/>
          <w:sz w:val="28"/>
          <w:szCs w:val="28"/>
          <w:rtl w:val="true"/>
          <w:lang w:bidi="ar-SA"/>
        </w:rPr>
        <w:t>لأنّه المأثور عن الصحابة و ممّن بعدهم عملاً و قولاً، حتّى نقل عن بعضهم أنّه غضب على مملوك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لأُعاقبنّك و لأكاتبنّك على نجمين</w:t>
      </w:r>
      <w:r>
        <w:rPr>
          <w:rFonts w:eastAsia="Amiri" w:cs="Amiri" w:ascii="Amiri" w:hAnsi="Amiri"/>
          <w:color w:val="111111"/>
          <w:sz w:val="28"/>
          <w:szCs w:val="28"/>
          <w:rtl w:val="true"/>
          <w:lang w:bidi="ar-SA"/>
        </w:rPr>
        <w:t>»</w:t>
      </w:r>
      <w:r>
        <w:rPr>
          <w:rStyle w:val="FootnoteAnchor"/>
          <w:rtl w:val="true"/>
        </w:rPr>
        <w:footnoteReference w:id="1704"/>
      </w:r>
      <w:r>
        <w:rPr>
          <w:rFonts w:ascii="Amiri" w:hAnsi="Amiri" w:eastAsia="Amiri" w:cs="Amiri"/>
          <w:color w:val="111111"/>
          <w:sz w:val="28"/>
          <w:sz w:val="28"/>
          <w:szCs w:val="28"/>
          <w:rtl w:val="true"/>
          <w:lang w:bidi="ar-SA"/>
        </w:rPr>
        <w:t>، مشعراً بأنه غاية التضييق، و لما تقدّم من أنّ الكتابة مأخوذة من ضمّ النجوم بعضها إلى بعض</w:t>
      </w:r>
      <w:r>
        <w:rPr>
          <w:rStyle w:val="FootnoteAnchor"/>
          <w:rtl w:val="true"/>
        </w:rPr>
        <w:footnoteReference w:id="1705"/>
      </w:r>
      <w:r>
        <w:rPr>
          <w:rFonts w:ascii="Amiri" w:hAnsi="Amiri" w:eastAsia="Amiri" w:cs="Amiri"/>
          <w:color w:val="111111"/>
          <w:sz w:val="28"/>
          <w:sz w:val="28"/>
          <w:szCs w:val="28"/>
          <w:rtl w:val="true"/>
          <w:lang w:bidi="ar-SA"/>
        </w:rPr>
        <w:t>، و أقلّ ما يحصل به الضمّ نجمان، و المعنى فيه أنّ الكتابة عقد إرفاق و من تتمّته التنجيم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کلّه لايفيد الحصر، و لا حجّة في العمل بدون الإجماع و هو غير واقع، بل الواقع الخلاف في المسألة قديماً وحديثاً، و اشتقاق الكتابة جاز بناؤه على الغالب أو من الكتابة الخطّيّة كما تقدّم في تعريفها</w:t>
      </w:r>
      <w:r>
        <w:rPr>
          <w:rStyle w:val="FootnoteAnchor"/>
          <w:rtl w:val="true"/>
        </w:rPr>
        <w:footnoteReference w:id="1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و عموم النصّ</w:t>
      </w:r>
      <w:r>
        <w:rPr>
          <w:rStyle w:val="FootnoteAnchor"/>
          <w:rtl w:val="true"/>
        </w:rPr>
        <w:footnoteReference w:id="1707"/>
      </w:r>
      <w:r>
        <w:rPr>
          <w:rFonts w:ascii="Amiri" w:hAnsi="Amiri" w:eastAsia="Amiri" w:cs="Amiri"/>
          <w:color w:val="111111"/>
          <w:sz w:val="28"/>
          <w:sz w:val="28"/>
          <w:szCs w:val="28"/>
          <w:rtl w:val="true"/>
          <w:lang w:bidi="ar-SA"/>
        </w:rPr>
        <w:t>يدفع ذلك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دخل في تجويز الكثرة من غير وقوف بها على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تكون معلومةً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جعلاه إلى مدّة لا يعيشان إليها غالباً، فیصحّ؛ للأصل، و ينتقل الحكم بعدهما إلى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يتمّ في جانب المولى؛ لأنّها لاتبطل بموته، أمّا جانب المكاتب فيشكل ببطلانها بموته مطلقاً إذا كان مشروطاً، و في الباقي بالنسبة في المطلق، فيكون اشتراط الزائد منافياً لمقتضى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أطلق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تحقيقاته جواز التأجيل كذلك مطلقاً، و حكم بانتقال الحكم إلى الوارث بعد الموت</w:t>
      </w:r>
      <w:r>
        <w:rPr>
          <w:rStyle w:val="FootnoteAnchor"/>
          <w:rtl w:val="true"/>
        </w:rPr>
        <w:footnoteReference w:id="1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لايخلو في جانب المكاتب من إشكال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اختلفوا في جواز التأجيل في البيع كذلك، و اختار في التذكرة جوازه</w:t>
      </w:r>
      <w:r>
        <w:rPr>
          <w:rStyle w:val="FootnoteAnchor"/>
          <w:rtl w:val="true"/>
        </w:rPr>
        <w:footnoteReference w:id="1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متّجه؛ لأنّه لا مانع من انتقال الحقّ فيه إلى الوارث، كما في فرض موت المولى هنا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 يكون وقت الأداء معلوماً، 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كاتبتك على أن تؤدّي إليّ كذا في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أنّها ظرف الأداء لم یصحّ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تتساوى النجوم و أن تختلف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اعتبار اتّصال الأجل بالعقد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كاتبتك على خدمة شهر و دينار بعد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إذا كان الدينار معلوم الجنس، و لايلزم تأخير الدينار إلى أجل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مرض العبد شهر الخدمة بطلت الكتابة؛ لتعذّر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أن يكون وقت الأداء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البطلان أنّ الأجل على هذا التقدير مجهول؛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لايقتضي إلّا الظرفيّة، و لم يبيّن أنّه يؤدّيها في دفعة واحدة أو دفعات، و لا أنّه يؤدّيه في أوّلها أو وسطها أو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و يتخيّر في دفعه في مجموع ذلك الوقت</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تتساوى النجوم و أن تختلف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من أصالة الصحّة و وجود المقتضي لها من العقد المشتمل على الأجل والمال، و من أصالة بقاء الملك و عدم نقل مثله، و هو اختيار الشيخ في المبسوط</w:t>
      </w:r>
      <w:r>
        <w:rPr>
          <w:rStyle w:val="FootnoteAnchor"/>
          <w:rtl w:val="true"/>
        </w:rPr>
        <w:footnoteReference w:id="1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الأوّل، و هو اختيار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الخلاف في نظائره من الإجارة و غيرها</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كاتبتك على خدمة شهر و دينار بعد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مرجع هذه الصورة إلى الجمع في العوض بين المال و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إطلاق شهر الخدمة محمول على المتّصل بالعقد كنظائره، و شرط كون الدينار بعده يقتضي تأجيله إلى نجمٍ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صحيح عندنا، وإنّما يتوجّه عليه المنع عند من يشترط تعدّد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مرض العبد شهر الخدمة بطلت الكتابة؛ لتعذّر العوض</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كانت مشروطةً أو جعل خدمة الشهر مجموع العوض، أمّا لو كان قد جمع بينه </w:t>
      </w:r>
      <w:bookmarkStart w:id="528" w:name="pg10270_80498"/>
    </w:p>
    <w:p>
      <w:pPr>
        <w:pStyle w:val="BookText"/>
        <w:rPr/>
      </w:pPr>
      <w:bookmarkEnd w:id="528"/>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خدمة شهر بعد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 على القول باشتراط اتّصال المدّة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كاتبه ثمّ حبسه مدّةً،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يؤجّله مثل تلك المدّة،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لايجب بل يلزمه أُجرته لمدّة احتباسه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أشبه</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3860356_1067777946"/>
      <w:bookmarkStart w:id="530" w:name="_Toc192"/>
      <w:bookmarkEnd w:id="529"/>
      <w:r>
        <w:rPr>
          <w:rtl w:val="true"/>
        </w:rPr>
        <w:t>شروط عوض الکتابة</w:t>
      </w:r>
      <w:bookmarkEnd w:id="530"/>
    </w:p>
    <w:p>
      <w:pPr>
        <w:pStyle w:val="BookText"/>
        <w:rPr/>
      </w:pPr>
      <w:r>
        <w:rPr>
          <w:rFonts w:ascii="IRNazanin" w:hAnsi="IRNazanin" w:eastAsia="IRNazanin"/>
          <w:color w:val="111111"/>
          <w:sz w:val="28"/>
          <w:sz w:val="28"/>
          <w:szCs w:val="28"/>
          <w:rtl w:val="true"/>
          <w:lang w:bidi="fa-IR"/>
        </w:rPr>
        <w:t>و أما العوض فيعتبر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ديناً منجّماً، معلوم القدر و الوصف، ممّا یصحّ تملّكه للمولى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كالصورة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مطلقة لم تبطل، و روعي أداء المال و عتق منه بنسبته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المصنّف البطلان يقتضي أن يكون هذا مقطوعاً عن الفرض السابق وإلّا لم يتمّ</w:t>
      </w:r>
    </w:p>
    <w:p>
      <w:pPr>
        <w:pStyle w:val="BookText"/>
        <w:rPr/>
      </w:pP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خدمة شهر بعد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جملة أفراد المسائل المتفرّعة على اشتراط اتّصال الأجل بالعقد و عدمه، فلا وجه لإفراده، و إنّما خصّه حملاً للسابق على المال بأن شرط عليه مائة درهم مثلاً يؤدّيها بعد شهر أوّله بعد هذا الشهر، فذكر اشتراط الخدمة كذلك، و هكذا صنع الشيخ في المبسوط</w:t>
      </w:r>
      <w:r>
        <w:rPr>
          <w:rStyle w:val="FootnoteAnchor"/>
          <w:rtl w:val="true"/>
        </w:rPr>
        <w:footnoteReference w:id="1713"/>
      </w:r>
      <w:r>
        <w:rPr>
          <w:rFonts w:ascii="Amiri" w:hAnsi="Amiri" w:eastAsia="Amiri" w:cs="Amiri"/>
          <w:color w:val="111111"/>
          <w:sz w:val="28"/>
          <w:sz w:val="28"/>
          <w:szCs w:val="28"/>
          <w:rtl w:val="true"/>
          <w:lang w:bidi="ar-SA"/>
        </w:rPr>
        <w:t>، و جماعة</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كاتبه ثمّ حبسه مدّةً،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يؤجّله مثل تلك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القولان للشيخ في المبسوط</w:t>
      </w:r>
      <w:r>
        <w:rPr>
          <w:rStyle w:val="FootnoteAnchor"/>
          <w:rtl w:val="true"/>
        </w:rPr>
        <w:footnoteReference w:id="1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الأوّل أنّ القدر الواجب من التأجيل الإمهال في تلك المدّة، و لا قيمة له فيضمنه بمثله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الثاني أنّ المكاتب مضمون بالغصب كالقنّ، فيضمن منافعه مدّة الحبس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أقوى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الكتابة على عين و لا مع جهالة العوض، بل يذكر في وصفه كلّ ما يتفاوت الثمن لأجله بحيث ترتفع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الأثمان وصفه كما يصفه في النسيئة، و إن كان عرضاً وصفه كصفته في السلم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يكاتبه بأيّ ثمن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أن يتجاوز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فلاتصحّ الكتابة على عين، و لا مع جهالة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لم تصحّ الكتابة على العين؛ لأنّها إن كانت بيد المملوك فهي للمولى فلايتحقّق المعاوضة بها؛ لأنّها معاوضة على ماله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بينها و بين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عقد الكتابة يخرج المملوك عن محض الرقّيّة و يجعله قابلاً للملك، فالكسب المتجدّد ليس للمولى وإن لم يصر إلى محض الحرّيّة، فإنّه واسطة بينهما كما سلف</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كانت العين لمالك خارج قد أذن في المعاوضة عليها لم یصحّ، من حيث إنّ العوض شرطه أن يجعل المعوّض في مقابلته بحيث يجعل كلّ منهما بدلاً عن الآخر؛ ليتحقّق المعاوضة من الجانبين، و لا تتمّ هذه المقابلة و البدليّة إلّا مع ملك باذل كلّ من العوضين ما وقع بدله، و لمّا لم ينتقل المكاتب إلى ملك صاحب العين لم تنتقل العين إلى ملك المولى، لفقد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 ما لو باعه عيناً بعين لغير المشتري على أن يكون الملك للمشتري و الثمن من</w:t>
      </w:r>
    </w:p>
    <w:p>
      <w:pPr>
        <w:pStyle w:val="BookText"/>
        <w:rPr/>
      </w:pPr>
      <w:r>
        <w:rPr>
          <w:rFonts w:ascii="Amiri" w:hAnsi="Amiri" w:eastAsia="Amiri" w:cs="Amiri"/>
          <w:color w:val="111111"/>
          <w:sz w:val="28"/>
          <w:sz w:val="28"/>
          <w:szCs w:val="28"/>
          <w:rtl w:val="true"/>
          <w:lang w:bidi="ar-SA"/>
        </w:rPr>
        <w:t>غيره، أو باعه بثمن في ذمّة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العوض موصوفاً في الذمّة اعتبر وصفه بما يرفع الجهالة في الجنس و الوصف الذي يختلف القيمة باختلافه، على الوجه المعتبر في السلم و نحوه من المعاوضات على ما في الذمّة، نقداً كان أم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يكاتبه بأيّ ثمن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أن يتجاوز قيمته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كانت الأدلّة على جواز الكتابة عامّةً أو مطلقةً من غير تقييد بقدر من العوض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وتجوز المكاتبة على منفعة كالخدمة و الخياطة و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وصفه بما يرفع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جازت على القليل و الكثير، و لأنّها معاوضة ماليّة منوطة بالتراضي فلا يتقدّر بقدر، و إن كان الأفضل أن لايتجاوز القيمة، بل إمّا أن يكون بقدرها أو أنقص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القيمة يوم المكاتبة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تجوز المكاتبة على منفعة، كالخدمة و الخياطة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يجوز المكاتبة على مالٍ في الذمّة متجدّد يجوز على الخدمة كذلك؛ لاشتراكهما في المعنى، فإنّ ما يكتسبه المملوك من المال عوض المنفعة التي يبذلها في مقابلته، فالمقتضي</w:t>
      </w:r>
    </w:p>
    <w:p>
      <w:pPr>
        <w:pStyle w:val="BookText"/>
        <w:rPr/>
      </w:pPr>
      <w:r>
        <w:rPr>
          <w:rFonts w:ascii="Amiri" w:hAnsi="Amiri" w:eastAsia="Amiri" w:cs="Amiri"/>
          <w:color w:val="111111"/>
          <w:sz w:val="28"/>
          <w:sz w:val="28"/>
          <w:szCs w:val="28"/>
          <w:rtl w:val="true"/>
          <w:lang w:bidi="ar-SA"/>
        </w:rPr>
        <w:t>للصحّة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الفرق بينهما، و القدح في جعل الخدمة عوضاً للكتابة، من حيث إنّ المنفعة ملك للمولى فلايعاوض على ماله بماله، بخلاف المال المتجدّد، فإنّه ليس بموجود و لا داخل</w:t>
      </w:r>
    </w:p>
    <w:p>
      <w:pPr>
        <w:pStyle w:val="BookText"/>
        <w:rPr/>
      </w:pPr>
      <w:r>
        <w:rPr>
          <w:rFonts w:ascii="Amiri" w:hAnsi="Amiri" w:eastAsia="Amiri" w:cs="Amiri"/>
          <w:color w:val="111111"/>
          <w:sz w:val="28"/>
          <w:sz w:val="28"/>
          <w:szCs w:val="28"/>
          <w:rtl w:val="true"/>
          <w:lang w:bidi="ar-SA"/>
        </w:rPr>
        <w:t>تحت قدرته بخلاف الخدمة، فإنّها مقدورة له فكانت كالعين الحاضرة، و من ثَمّ جاز عتقه</w:t>
      </w:r>
    </w:p>
    <w:p>
      <w:pPr>
        <w:pStyle w:val="BookText"/>
        <w:rPr/>
      </w:pPr>
      <w:r>
        <w:rPr>
          <w:rFonts w:ascii="IRNazanin" w:hAnsi="IRNazanin" w:eastAsia="IRNazanin"/>
          <w:color w:val="111111"/>
          <w:sz w:val="28"/>
          <w:sz w:val="28"/>
          <w:szCs w:val="28"/>
          <w:rtl w:val="true"/>
          <w:lang w:bidi="fa-IR"/>
        </w:rPr>
        <w:t>منجّزاً بشرط خدمة معيّنة بغير رضاه، دون اشتراط مال بغیر رضاه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 بما أسلفناه من أنّ عقد الكتابة يخرج المملوك عن ملك المولى محضاً و إن كان انتقالاً متزلزلاً، و من ثَمّ سقطت عنه نفقته و فطرته و لم يكن له استخدامه و غير ذلك من توابع الملك، فكانت منفعته و ما يتجدّد من كسبه تابعةً له في الانتقال عن ملكه، و يجوز جعله عوضاً عن فكّ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العتق المنجّز يقتضي ملك المعتق منافع نفسه أيضاً و كسبه اعتبر رضاه في اشتراط المال دون الخدمة؛ لأنّها تصير كالمستثناة ممّا يخرجه عن ملكه بالتحرير المتبرّع به، و هذا لايلزم منه بطلان جعل الخدمة عوضاً في الكتابة الواقعة برضى المكاتب، مضافاً إلى عموم الأدلّة</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 xml:space="preserve">. </w:t>
      </w:r>
      <w:bookmarkStart w:id="531" w:name="pg10270_80501"/>
    </w:p>
    <w:p>
      <w:pPr>
        <w:pStyle w:val="Heading4"/>
        <w:numPr>
          <w:ilvl w:val="3"/>
          <w:numId w:val="1"/>
        </w:numPr>
        <w:rPr/>
      </w:pPr>
      <w:bookmarkStart w:id="532" w:name="__RefHeading___Toc3860358_1067777946"/>
      <w:bookmarkStart w:id="533" w:name="_Toc193"/>
      <w:bookmarkEnd w:id="531"/>
      <w:bookmarkEnd w:id="532"/>
      <w:r>
        <w:rPr>
          <w:rtl w:val="true"/>
        </w:rPr>
        <w:t>إذا جمع بين كتابة و بيع أو إجارة</w:t>
      </w:r>
      <w:bookmarkEnd w:id="5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جمع بين كتابة و بيع أو إجارة أو غير ذلك من عقود المعاوضات، في عقد واحد صحّ، و يكون مكاتبته بحصّة ثمنه من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جمع بين كتابة و بيع أو إجارة،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البيع و النكاح جواز الجمع بين عقود متعدّدة صفقةً واحدةً بعوض واحدا</w:t>
      </w:r>
      <w:r>
        <w:rPr>
          <w:rStyle w:val="FootnoteAnchor"/>
          <w:rtl w:val="true"/>
        </w:rPr>
        <w:footnoteReference w:id="1718"/>
      </w:r>
      <w:r>
        <w:rPr>
          <w:rFonts w:ascii="Amiri" w:hAnsi="Amiri" w:eastAsia="Amiri" w:cs="Amiri"/>
          <w:color w:val="111111"/>
          <w:sz w:val="28"/>
          <w:sz w:val="28"/>
          <w:szCs w:val="28"/>
          <w:rtl w:val="true"/>
          <w:lang w:bidi="ar-SA"/>
        </w:rPr>
        <w:t>لأنّ المعتبر العلم بمجموع العوض و المعوّض و لا يعتبر العلم بما يخصّ الأجزاء، و إن كان ممّا يحتاج إلى معرفته على بعض الوجوه، كما لو ظهر استحقاق بعض الأعيان أو بطلان بعض الصفقة، فيكتفى حينئذٍ بمعرفة ما يخصّ كلّ واحد بالحساب و نسبة بعضها إلى بعض، و هذا من ذلك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للعبد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كاتبتك و بعتك هذا الثوب بمائة إلى شهر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كاتبتك و آجرتك الدار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جمع بين الثلاثة،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الكتابة 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فإذا أدّى المال المعيّن عتق و استقرّ ملكه للمبيع و استئجاره الدار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احتيج إلى معرفة ما يخصّه من مال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ظهر المبيع مستحقّاً و لم يجزئ المالك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وزّع العوض على قيمة المملوك حين المكاتبة، و على قيمة المبيع و أُجرة مثل الدار تلك المدّة، و سقط من العوض ما قابل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يتطرّق احتمال البطلان في الصفقة المجتمعة كذلك، من حيث إنّها بمنزلة عقود متعدّدة فيعتبر العلم بعوض كلّ واحد منفرداً، خصوصاً مع اختلاف أحكامها كالبيع و الكتابة و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تزيد الكتابة شبهة أُخرى، و هي أنّ المكاتب لا يستقلّ بالتصرّف إلى أن يتمّ عقد الكتابة، فقد وقع البيع و الإجارة قبل ملكه للتصرّف، فوقعا باطلين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كون الصفقة المجتمعة كعقود متعدّدة، بل هي عقد واحد، كما لو باعه ثوبين بثمن واحد، بل ثوباً واحداً، فإنّ احتمال تبعّض الصفقة آتٍ، و هو غير قادح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الأحكام لايقدح في الجمع؛ لأنّه يلزم کلّ واحد حكمه، و إنّما الفائدة جمع الكلّ في صيغة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شبهة الاستقلال فمندفعة برضى المولى بذلك، فإنّ الحجر إنّما كان لحقّه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أن يكاتب الاثنان عبداً، سواء اتّفقت حصصهما أو اختلفت، تساوى العوضان أو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أن يدفع إلى أحد الشريكين دون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دفع شيئاً كان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أذن أحدهما لصاحبه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يجوز أن يكاتب الاثنان عبداً، سواء اتّفقت حصصهما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كاتبا العبد المشترك معاً، أو وكّلا رجلاً فكاتب جميعه، أو وكّل أحدهما الآخر فكاتبه صحّت الكتابة، سواء اتّفقت النجوم جنساً و أجلاً و عدداً أم لا، و سواء شرطا حصّة كلّ واحد من النجوم بحسب اشتراكهم في العبد، أم شرطا تفاوتاً في النجوم مع التساوي أو بالعكس أم أطلقا عملاً بالعموم</w:t>
      </w:r>
      <w:r>
        <w:rPr>
          <w:rStyle w:val="FootnoteAnchor"/>
          <w:rtl w:val="true"/>
        </w:rPr>
        <w:footnoteReference w:id="1719"/>
      </w:r>
      <w:r>
        <w:rPr>
          <w:rFonts w:ascii="Amiri" w:hAnsi="Amiri" w:eastAsia="Amiri" w:cs="Amiri"/>
          <w:color w:val="111111"/>
          <w:sz w:val="28"/>
          <w:sz w:val="28"/>
          <w:szCs w:val="28"/>
          <w:rtl w:val="true"/>
          <w:lang w:bidi="ar-SA"/>
        </w:rPr>
        <w:t>، و تسلّط كلّ واحد من الشركاء على مكاتبة حصّته بما شاء منفرداً فكذا مع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في ذلك بعضهم فمنع من اختلافهما في القدر مع تساويهما في الملك</w:t>
      </w:r>
      <w:r>
        <w:rPr>
          <w:rStyle w:val="FootnoteAnchor"/>
          <w:rtl w:val="true"/>
        </w:rPr>
        <w:footnoteReference w:id="1720"/>
      </w:r>
      <w:r>
        <w:rPr>
          <w:rFonts w:ascii="Amiri" w:hAnsi="Amiri" w:eastAsia="Amiri" w:cs="Amiri"/>
          <w:color w:val="111111"/>
          <w:sz w:val="28"/>
          <w:sz w:val="28"/>
          <w:szCs w:val="28"/>
          <w:rtl w:val="true"/>
          <w:lang w:bidi="ar-SA"/>
        </w:rPr>
        <w:t xml:space="preserve">حذراً من أن ينتفع أحدهما بمال الآخر فيما إذا دفع إلى أحدهما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الآخر مائتين ثمّ ارتفعت الكتابة بالعجز، فيحتاج الأوّل إلى أن يرجع على الثاني بخمسين، و يكون الثاني قد انتفع بها مدّة بقائها في يده من غير 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الاستحقاق طار من حين الفسخ و قبله كان ملكاً للقابض متزلزلاً، فلم يلزم انتفاع أحدهما بمال الآخر حين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جواز دفعه إلى أحدهما بدون إذن صاحبه و كون ما دفعه لهما فرع من فروع الدين المشترك، و قد تقدّم الكلام فيه في بابه</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الجنيد</w:t>
      </w:r>
      <w:r>
        <w:rPr>
          <w:rStyle w:val="FootnoteAnchor"/>
          <w:rtl w:val="true"/>
        </w:rPr>
        <w:footnoteReference w:id="1722"/>
      </w:r>
      <w:r>
        <w:rPr>
          <w:rFonts w:ascii="IRNazanin" w:hAnsi="IRNazanin" w:eastAsia="IRNazanin"/>
          <w:color w:val="111111"/>
          <w:sz w:val="28"/>
          <w:sz w:val="28"/>
          <w:szCs w:val="28"/>
          <w:rtl w:val="true"/>
          <w:lang w:bidi="fa-IR"/>
        </w:rPr>
        <w:t>، و ابن البرّاج</w:t>
      </w:r>
      <w:r>
        <w:rPr>
          <w:rStyle w:val="FootnoteAnchor"/>
          <w:rtl w:val="true"/>
        </w:rPr>
        <w:footnoteReference w:id="1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يدفع إلى أحدهما دون الآخر ما لم يشترطا </w:t>
      </w:r>
      <w:bookmarkStart w:id="534" w:name="pg10270_80503"/>
    </w:p>
    <w:p>
      <w:pPr>
        <w:pStyle w:val="Heading4"/>
        <w:numPr>
          <w:ilvl w:val="3"/>
          <w:numId w:val="1"/>
        </w:numPr>
        <w:rPr/>
      </w:pPr>
      <w:bookmarkStart w:id="535" w:name="__RefHeading___Toc3860360_1067777946"/>
      <w:bookmarkStart w:id="536" w:name="_Toc194"/>
      <w:bookmarkEnd w:id="534"/>
      <w:bookmarkEnd w:id="535"/>
      <w:r>
        <w:rPr>
          <w:rtl w:val="true"/>
        </w:rPr>
        <w:t>لو كاتب ثلاثة في عقد واحد</w:t>
      </w:r>
      <w:bookmarkEnd w:id="5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كاتب ثلاثة في عقد واحد صحّ، و كان كلّ واحد منهم مكاتباً بحصّة ثمنه من المسمّى، و تعتبر القيمة وقت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أيّهم أدّى حصّته عُتق، و لايتوقّف على أداء حصّة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أيّهم عجز رقّ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كفالة كلّ واحد منهم صاحبه و ضمان ما عليه كان الشرط و الكتابة صحيحين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عليه أن يكون أداء الكتابة لهما جميعاً ؛ لأنّ لمن عليه الحقّ التخيير في جهة القضاء، و تعيين ما شاء فيه من أمواله، فإذا دفع إلى أحدهما حقّه فقد اختار دفع ما يستحقّه المدفوع إليه في المدفوع و اختار منع الآخر منه فلا شركة فيه، كما لو منعه من الاستيفاء من بعض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اتّحد العقد، أمّا لو تعدّد فلا إشكال في الجواز كما قاله ابن الجنيد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الكتابة تكون بالنسبة إلى الموليين متعدّدة وإن اتّحد العقد، فإذا أدّى نصيب أحدهما بإذن الآخر انعتق، لكن بدون إذنه لايتحقّق العتق في أحد النصيبين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عجز فعجّزه أحدهما و صبر الآخر صحّ كما لو 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كاتب ثلاثة في عقد واحد صحّ، و كان كلّ واحد منهم مكاتباً بحصّة ثمنه من المسمّى، و تعتبر القيمة وقت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كاتب ثلاثة أعبد في صفقة واحدة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كاتبتكم على ألف إلى نجوم معيّنة فإذا أدّيتم فأنتم 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فقبلوا، صحّت الكتابة عندنا، و وزّع المال على قيمتهم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قيمة أحدهم مائة و الثاني مائتين و الثالث ثلاثمائة، فعلى الأوّل سدس المسمّى و على الثاني ثلثه</w:t>
      </w:r>
    </w:p>
    <w:p>
      <w:pPr>
        <w:pStyle w:val="BookText"/>
        <w:rPr/>
      </w:pPr>
      <w:r>
        <w:rPr>
          <w:rFonts w:ascii="Amiri" w:hAnsi="Amiri" w:eastAsia="Amiri" w:cs="Amiri"/>
          <w:color w:val="111111"/>
          <w:sz w:val="28"/>
          <w:sz w:val="28"/>
          <w:szCs w:val="28"/>
          <w:rtl w:val="true"/>
          <w:lang w:bidi="ar-SA"/>
        </w:rPr>
        <w:t>و على الثالث نصفه و الاعتبار بالقيمة يوم المكاتبة؛ لأنّ سلطنة السيّد تزول يومئذٍ</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يوزّع على عدد الرؤوس</w:t>
      </w:r>
      <w:r>
        <w:rPr>
          <w:rStyle w:val="FootnoteAnchor"/>
          <w:rtl w:val="true"/>
        </w:rPr>
        <w:footnoteReference w:id="1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مثله في عوض الخلع و الصداق المتعدّد</w:t>
      </w:r>
      <w:r>
        <w:rPr>
          <w:rStyle w:val="FootnoteAnchor"/>
          <w:rtl w:val="true"/>
        </w:rPr>
        <w:footnoteReference w:id="17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كلّ واحد من العبيد يؤدّي ما عليه، إمّا على التفاضل أو على التساوي، وإذا أدّى ما عليه عتق و لم يتوقّف عتقه على أداء غيره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أحدهم أو عجز فهو رقيق، و غيره يعتق بأداء ما عليه، و لا ينظر إلى أنّ السيّد علّق عتقهم بأداء جميعهم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أدّيتم فأنتم أحرار؛ لأنّ الكتابة الصحيحة يغلب فيها حكم المعاوضة؛ و لذلك إذا أبرأ السيّد المكاتب عتق وإذا مات لم تبطل الكتابة، بخلاف العتق المعلّق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لایعتق بعضهم بأداء ما عليه، وإنّما يعتقون معاً إذا أدّوا جميع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قد عُلم ممّا قرّرناه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كاتب إنسان عبدين كتابةً واحدةً فمات أحدهما قيل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تختار أن تؤدّي باقي الكتابة عنك و عن صاحبك، وإمّا أن تكاتب عن نفسك كتابةً جديدةً، فأيّهما اختار كان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المتروك مالاً فيه وفاء بقسطه من الكتابة أخذه السيّد من الكتابة، و كان على الثاني ما بقي من قسطه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ارتدّ أحدهما و لحق بدار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ما ترك فيه وفاء بجميع الكتابة، فإنّ السيد يأخذ من ذلك جميع الكتابة و يعتقان معاً، و يرجع ورثته على الحيّ بحصّته، و بقية ذلك ميراث لهم</w:t>
      </w:r>
      <w:r>
        <w:rPr>
          <w:rFonts w:eastAsia="Amiri" w:cs="Amiri" w:ascii="Amiri" w:hAnsi="Amiri"/>
          <w:color w:val="111111"/>
          <w:sz w:val="28"/>
          <w:szCs w:val="28"/>
          <w:rtl w:val="true"/>
          <w:lang w:bidi="ar-SA"/>
        </w:rPr>
        <w:t>»</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 توقّف عتق كلّ منهما على أداء المال و زيادة أحكام أخر نادرة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إن شاء الله تعالى أنّ موت المكاتب يبطل الكتابة</w:t>
      </w:r>
      <w:r>
        <w:rPr>
          <w:rStyle w:val="FootnoteAnchor"/>
          <w:rtl w:val="true"/>
        </w:rPr>
        <w:footnoteReference w:id="1727"/>
      </w:r>
      <w:r>
        <w:rPr>
          <w:rFonts w:ascii="Amiri" w:hAnsi="Amiri" w:eastAsia="Amiri" w:cs="Amiri"/>
          <w:color w:val="111111"/>
          <w:sz w:val="28"/>
          <w:sz w:val="28"/>
          <w:szCs w:val="28"/>
          <w:rtl w:val="true"/>
          <w:lang w:bidi="ar-SA"/>
        </w:rPr>
        <w:t>، سواء كانت مشروطةً أم مطلقةً و لم يؤدّ شيئاً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فيسقط قدر نصيبه من مال الكتابة، و لاينحصر المال في أحدهما؛ لأنّه عوض بينهما معاً فيقسط عليهما كالبيع، وإنّما يؤدّي الحيّ قدر نصيبه من مال الكتابة و يعتق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فلو شرط عليهم كفالة كلّ منهم لصاحبه في عقد الكتابة صحّ على الأصحّ؛</w:t>
      </w:r>
    </w:p>
    <w:p>
      <w:pPr>
        <w:pStyle w:val="BookText"/>
        <w:rPr/>
      </w:pPr>
      <w:r>
        <w:rPr>
          <w:rFonts w:ascii="IRNazanin" w:hAnsi="IRNazanin" w:eastAsia="IRNazanin"/>
          <w:color w:val="111111"/>
          <w:sz w:val="28"/>
          <w:sz w:val="28"/>
          <w:szCs w:val="28"/>
          <w:rtl w:val="true"/>
          <w:lang w:bidi="fa-IR"/>
        </w:rPr>
        <w:t>للأصل، 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1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فيلزم کلّاً منهم حكم الكفالة من وجوب إحضار الغريم عند الحلول و أداء ما عليه إلى آخر ما 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لاتصحّ الكفالة بناءً على عدم لزوم مال الكتابة من جهة المكاتب، و الشرط كجزء من العوض فيتبعه في الجواز</w:t>
      </w:r>
      <w:r>
        <w:rPr>
          <w:rFonts w:eastAsia="Amiri" w:cs="Amiri" w:ascii="Amiri" w:hAnsi="Amiri"/>
          <w:color w:val="111111"/>
          <w:sz w:val="28"/>
          <w:szCs w:val="28"/>
          <w:rtl w:val="true"/>
          <w:lang w:bidi="ar-SA"/>
        </w:rPr>
        <w:t>»</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يجوز أن يضمن كلّ منهم ما في ذمّة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فيعتقون جميعاً؛ لأنّ الضمان يحوّل ما في ذمّة كلّ منهم إلى الآخر فينزّل منزلة الأداء، ويبقى المال ديناً في ذمّتهم لا على وجه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ضمن أحدهم خاصّةً تعلّق المال بذمّته و عتق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المولى بضمانهم كلّهم فهو كما لو لم يقع ضمان</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غريب؛ لما عرفت من ظهور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جعلنا الضمان بمعنى ضمّ ذمّة إلى ذمّة تخيّر في الرجوع بالجميع على من شاء</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كلام الشيخ</w:t>
      </w:r>
      <w:r>
        <w:rPr>
          <w:rStyle w:val="FootnoteAnchor"/>
          <w:rtl w:val="true"/>
        </w:rPr>
        <w:footnoteReference w:id="1731"/>
      </w:r>
      <w:r>
        <w:rPr>
          <w:rFonts w:ascii="Amiri" w:hAnsi="Amiri" w:eastAsia="Amiri" w:cs="Amiri"/>
          <w:color w:val="111111"/>
          <w:sz w:val="28"/>
          <w:sz w:val="28"/>
          <w:szCs w:val="28"/>
          <w:rtl w:val="true"/>
          <w:lang w:bidi="ar-SA"/>
        </w:rPr>
        <w:t>إشعار به و ذكر في المسائل الحائريّات جواز ضمان اثنين مالاً و اشتراط رجوعه على من شاء منهما</w:t>
      </w:r>
      <w:r>
        <w:rPr>
          <w:rStyle w:val="FootnoteAnchor"/>
          <w:rtl w:val="true"/>
        </w:rPr>
        <w:footnoteReference w:id="1732"/>
      </w:r>
      <w:r>
        <w:rPr>
          <w:rFonts w:ascii="Amiri" w:hAnsi="Amiri" w:eastAsia="Amiri" w:cs="Amiri"/>
          <w:color w:val="111111"/>
          <w:sz w:val="28"/>
          <w:sz w:val="28"/>
          <w:szCs w:val="28"/>
          <w:rtl w:val="true"/>
          <w:lang w:bidi="ar-SA"/>
        </w:rPr>
        <w:t>، و هو دليل على ذلك أيضاً، و هو مذهب العامّة</w:t>
      </w:r>
      <w:r>
        <w:rPr>
          <w:rStyle w:val="FootnoteAnchor"/>
          <w:rtl w:val="true"/>
        </w:rPr>
        <w:footnoteReference w:id="1733"/>
      </w:r>
      <w:r>
        <w:rPr>
          <w:rFonts w:ascii="Amiri" w:hAnsi="Amiri" w:eastAsia="Amiri" w:cs="Amiri"/>
          <w:color w:val="111111"/>
          <w:sz w:val="28"/>
          <w:sz w:val="28"/>
          <w:szCs w:val="28"/>
          <w:rtl w:val="true"/>
          <w:lang w:bidi="ar-SA"/>
        </w:rPr>
        <w:t>لكنّ الأصحاب على خلافه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دفع المكاتب ما عليه قبل الأجل، كان الخيار لمولاه في القبض و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دفع المكاتب ما عليه قبل الأجل، كان الخيار لمولاه في القبض و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دين مؤجّل فلايجب قبوله قبل الأجل كغيره من الديون، و يجوز أن يتعلّق بالتأخير غرض صحيح لايتمّ بدونه فيجب الوفاء له بشرطه؛ للعموم</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يؤيّده رواية إسحاق بن عمّار، عن الصادق علیه السلام، عن أبيه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مكاتباً أتى عليّاً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سيّدي كاتبني و شرط علىّ نجوماً في کلّ سنة، فجئته بالمال کلّه ضربةً فسألته أن يأخذه کلّه ضربةً و يجيز عتقى فأبى علىّ، فدعاه علىّ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لا تأخذ المال و تمضي عتقه؟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آخذ إلّا النجوم التي شرطت و أتعرّض من ذلك إلى ميراثه، فقال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أحقّ بشرطك</w:t>
      </w:r>
      <w:r>
        <w:rPr>
          <w:rFonts w:eastAsia="IRNazanin" w:cs="IRNazanin"/>
          <w:color w:val="111111"/>
          <w:sz w:val="28"/>
          <w:szCs w:val="28"/>
          <w:rtl w:val="true"/>
          <w:lang w:bidi="fa-IR"/>
        </w:rPr>
        <w:t>»</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صحيحة الحلبي عن أبي عبد الله علیه السلام قال في مكاتب ينقد نصف مكاتبته و يبقى عليه النصف فيدعو مواليه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ما بقي ضربةً واحدةً،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يأخذون ما بقي و يعتق</w:t>
      </w:r>
      <w:r>
        <w:rPr>
          <w:rFonts w:eastAsia="IRNazanin" w:cs="IRNazanin"/>
          <w:color w:val="111111"/>
          <w:sz w:val="28"/>
          <w:szCs w:val="28"/>
          <w:rtl w:val="true"/>
          <w:lang w:bidi="fa-IR"/>
        </w:rPr>
        <w:t>»</w:t>
      </w:r>
      <w:r>
        <w:rPr>
          <w:rStyle w:val="FootnoteAnchor"/>
          <w:rtl w:val="true"/>
        </w:rPr>
        <w:footnoteReference w:id="1736"/>
      </w:r>
      <w:r>
        <w:rPr>
          <w:rFonts w:ascii="Amiri" w:hAnsi="Amiri" w:eastAsia="Amiri" w:cs="Amiri"/>
          <w:color w:val="111111"/>
          <w:sz w:val="28"/>
          <w:sz w:val="28"/>
          <w:szCs w:val="28"/>
          <w:rtl w:val="true"/>
          <w:lang w:bidi="ar-SA"/>
        </w:rPr>
        <w:t>فمحمول على جواز الأخذ مع التراضي، و لا دلالة فيه على لزومه، و لو ظهر منه ذلك لزم تنزيله على ما ذكر حذراً من مخالفة غيره و مخالفة القواعد المقرّرة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الجنيد أوجب على المولى قبوله قبل الأجل في موضع واحد، و هو ما إذا كان المكاتب مريضاً و أوصى بوصايا و أقرّ بديون و بذل لمولاه المال فليس له الامتناع؛ لأنّ في امتناعه إبطال إقراره و وصيّته</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لبعض العامّة قول بإجبار المولى على القبول حيث لا ضرر عليه به</w:t>
      </w:r>
      <w:r>
        <w:rPr>
          <w:rStyle w:val="FootnoteAnchor"/>
          <w:rtl w:val="true"/>
        </w:rPr>
        <w:footnoteReference w:id="1738"/>
      </w:r>
      <w:r>
        <w:rPr>
          <w:rFonts w:ascii="Amiri" w:hAnsi="Amiri" w:eastAsia="Amiri" w:cs="Amiri"/>
          <w:color w:val="111111"/>
          <w:sz w:val="28"/>
          <w:sz w:val="28"/>
          <w:szCs w:val="28"/>
          <w:rtl w:val="true"/>
          <w:lang w:bidi="ar-SA"/>
        </w:rPr>
        <w:t>لأنّ الأجل حقّ من عليه الدين فإذا أسقطه سقط و هو ممنوع، بل الحقّ مشترك بينهما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عجز المكاتب المطلق كان على الإمام أن يفكّه من سهم الرقاب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المكاتبة الفاسدة لايتعلّق بها حكم، بل تقع لاغيةً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عجز المكاتب المطلق كان على الإمام أن يفكّه من سهم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الدفع إلى المكاتب من الزكاة مشترك بين القسمين، لكن وجوب الفكّ مختصّ بالمطلق من سهم الرقاب مع الإمكان، فإن تعذّر كان كالمشروط يجوز فسخ كتابته و استرقاقه أو ما بقى منه إن كان قد أدّى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المكاتبة الفاسدة لايتعلّق بها حكم، بل تقع لاغيةً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نبّه بذلك على خلاف بعض العامّة، حيث قسموا ما لایصحّ من الكتابة إلى باطلة و فاسدة</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فالباطلة هي التي اختلّ بعض أركانها، بأن كان السيّد صبيّاً أو مجنوناً أو مكرهاً على الكتابة أو كان العبد كذلك أو لم يجر ذكر عوض أو ذكر ما لايقصد ماليّته كالدم و الحشرات أو اختلّت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الفاسدة هي التي امتنعت صحّتها بشرط فاسد أو بفوات شرط في العوض، بأن كان خمراً أو خنزيراً أو مجهولاً أو لم ينجمّه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جعلوا الكتابة الباطلة لاغيةً كما ذكرناه، و الفاسدة تساوي الصحيحة في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يحصل العتق بالأداء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يستقلّ بالكسب و يستتبع عند العتق ما فضل من كسبه، و كذا ولده من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يستقلّ حتّى يعامل السيّد و يسقط عنه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يفارقها في أنّها لاتلزم من</w:t>
      </w:r>
    </w:p>
    <w:p>
      <w:pPr>
        <w:pStyle w:val="BookText"/>
        <w:rPr/>
      </w:pPr>
      <w:r>
        <w:rPr>
          <w:rFonts w:ascii="Amiri" w:hAnsi="Amiri" w:eastAsia="Amiri" w:cs="Amiri"/>
          <w:color w:val="111111"/>
          <w:sz w:val="28"/>
          <w:sz w:val="28"/>
          <w:szCs w:val="28"/>
          <w:rtl w:val="true"/>
          <w:lang w:bidi="ar-SA"/>
        </w:rPr>
        <w:t>جانب السيّد فله فسخها، و تبطل بموت السيّد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فالعتق عندهم يحصل من جهة التعليق لا من جهة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عندنا لاغ؛ لأنّ الفاسد لايترتّب عليه أثر، و الإطلاق الشرعي محمول على الصحيح و الأحكام مترتّبة عليه</w:t>
      </w:r>
      <w:r>
        <w:rPr>
          <w:rFonts w:eastAsia="IRNazanin" w:cs="IRNazanin"/>
          <w:color w:val="111111"/>
          <w:sz w:val="28"/>
          <w:szCs w:val="28"/>
          <w:rtl w:val="true"/>
          <w:lang w:bidi="fa-IR"/>
        </w:rPr>
        <w:t xml:space="preserve">. </w:t>
      </w:r>
      <w:bookmarkStart w:id="537" w:name="pg10270_80508"/>
    </w:p>
    <w:p>
      <w:pPr>
        <w:pStyle w:val="Heading4"/>
        <w:numPr>
          <w:ilvl w:val="3"/>
          <w:numId w:val="1"/>
        </w:numPr>
        <w:rPr/>
      </w:pPr>
      <w:bookmarkStart w:id="538" w:name="__RefHeading___Toc3860362_1067777946"/>
      <w:bookmarkStart w:id="539" w:name="_Toc195"/>
      <w:bookmarkEnd w:id="537"/>
      <w:bookmarkEnd w:id="538"/>
      <w:r>
        <w:rPr>
          <w:rtl w:val="true"/>
        </w:rPr>
        <w:t>أحکام المکاتبة</w:t>
      </w:r>
      <w:bookmarkEnd w:id="539"/>
    </w:p>
    <w:p>
      <w:pPr>
        <w:pStyle w:val="BookText"/>
        <w:rPr/>
      </w:pPr>
      <w:r>
        <w:rPr>
          <w:rFonts w:ascii="IRNazanin" w:hAnsi="IRNazanin" w:eastAsia="IRNazanin"/>
          <w:color w:val="111111"/>
          <w:sz w:val="28"/>
          <w:sz w:val="28"/>
          <w:szCs w:val="28"/>
          <w:rtl w:val="true"/>
          <w:lang w:bidi="fa-IR"/>
        </w:rPr>
        <w:t>و أمّا الأحکام</w:t>
      </w:r>
    </w:p>
    <w:p>
      <w:pPr>
        <w:pStyle w:val="BookText"/>
        <w:rPr/>
      </w:pPr>
      <w:r>
        <w:rPr>
          <w:rFonts w:ascii="IRNazanin" w:hAnsi="IRNazanin" w:eastAsia="IRNazanin"/>
          <w:color w:val="111111"/>
          <w:sz w:val="28"/>
          <w:sz w:val="28"/>
          <w:szCs w:val="28"/>
          <w:rtl w:val="true"/>
          <w:lang w:bidi="fa-IR"/>
        </w:rPr>
        <w:t>فتشتمل على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المكاتب و كان مشروطاً بطلت الكتابة و كان ما تركه لمولاه، و أولاده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مشروطاً تحرّر منه بقدر ما أدّاه و كان الباقي رقّاً، و لمولاه من تركته بقدر ما فيه من رقّ، و لورثته بقدر ما فيه من 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يؤدّي الوارث من نصيب الحرّيّة ما بقي من 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له مال سعى الأولاد فيما بقي على أبيهم، و مع الأداء ينعتق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للمولى إجبارهم على الأداء؟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رواية أخرى تقتضي أداء ما تخلّف من أصل التركة و يتحرّر الأولاد و ما يبقى فلهم و 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المكاتب و كان مشروطاً بطلت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 المكاتب قبل أداء جميع ما عليه بطلت الكتابة؛ لأنّ موضوعها الرقّيّة؛ و غايتها</w:t>
      </w:r>
    </w:p>
    <w:p>
      <w:pPr>
        <w:pStyle w:val="BookText"/>
        <w:rPr/>
      </w:pPr>
      <w:r>
        <w:rPr>
          <w:rFonts w:ascii="Amiri" w:hAnsi="Amiri" w:eastAsia="Amiri" w:cs="Amiri"/>
          <w:color w:val="111111"/>
          <w:sz w:val="28"/>
          <w:sz w:val="28"/>
          <w:szCs w:val="28"/>
          <w:rtl w:val="true"/>
          <w:lang w:bidi="ar-SA"/>
        </w:rPr>
        <w:t>العتق، فإذا مات فات الموضوع و تعذّرت الغاية التي شرع لها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مشروطاً بطلت من رأس وإن بقي عليه شيء يسير، فيملك المولى ما قبض</w:t>
      </w:r>
    </w:p>
    <w:p>
      <w:pPr>
        <w:pStyle w:val="BookText"/>
        <w:rPr/>
      </w:pPr>
      <w:r>
        <w:rPr>
          <w:rFonts w:ascii="Amiri" w:hAnsi="Amiri" w:eastAsia="Amiri" w:cs="Amiri"/>
          <w:color w:val="111111"/>
          <w:sz w:val="28"/>
          <w:sz w:val="28"/>
          <w:szCs w:val="28"/>
          <w:rtl w:val="true"/>
          <w:lang w:bidi="ar-SA"/>
        </w:rPr>
        <w:t>و يسترقّ أولاده التابعين له فيها، و عليه مؤونة تجهيزه كالقنّ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مطلقاً و لم يؤدّ شيئاً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أدّى البعض تحرّر منه بحسابه و بطل بنسبة الباقي، و تحرّر من أولاده التابعين له بقدر حريّتّه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ميراثه لوارثه و مولاه بالنسبة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يستقرّ ملك وارث لم يتبعه على نصيبه من نصيب الحرّيّة، و نصيب من تبعه يتعلّق به ما بقى من 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يخلّف مالاً فعليهم أداء ما تخلّف، و يعتقون بأدائه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يجبرون على السعى فيه؟ وجهان أصحّهما ذلك، كما يجبر من تحرّر بعضه على فكّ 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العدم بطلان المعاملة و عدم وقوعها معهم فلايلزمهم أداؤها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الرواية التي أشار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لأداء باقي مال الكتابة ممّا تركه من غير أن يقسّم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 المولى و الوارث و يتحرّر الأولاد، و ما فضل منه فلهم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جميل بن درّاج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في مكاتب يموت و قد أدّى بعض مكاتبته و له ابن من جارية و ترك مالاً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اشترط عليه أنّه إن عجز فهو رقّ رجع ابنه مملوكاً و الجارية، و إن لم يشترط عليه صار ابنه حرّاً، و ردّ على المولى بقيّة مال الكتابة، و ورث ابنه ما بقي</w:t>
      </w:r>
      <w:r>
        <w:rPr>
          <w:rFonts w:eastAsia="IRNazanin" w:cs="IRNazanin"/>
          <w:color w:val="111111"/>
          <w:sz w:val="28"/>
          <w:szCs w:val="28"/>
          <w:rtl w:val="true"/>
          <w:lang w:bidi="fa-IR"/>
        </w:rPr>
        <w:t>»</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روى أبو الصباح</w:t>
      </w:r>
      <w:r>
        <w:rPr>
          <w:rStyle w:val="FootnoteAnchor"/>
          <w:rtl w:val="true"/>
        </w:rPr>
        <w:footnoteReference w:id="1741"/>
      </w:r>
      <w:r>
        <w:rPr>
          <w:rFonts w:ascii="Amiri" w:hAnsi="Amiri" w:eastAsia="Amiri" w:cs="Amiri"/>
          <w:color w:val="111111"/>
          <w:sz w:val="28"/>
          <w:sz w:val="28"/>
          <w:szCs w:val="28"/>
          <w:rtl w:val="true"/>
          <w:lang w:bidi="ar-SA"/>
        </w:rPr>
        <w:t>و الحلبي</w:t>
      </w:r>
      <w:r>
        <w:rPr>
          <w:rStyle w:val="FootnoteAnchor"/>
          <w:rtl w:val="true"/>
        </w:rPr>
        <w:footnoteReference w:id="1742"/>
      </w:r>
      <w:r>
        <w:rPr>
          <w:rFonts w:ascii="IRNazanin" w:hAnsi="IRNazanin" w:eastAsia="IRNazanin"/>
          <w:color w:val="111111"/>
          <w:sz w:val="28"/>
          <w:sz w:val="28"/>
          <w:szCs w:val="28"/>
          <w:rtl w:val="true"/>
          <w:lang w:bidi="fa-IR"/>
        </w:rPr>
        <w:t>و ابن سنان</w:t>
      </w:r>
      <w:r>
        <w:rPr>
          <w:rStyle w:val="FootnoteAnchor"/>
          <w:rtl w:val="true"/>
        </w:rPr>
        <w:footnoteReference w:id="1743"/>
      </w:r>
      <w:r>
        <w:rPr>
          <w:rFonts w:ascii="Amiri" w:hAnsi="Amiri" w:eastAsia="Amiri" w:cs="Amiri"/>
          <w:color w:val="111111"/>
          <w:sz w:val="28"/>
          <w:sz w:val="28"/>
          <w:szCs w:val="28"/>
          <w:rtl w:val="true"/>
          <w:lang w:bidi="ar-SA"/>
        </w:rPr>
        <w:t>، و غيرهم</w:t>
      </w:r>
      <w:r>
        <w:rPr>
          <w:rStyle w:val="FootnoteAnchor"/>
          <w:rtl w:val="true"/>
        </w:rPr>
        <w:footnoteReference w:id="1744"/>
      </w:r>
      <w:r>
        <w:rPr>
          <w:rFonts w:ascii="Amiri" w:hAnsi="Amiri" w:eastAsia="Amiri" w:cs="Amiri"/>
          <w:color w:val="111111"/>
          <w:sz w:val="28"/>
          <w:sz w:val="28"/>
          <w:szCs w:val="28"/>
          <w:rtl w:val="true"/>
          <w:lang w:bidi="ar-SA"/>
        </w:rPr>
        <w:t>جميعاً في الصحيح بألفاظ مختلفة محصّلها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بمضمونها عمل ابن الجنيد</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الأشهر بين الأصحاب هو الأوّل، و تشهد له صحيحة محمّد بن قيس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أمير المؤمنين علیه السلام في مكاتب توفّى و له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ماله على قدر ما أُعتق منه، و ما لم يعتق يحسب منه لأربابه الذين كاتبوه</w:t>
      </w:r>
      <w:r>
        <w:rPr>
          <w:rFonts w:eastAsia="IRNazanin" w:cs="IRNazanin"/>
          <w:color w:val="111111"/>
          <w:sz w:val="28"/>
          <w:szCs w:val="28"/>
          <w:rtl w:val="true"/>
          <w:lang w:bidi="fa-IR"/>
        </w:rPr>
        <w:t>»</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صحيحة بريد العجلي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كاتب عبداً له على ألف درهم، و لم يشترط عليه حين كاتبه أنّه إن عجز عن مكاتبته فهو ردّ في الرقّ، و المكاتب أدّى إلى مولاه خمسمائة درهم، ثمّ مات المكاتب و ترك مالاً و ترك ابناً له مدركاً،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ما ترك المكاتب من شيء فإنّه لمولاه الذي كاتبه، و النصف الباقي لابن المكاتب؛ لأنّه مات و نصفه حرّ و نصفه عبد، فإذا أدّى الذي كان كاتب أباه و بقي على أبيه فهو حرّ لا سبيل لأحد عليه من الناس</w:t>
      </w:r>
      <w:r>
        <w:rPr>
          <w:rFonts w:eastAsia="IRNazanin" w:cs="IRNazanin"/>
          <w:color w:val="111111"/>
          <w:sz w:val="28"/>
          <w:szCs w:val="28"/>
          <w:rtl w:val="true"/>
          <w:lang w:bidi="fa-IR"/>
        </w:rPr>
        <w:t>»</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طريق الجمع بين هاتين و ما تقدّم بحمل أدائه ما بقي من نصيبه لا من أصل المال، و إرثه لما بقي إن كان في النصيب بقيّة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أُوصي له بوصيّة صحّ له منها بقدر ما فيه من حرّيّة وبطل 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وإن كان خلاف الظاهر إلّا أنّه متعيّن لمراعاة الجمع بين الأخبار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التحرير توقّف في الحكم</w:t>
      </w:r>
      <w:r>
        <w:rPr>
          <w:rStyle w:val="FootnoteAnchor"/>
          <w:rtl w:val="true"/>
        </w:rPr>
        <w:footnoteReference w:id="1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وجه؛ لأنّ الأوّل أكثر، بل الصحيح من الجانب المشهور مختصّ برواية بريد ، و أمّا صحّة رواية محمد بن قيس فإضافيّة كما حقّقناه مراراً، فتتعارض الكثرة والشهرة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أوصي له بوصيّة صحّ له منها بقدر ما فيه من حرّيّة و بطل ما زاد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المشهور بين الأصحاب أنّ المكاتب المشروط لاتصحّ الوصيّة له مطلقاً، و المطلق یصحّ له منها بنسبة ما فيه من الحرّيّة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 رواية محمّد بن قيس عن أبي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أمير المؤمنين علیه السلام في مكاتب تحته حرّة، فأوصت له عند موتها بوصيّة، فقال أهل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لايجوز وصيّتها له؛ لأنّه مكاتب لم يعتق و لا يرث، فقضى أنّه يرث بحساب ما أعتق منه و يجوز له من الوصيّة بحساب ما أُعتق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قضى في مكاتب قضى ربع ما عليه فأوصى له بوصيّة فأجاز ربع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قضى في رجل حرّ أوصى لمكاتبته و قد قضت سدس ما كان عليها فأجاز بحساب ما أُعتق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قضى في وصيّة مكاتب قد قضى بعض ماكوتب عليه يجاز من وصيّته بحساب ما أُعتق منه</w:t>
      </w:r>
      <w:r>
        <w:rPr>
          <w:rFonts w:eastAsia="IRNazanin" w:cs="IRNazanin"/>
          <w:color w:val="111111"/>
          <w:sz w:val="28"/>
          <w:szCs w:val="28"/>
          <w:rtl w:val="true"/>
          <w:lang w:bidi="fa-IR"/>
        </w:rPr>
        <w:t>»</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 الوصيّة له مطلقاً؛ لأنّ قبولها نوع اكتساب و هو غير ممنوع منه</w:t>
      </w:r>
      <w:r>
        <w:rPr>
          <w:rStyle w:val="FootnoteAnchor"/>
          <w:rtl w:val="true"/>
        </w:rPr>
        <w:footnoteReference w:id="1750"/>
      </w:r>
      <w:r>
        <w:rPr>
          <w:rFonts w:ascii="Amiri" w:hAnsi="Amiri" w:eastAsia="Amiri" w:cs="Amiri"/>
          <w:color w:val="111111"/>
          <w:sz w:val="28"/>
          <w:sz w:val="28"/>
          <w:szCs w:val="28"/>
          <w:rtl w:val="true"/>
          <w:lang w:bidi="ar-SA"/>
        </w:rPr>
        <w:t>، و فيه قوّة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الرواية ضعيفة باشتراك محمّد بن قيس الذي يروي عن الباقر علیه السلام بين الثقة</w:t>
      </w:r>
      <w:r>
        <w:rPr>
          <w:rStyle w:val="FootnoteAnchor"/>
          <w:rtl w:val="true"/>
        </w:rPr>
        <w:footnoteReference w:id="1751"/>
      </w:r>
      <w:r>
        <w:rPr>
          <w:rFonts w:ascii="Amiri" w:hAnsi="Amiri" w:eastAsia="Amiri" w:cs="Amiri"/>
          <w:color w:val="111111"/>
          <w:sz w:val="28"/>
          <w:sz w:val="28"/>
          <w:szCs w:val="28"/>
          <w:rtl w:val="true"/>
          <w:lang w:bidi="ar-SA"/>
        </w:rPr>
        <w:t>، و غيره</w:t>
      </w:r>
      <w:r>
        <w:rPr>
          <w:rStyle w:val="FootnoteAnchor"/>
          <w:rtl w:val="true"/>
        </w:rPr>
        <w:footnoteReference w:id="1752"/>
      </w:r>
      <w:r>
        <w:rPr>
          <w:rFonts w:ascii="Amiri" w:hAnsi="Amiri" w:eastAsia="Amiri" w:cs="Amiri"/>
          <w:color w:val="111111"/>
          <w:sz w:val="28"/>
          <w:sz w:val="28"/>
          <w:szCs w:val="28"/>
          <w:rtl w:val="true"/>
          <w:lang w:bidi="ar-SA"/>
        </w:rPr>
        <w:t>، فتردّ لذلك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وجب عليه حدّ أُقيم عليه من حدّ الأحرار بنسبة الحرّيّة، و بنسبة الرقّيّة من حدّ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الموصي غير المولى، أمّا هو فتصحّ وصيّته له مطلقاً بغير إشكال، و يعتق منه بقدر الوصيّة، فإن كانت بقدر النجوم عتق أجمع، و إن زادت فالزائد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كون قيمته بقدر مال الكتابة و أقلّ؛ لأنّ الواجب الآن هو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اعتبار القيمة لو نقصت؛ لأنّ ذلك حكم القنّ و المكاتب لا يقصر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خرج عن حكم القنّ بوجه، و صار مال الكتابة في ذمّته، فكان اعتباره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وجب عليه حدّ أقيم عليه من حدّ الأحرار بنسبة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وجب على المكاتب حدّ، فإن لم يتحرّر منه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مطلقاً أو مشروطاً لم يؤدّ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حَدّ العبيد وإن كان قد خرج منهم من وجه؛ لأنّه لم يصر حرّاً محضاً، و الحدّ مبنيّ على التخفيف، فيرجّح فيه جانب الأقلّ، وإن كان قد تحرّر من المطلق شيء حدّ من حدّ الأحرار بنسبة ما فيه من الحرّيّة و من حدّ العبيد بنسبة ما فيه من الرقّيّة، فإن انقسمت الأسواط على صحّة و إلّا قبض من السوط بنسبة الجزء كما سيأتي إن شاء الله تعالى</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صحيحة الحلبي عن أبي عبد الله علیه السلام في المكاتب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يجلد الحدّ بقدر ما أعتق منه</w:t>
      </w:r>
      <w:r>
        <w:rPr>
          <w:rFonts w:eastAsia="IRNazanin" w:cs="IRNazanin"/>
          <w:color w:val="111111"/>
          <w:sz w:val="28"/>
          <w:szCs w:val="28"/>
          <w:rtl w:val="true"/>
          <w:lang w:bidi="fa-IR"/>
        </w:rPr>
        <w:t>»</w:t>
      </w:r>
      <w:r>
        <w:rPr>
          <w:rStyle w:val="FootnoteAnchor"/>
          <w:rtl w:val="true"/>
        </w:rPr>
        <w:footnoteReference w:id="1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بالحدّ هنا حدّ الأحرار، و سكت عن الجزء الآخر؛ لظهوره أو لأنّه لا يقصر عن الأقلّ فبيّن الأكثر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الذنب موجباً للحدّ على تقدير الحرّيّة دون الرقّيّة كالرجم انتفى رأساً و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لو قذفه قاذف، فإنّه يجب عليه من حدّ الأحرار بنسبة الحرّيّة و يسقط ما قابل الرقّيّة؛ إذ لا يجب الحدّ على قاذفه بل التعزير، و هو لاينتصف بل يناط برأي الحاكم فيعزّره عن جزء الرقّيّة بما يراه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زنى المولى بمكاتبته سقط عنه من الحدّ بقدر ماله فيها من الرقّ، و حدّ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زنى المولى بمكاتبته سقط عنه من الحدّ بقدر ماله فيها من الرقّ، و حدّ</w:t>
      </w:r>
    </w:p>
    <w:p>
      <w:pPr>
        <w:pStyle w:val="BookText"/>
        <w:rPr/>
      </w:pPr>
      <w:r>
        <w:rPr>
          <w:rFonts w:ascii="Amiri" w:hAnsi="Amiri" w:eastAsia="Amiri" w:cs="Amiri"/>
          <w:color w:val="111111"/>
          <w:sz w:val="28"/>
          <w:sz w:val="28"/>
          <w:szCs w:val="28"/>
          <w:rtl w:val="true"/>
          <w:lang w:bidi="ar-SA"/>
        </w:rPr>
        <w:t>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ممّا يقبل التجزئة كالجلد فلو لم يقبلها كالرجم سقط أيضاً و وجب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الرجم هنا منتفٍ أصلاً؛ لفقد شرطه و هو الإحصان المشروط بزني الحرّ بالحرّة مع باقي الشرائط، و كذا القول في السابقة، فيجب الجلد ابتداء لا لتعذّر تبعيض الرجم و هذا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بعض العامّة في حدّ المولى الواطئ للمكاتبة</w:t>
      </w:r>
      <w:r>
        <w:rPr>
          <w:rStyle w:val="FootnoteAnchor"/>
          <w:rtl w:val="true"/>
        </w:rPr>
        <w:footnoteReference w:id="1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ما له فيها من الملك و إن كان ضعيفاً، و أوجب التعزير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وطء محرّم بمن قد صارت أجنبیّةً فيجب الحدّ، و لايجب كملاً لما فيها من الملك الموجب لانتفاء الحدّ وإن كان متزلزلاً فيجب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الحسين بن خالد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كاتب أمةً له فقالت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أدّيت من مكاتبتي فأنا به حرّة على حساب ذلك،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فأدّت بعض مكاتبتها و جامعها مولاها بعد ذلك،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استكرهها على ذلك ضرب من الحدّ بقدر ما أدّت من مكاتبتها، و درئ عنه من الحدّ بقدر ما بقي له من مكاتبتها، وإن كانت تابعته كانت شريكته في الحد ضربت مثل ما يضرب</w:t>
      </w:r>
      <w:r>
        <w:rPr>
          <w:rFonts w:eastAsia="IRNazanin" w:cs="IRNazanin"/>
          <w:color w:val="111111"/>
          <w:sz w:val="28"/>
          <w:szCs w:val="28"/>
          <w:rtl w:val="true"/>
          <w:lang w:bidi="fa-IR"/>
        </w:rPr>
        <w:t>»</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مشروطة أو لم تؤدّ شيئاً فلا حدّ لكن يعزّر لتحريم وطئه لها مطلقاً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للمكاتَب التصرّف في ماله ببيع و لا هبة و لا عتق و لا إقراض، إلّا بإذن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للمكاتب التصرّف في ماله ببيع و لا هبة و لا عتق و لا إقراض، إلّا بإذن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المكاتب بقسميه ممنوع من التصرّف في ماله بما ينافي الاكتساب و ما فيه خطر كالبيع بالعين، و بالنسيئة مع عدم الرهن و الضمين الموسر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 مطلقاً؛ لأنّ الرهن قد</w:t>
      </w:r>
    </w:p>
    <w:p>
      <w:pPr>
        <w:pStyle w:val="BookText"/>
        <w:rPr/>
      </w:pPr>
      <w:r>
        <w:rPr>
          <w:rFonts w:ascii="Amiri" w:hAnsi="Amiri" w:eastAsia="Amiri" w:cs="Amiri"/>
          <w:color w:val="111111"/>
          <w:sz w:val="28"/>
          <w:sz w:val="28"/>
          <w:szCs w:val="28"/>
          <w:rtl w:val="true"/>
          <w:lang w:bidi="ar-SA"/>
        </w:rPr>
        <w:t>يتلف و الضمين قد يعسر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الهبة بغير شرط عوض يزيد عن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المساوي وجه بالجواز؛ إذ لا ضرر فيه، لكن بشرط قبض العوض قبل تقبيض العين؛ لأنّه لايجوز له البيع بدون القبض ففي الهبة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أطلق المنع من الهبة نظر إلى أنّ الهبة لايقتضي العوض وإن شرط إلّا مع قبضه فيستلزم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العتق مطلقاً؛ لأنّه تبرّع محض و منه شراء من ينعتق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قبول هبته مع عدم الضرر، بأن يكون مكتسباً قدر مؤونته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الإقراض مع عدم الغبطة، فلو كان في موضع يخاف فيه تلف المال فأقرضه إلى محلّ الأمن، أو خاف فساده قبل دفعه إلى المولى و نحو ذلك فلا منع على الظاهر، بل المصلحة فيه واضحة، فهو من ضروب الاكتساب، ولكن المصنّف و غيره</w:t>
      </w:r>
      <w:r>
        <w:rPr>
          <w:rStyle w:val="FootnoteAnchor"/>
          <w:rtl w:val="true"/>
        </w:rPr>
        <w:footnoteReference w:id="1757"/>
      </w:r>
      <w:r>
        <w:rPr>
          <w:rFonts w:ascii="Amiri" w:hAnsi="Amiri" w:eastAsia="Amiri" w:cs="Amiri"/>
          <w:color w:val="111111"/>
          <w:sz w:val="28"/>
          <w:sz w:val="28"/>
          <w:szCs w:val="28"/>
          <w:rtl w:val="true"/>
          <w:lang w:bidi="ar-SA"/>
        </w:rPr>
        <w:t>أطلقوا المنع من هذه الأشياء، و لا بدّ من تقييدها بما ذكرناه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معنى تصرّفاته المنافية للاكتساب تبسّطه في الملابس و النفقة، و لايکلّف التقتير المفرط، بل يلزم الوسط اللائق بحاله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عدم إذن المولى، أما لو أذن جاز؛ لأنّ الحق لايعدوهما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للمولى التصرّف في مال المكاتب إلّا بما يتعلّق بالاستيفاء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لايجوز له وطء المكاتبة بالملك و لا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طاوعت حدّت و لايجوز له وطء أمة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وطئ الشبهة كان عليه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يكتسبه المكاتب قبل الأداء و بعده فهو له؛ لأنّ تسلّط المولى زال عنه بالكتابة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لاتتزوّج المكاتبة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بادرت كان عقدها موقوفاً مشروطةً كانت أو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ليس للمكاتب وطء أمة يبتاعها إلّا بإذن مولاه و لو كانت كتابته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لايجوز للمولى التصرّف في مال المكاتب إلّا بما يتعلّق بالاستيفاء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المكاتب على مرتبة بين العتق و الرقّ</w:t>
      </w:r>
      <w:r>
        <w:rPr>
          <w:rStyle w:val="FootnoteAnchor"/>
          <w:rtl w:val="true"/>
        </w:rPr>
        <w:footnoteReference w:id="1758"/>
      </w:r>
      <w:r>
        <w:rPr>
          <w:rFonts w:ascii="Amiri" w:hAnsi="Amiri" w:eastAsia="Amiri" w:cs="Amiri"/>
          <w:color w:val="111111"/>
          <w:sz w:val="28"/>
          <w:sz w:val="28"/>
          <w:szCs w:val="28"/>
          <w:rtl w:val="true"/>
          <w:lang w:bidi="ar-SA"/>
        </w:rPr>
        <w:t>، فليس له الاستقلال بالتصرّف مطلقاً، و لايبقى سلطنة المولى عليه و تسلّطه على ما بيده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فبالنسبة إلى ماله ينقطع عنه تصرّف المولى؛ لأنّ الغرض منها تحصيله و تحصينه لفكّ رقبته، فكما أنّه ليس للمكاتب صرفه في غير ذلك إلّا في القدر الضروري كما مرّ، كذلك ليس للمولى التصرّف فيه بغير الاستيفاء، لا بمعنى أن يأخذه من المكاتب قهراً لأجل الاستيفاء؛ لأنّ المكاتب كالمديون في تخيّره في جهة الوفاء، و تعيين الدين في أعيان ما بيده موكول إليه، بل المراد تصرّفه فيه لأجل الاستيفاء في الجملة بحيث يصدر عن إذن المكاتب و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يجوز تسلّط المولى على الاستيفاء بغير إذنه فيما إذا كان مشروطاً و حلّ النجم فلم يؤدّه و كان بيده مال بقدره، و لو زاد فالتعيين موكول إليه، فإذا امتنع عيّن الحاكم كما في كلّ ممتنع</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التصرّف الممنوع منه وطء المكاتبة بالعقد و الملك؛ لعدم صيرورتها حرّةً تصلح للعقد، و خروجها بعقد المكاتبة عن محض الرقّ المسوّغ للوطء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وطئها عالما بالتحريم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عزّر إن لم يتحرّر منها شيء، و حدّ بنسبة الحرّيّة إن تبعّضت كما مرّ</w:t>
      </w:r>
      <w:r>
        <w:rPr>
          <w:rStyle w:val="FootnoteAnchor"/>
          <w:rtl w:val="true"/>
        </w:rPr>
        <w:footnoteReference w:id="1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طاوعته هي حدّت حدّ المملوك إن لم تتبعّض وإلّا فبالنسبة و إن أكرهها اختصّ بالحكم و لها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تكرّره بتكرّره أوجه،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اشتراطه بتخلّل أدائه إليها بين الوطئين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تعدّده مع العلم بتعدّد الوطء، و مع الشبهة المستمرّة مهر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وجب المهر فلها أخذه في الحال، فإن حلّ عليها نجم و هما من جنس واحدٍ جاز إمساكه تهاتراً، وإن عجزت قبل أخذه سقط، وإن عتقت بأداء النجوم فلها المطالبة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يكتسبه المكاتب بعد العقد له وإن حجر عليه فيه على بعض الوجوه؛ لأنّ ذلك هو فائدة الكتابة؛ إذ لولاه لتعذّر عليه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يحجر عليه فيه تزوّجه بغير إذن المولى ذكراً كان أم أنثى، فإن بادرت بالعقد كان</w:t>
      </w:r>
    </w:p>
    <w:p>
      <w:pPr>
        <w:pStyle w:val="BookText"/>
        <w:rPr/>
      </w:pPr>
      <w:r>
        <w:rPr>
          <w:rFonts w:ascii="Amiri" w:hAnsi="Amiri" w:eastAsia="Amiri" w:cs="Amiri"/>
          <w:color w:val="111111"/>
          <w:sz w:val="28"/>
          <w:sz w:val="28"/>
          <w:szCs w:val="28"/>
          <w:rtl w:val="true"/>
          <w:lang w:bidi="ar-SA"/>
        </w:rPr>
        <w:t>فضولاً؛ لأنّها لم تملك نفسها على وجه تستقلّ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رواية أبي بصير عن أبي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المكاتب لايجوز له عتق و لا هبة و لا نكاح و لا شهادة و لا حجّ حتّى يؤدّي ما عليه</w:t>
      </w:r>
      <w:r>
        <w:rPr>
          <w:rFonts w:eastAsia="IRNazanin" w:cs="IRNazanin"/>
          <w:color w:val="111111"/>
          <w:sz w:val="28"/>
          <w:szCs w:val="28"/>
          <w:rtl w:val="true"/>
          <w:lang w:bidi="fa-IR"/>
        </w:rPr>
        <w:t>»</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لايجوز له وطء أمة يبتاعها إلّا بإذن مولاه؛ لأنّ ذلك تصرّف بغير الاكتساب، و ربما أنقص قيمتها، و يترتّب عليها خطر الطلق، و لضعف ملكه على تقدير الأمن من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المطلق والمشروط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بادر و وطئ بغير إذنه فلا حدّ مع الشبهة، وإلّا عزّر و لا مهر؛ لأنّ مهر جاريته لو ثبت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أولدها فالولد أنسب لشبهة الملك</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لايخلو إمّا أن تأتي بالولد و هو مكاتب بعد فيكون ملكاً له؛ لأنّه ولد جاريته، لكن لايملك بيعه لأنّه ولده، و لايعتق عليه لأنّ ملكه ليس بتامّ، بل يتوقّف على عتقه، فإن عتق عتق وإلّا رقّ للسيّد، و هذا معنى تبعيّة ولده له في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 الاستيلاد للأمة موقوف أيضاً على حرّيّة الولد، فإن عتق استقرّ الاستيلاد، وإن عجز رقّت مع الولد، فإن عتق المكاتب بعد ذلك و ملكها لم تصر مستولدةً؛ لأنّ بالعجز تبيّن أنّها علقت برقيق و أنّه لا استيلاد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يشرطه المولى على المكاتب في عقد الكتابة يكون لازماً ما لم يكن مخالفاً للكتاب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لا تصير مستولدةً مطلقاً؛ لأنّ عتق الولد طار على الاستيلاد، فأشبهت الأمة الموطوءة بالنكاح، و حقّ الحرّيّة للولد لم يثبت بالاستيلاد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أتت بالولد و هو 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أتت به بعد العتق، فإن كان لما دون ستّة أشهر من وقت العتق فكذلك؛ لأنّ العلوق وقع في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لما زاد عن ستّة إلى أقصى الحمل احتمل أن تصير مستولدةً له؛ عملاً بالأصل، و عدمه؛ نظراً إلى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وطئ بعد الحرّيّة بحيث يمكن استناده إليه، ترجيحاً لجانب الحرّيّة، و أصالة عدم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يطأها بعد الحرّيّة فالإشكال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الحكم به كونها فراشاً يلحق به الولد في الجملة قبل الحرّيّة و هو مستدام بعدها، و إمكان العلوق بعد الحرّيّة قائم، فيكتفى به لثبوت الاستيلاد ظاهراً، و إن انتفى فيما بينه و بين الله تعالى، و الأقوى ثبوت الاستيلاد في الأوّل على تقدير حرّيّته، فيسقط عنّا مؤونة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يشرطه المولى على المكاتب في عقد الكتابة يكون لازماً ما لم يكن</w:t>
      </w:r>
    </w:p>
    <w:p>
      <w:pPr>
        <w:pStyle w:val="BookText"/>
        <w:rPr/>
      </w:pPr>
      <w:r>
        <w:rPr>
          <w:rFonts w:ascii="Amiri" w:hAnsi="Amiri" w:eastAsia="Amiri" w:cs="Amiri"/>
          <w:color w:val="111111"/>
          <w:sz w:val="28"/>
          <w:sz w:val="28"/>
          <w:szCs w:val="28"/>
          <w:rtl w:val="true"/>
          <w:lang w:bidi="ar-SA"/>
        </w:rPr>
        <w:t>مخالفاً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الكتابة قابل للشروط السائغة كنظائره من عقود المعاوضات؛ 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1761"/>
      </w:r>
      <w:r>
        <w:rPr>
          <w:rFonts w:ascii="Amiri" w:hAnsi="Amiri" w:eastAsia="Amiri" w:cs="Amiri"/>
          <w:color w:val="111111"/>
          <w:sz w:val="28"/>
          <w:sz w:val="28"/>
          <w:szCs w:val="28"/>
          <w:rtl w:val="true"/>
          <w:lang w:bidi="ar-SA"/>
        </w:rPr>
        <w:t>، فيلزم الوفاء بما يشترطانه ما لم يكن مخالفاً للمشروع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شرط عليه عملاً مخصوصاً زمن الكتابة أو بعد العتق بالأداء أو الاكتساب على وجه معيّن أو في مكان معيّن و نحو ذلك صحّ</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شرط عليها الوطء و عدم التكسب أو كون الولد المتجدّد رقّاً و نحو ذلك بطل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تبعيّة العقد له، كنظائره من الشروط الفاسدة في العقد الصحيح لولاها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لايدخل الحمل في كتابة أُمّه، لكن لو حملت بمملوك بعد الكتابة كان أولادها كحكمها ينعتق منهم بحسابها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تزوّجت بحرّ كان أولادها أحراراً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حملت من مولاها لم تبطل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و عليها شيء من الكتابة تحرّرت من نصيب ولدها وإن لم يكن لها ولد سعت في مال الكتابة للوارث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الحمل فى كتابة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المكاتبة حاملاً حال الكتابة و تيقّن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ينفصل لما دون ستّة أشهر من يوم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 في كتابة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كالولد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قصده؛ لأنّ الصغير لايكاتب، بخلاف مثله في التدبير، فإنّ الصغير يقبل التدبير؛ لأنّه عتق متبرّع به يشترك فيه الصغير و الكبير، بخلاف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لبعض العامّة قول أنّه يدخل في الكتابة على وجه الاستتباع لا على جهة السراية</w:t>
      </w:r>
      <w:r>
        <w:rPr>
          <w:rStyle w:val="FootnoteAnchor"/>
          <w:rtl w:val="true"/>
        </w:rPr>
        <w:footnoteReference w:id="1762"/>
      </w:r>
      <w:r>
        <w:rPr>
          <w:rFonts w:ascii="Amiri" w:hAnsi="Amiri" w:eastAsia="Amiri" w:cs="Amiri"/>
          <w:color w:val="111111"/>
          <w:sz w:val="28"/>
          <w:sz w:val="28"/>
          <w:szCs w:val="28"/>
          <w:rtl w:val="true"/>
          <w:lang w:bidi="ar-SA"/>
        </w:rPr>
        <w:t>، كما يتبع الحامل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ممنوعان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حدث الولد بعد الكتابة فلا يخلو إمّا أن يكون من زنى أو من نكاح مملوك أو من حرّ أو من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حرّ فولدها أحرار لا مدخل لهم في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من مملوك أو من زنى ثبت لهم حكم الكتابة، بمعنى انعتاقهم بعتق الأُمّ أو بالأداء أو بالإبراء، لأنّ الولد كسبها فيتوقّف أمره على رقّها و حرّيّتها كسائر كسبها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المراد بكونهم بحكمها، لا أنّهم يصيرون مكاتبين إذا لم يجر معهم عقد، وإنّما المراد انعتاقهم بعتقها من جهة الكتابة، حتّى لو فسخت الكتابة ثمّ عتقت الأُمّ لم ينعتق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يثبت حقّ ملكهم قبل الانعتاق للأُمّ أم للمولى؟ وجهان، من أنّه تابع للأُمّ و حقّها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أنّه من جملة كسبها فيكون لها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تظهر الفائدة فيما لو قتله قاتل، فعلى الأوّل تكون القيمة للمولى كما لو قتلت الأُمّ، و على الثاني تكون للمكاتبة تستعين به في أداء النجوم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كسب الولد و أرش الجناية عليه فيما دون النفس و أرش الوطء بالشبهة لو كان جاريةً فموقوف على عتقها فيكون له، وإلّا فللمولى ككسب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عجزت الأُمّ و أرادت الاستعانة بكسب ولدها الموقوف ففي إجابتها وجهان، مبنيّان على أنّ الحق هل هو للمولى أو لها؟ فعلى الثاني لا إشكال في جواز استعانتها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يحتمله أيضاً؛ لأنّها إذا رقّت رقّ الولد و أخذ المولى كسبه، و إذا عتقت عتق و قد يفضل شيء من الكسب ففي إجابتها حظ للولد، و عدمه؛ لأنّه لا حقّ لها في كسبه؛ لأنّ الكلام على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أيضاً في نفقة الولد و الوجه أنّها في كسبه و ما فضل فهو الذي 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كسب أو لم يف بالنفقة ففيه وجهان، أظهرهما أنّها على المولى بناءً على أنّ حقّ الملك له وإن كان مراعى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أن ينفق عليه من بيت المال؛ لأنّ تكليفه النفقة من غير أن يصرف إليه الكسب في الحال إجحاف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وجه ثالث أنّه على الأُمّ؛ لأنّ كسبه قد تنتفع به فيكون نفقته عليها لتبعيّة النفقة للكسب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الولد من مولاها فالولد حرّ؛ لأنّها علقت به في ملكه و تصير مستولدةٌ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عليه قيمة الولد؟ يبنى على ما تقدّم من الوجهين،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الملك فيه للسيّد فلا شيء عليه كما لو قتل ولد المكاتبة، وإن قلنا الحقّ لها فعليه القيمة و تستعين المكاتبة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عجزت قبل الأخذ سقطت و إن عتقت أخذتها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ولدت بعد ما عجزت و رقّت فلا شيء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ولدت بعد ما عتقت؛ لأنّه حين تعذّر تقويمه ليس بكسب مكاتبته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لاترتفع الكتابة باستيلادها، بل هي مستولدة و 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عجزت ثم مات السيّد عتقت عن الاستيلاد، و الأولاد الحادثون بعد الاستيلاد من النكاح أو الزنى يتبعونها، و الحادثون قبل الاستيلاد أرقّاء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 السيّد قبل عجزها عتقت من نصيب ولدها، فإن عجز النصيب بقي الباقي مكاتباً وسعت في عوضه للوارث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المشروط رقّ و فطرته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مطلقاً لم يكن عليه فطرته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رواية عليّ بن جعفر عن أخيه موسى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صلّى الله عليه و آله و سلّم قال في رجل وقع على مكاتبته فوطئها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عليه مهر مثلها،فإن ولدت منه فهي على مكاتبتها، و إن عجزت فردّت في الرقّ فهي من أمّهات الأولاد</w:t>
      </w:r>
      <w:r>
        <w:rPr>
          <w:rFonts w:eastAsia="IRNazanin" w:cs="IRNazanin"/>
          <w:color w:val="111111"/>
          <w:sz w:val="28"/>
          <w:szCs w:val="28"/>
          <w:rtl w:val="true"/>
          <w:lang w:bidi="fa-IR"/>
        </w:rPr>
        <w:t>»</w:t>
      </w:r>
      <w:r>
        <w:rPr>
          <w:rStyle w:val="FootnoteAnchor"/>
          <w:rtl w:val="true"/>
        </w:rPr>
        <w:footnoteReference w:id="176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 رقّ و فطرته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مطلقاً لم يكن عليه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المكاتب مطلقاً قد خرج عن محض الرقّيّة و لم يصر إلى حالة الحرّيّة، و هو مرتبة بينهما كما عُلم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سقوط أحكام الرقّيّة عنه سقوط نفقته عن مولاه و تعلّقها بكسبه، و قد كان اللازم من ذلك ثبوت فطرته على نفسه أيضاً؛ لأنّها تابعة للنفقة، لكن قد أطلق جماعة من الأصحاب</w:t>
      </w:r>
      <w:r>
        <w:rPr>
          <w:rStyle w:val="FootnoteAnchor"/>
          <w:rtl w:val="true"/>
        </w:rPr>
        <w:footnoteReference w:id="1764"/>
      </w:r>
      <w:r>
        <w:rPr>
          <w:rFonts w:ascii="Amiri" w:hAnsi="Amiri" w:eastAsia="Amiri" w:cs="Amiri"/>
          <w:color w:val="111111"/>
          <w:sz w:val="28"/>
          <w:sz w:val="28"/>
          <w:szCs w:val="28"/>
          <w:rtl w:val="true"/>
          <w:lang w:bidi="ar-SA"/>
        </w:rPr>
        <w:t>وجوب فطرة المشروط على مولاه و الحكم عليه بإطلاق الرقّيّة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عليّ بن جعفر روى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المكاتب هل عليه فطرة رمضان أو على من كاتبه؟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عليه</w:t>
      </w:r>
      <w:r>
        <w:rPr>
          <w:rFonts w:eastAsia="IRNazanin" w:cs="IRNazanin"/>
          <w:color w:val="111111"/>
          <w:sz w:val="28"/>
          <w:szCs w:val="28"/>
          <w:rtl w:val="true"/>
          <w:lang w:bidi="fa-IR"/>
        </w:rPr>
        <w:t>»</w:t>
      </w:r>
      <w:r>
        <w:rPr>
          <w:rStyle w:val="FootnoteAnchor"/>
          <w:rtl w:val="true"/>
        </w:rPr>
        <w:footnoteReference w:id="1765"/>
      </w:r>
      <w:r>
        <w:rPr>
          <w:rFonts w:ascii="Amiri" w:hAnsi="Amiri" w:eastAsia="Amiri" w:cs="Amiri"/>
          <w:color w:val="111111"/>
          <w:sz w:val="28"/>
          <w:sz w:val="28"/>
          <w:szCs w:val="28"/>
          <w:rtl w:val="true"/>
          <w:lang w:bidi="ar-SA"/>
        </w:rPr>
        <w:t>و لم يفرّق بين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 اقتصر على نقل وجوب فطرة المشروط على مولاه عن بعض الأصحاب، ثمّ احتمل عدمه؛ محتجّاً بأنّها تابعة للنفقة</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البراج صرّح بعدم وجوبها على المولى</w:t>
      </w:r>
      <w:r>
        <w:rPr>
          <w:rStyle w:val="FootnoteAnchor"/>
          <w:rtl w:val="true"/>
        </w:rPr>
        <w:footnoteReference w:id="1767"/>
      </w:r>
      <w:r>
        <w:rPr>
          <w:rFonts w:ascii="Amiri" w:hAnsi="Amiri" w:eastAsia="Amiri" w:cs="Amiri"/>
          <w:color w:val="111111"/>
          <w:sz w:val="28"/>
          <w:sz w:val="28"/>
          <w:szCs w:val="28"/>
          <w:rtl w:val="true"/>
          <w:lang w:bidi="ar-SA"/>
        </w:rPr>
        <w:t>، و لا بأس بهذا القول، وإن كان الأشهر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المطلق فلايجب فطرته على مولاه اتّفاقاً، و لا على نفسه إلّا أن يتحرّر منه شيء فيجب بنسبة الحرّيّة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وجبت عليه كفّارة كفّر بالصوم، و لو كفّر بالعتق لم يجزئه و كذا لو كفّر بالإطعام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المولى أذن له،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يجزئه؛ لأنّه كفّر بما لم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ملك المملوك نصف نفسه كان كسبه بينه و بين مولاه، و لو طلب أحدهما المهاياة أُجبر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وجبت عليه كفّارة كفّر بالصوم، و لو كفّر بالعتق لم يجزئه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التكفير بالعتق شرطه قبول الملك و اليسار، و الثاني منتفٍ عنه، و في الأوّل ما قد عرفت؛ لأنّ ملكه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التكفير بالإطعام مشروط بالأمر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أذن له المولى فى ذلك ففى الإجزاء وجهان، من أنّ المنع كان حقّ المولى و قد زال بإذنه، و من أنّ التكفير بالأمرين غير واجب عليه فلا يجزئ عن الواجب، وإذن المولى لايقتضي الوجوب بل غايتها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بناؤه على أنّ التبرّع على المعسر بالكفّارة التي ليست فرضه هل يجزئ عنه أم</w:t>
      </w:r>
    </w:p>
    <w:p>
      <w:pPr>
        <w:pStyle w:val="BookText"/>
        <w:rPr/>
      </w:pPr>
      <w:r>
        <w:rPr>
          <w:rFonts w:ascii="Amiri" w:hAnsi="Amiri" w:eastAsia="Amiri" w:cs="Amiri"/>
          <w:color w:val="111111"/>
          <w:sz w:val="28"/>
          <w:sz w:val="28"/>
          <w:szCs w:val="28"/>
          <w:rtl w:val="true"/>
          <w:lang w:bidi="ar-SA"/>
        </w:rPr>
        <w:t>لا؟ فإن قلنا بإجزائها أجزأ هنا بطريق أولى،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المختلف ادّعى الإجماع على أنّ التبرّع عن المعسر بإذنه مجزئ فيجزئ هنا</w:t>
      </w:r>
      <w:r>
        <w:rPr>
          <w:rStyle w:val="FootnoteAnchor"/>
          <w:rtl w:val="true"/>
        </w:rPr>
        <w:footnoteReference w:id="1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المبسوط ادّعى الإجماع على عدم الإجزاء</w:t>
      </w:r>
      <w:r>
        <w:rPr>
          <w:rStyle w:val="FootnoteAnchor"/>
          <w:rtl w:val="true"/>
        </w:rPr>
        <w:footnoteReference w:id="1769"/>
      </w:r>
      <w:r>
        <w:rPr>
          <w:rFonts w:ascii="Amiri" w:hAnsi="Amiri" w:eastAsia="Amiri" w:cs="Amiri"/>
          <w:color w:val="111111"/>
          <w:sz w:val="28"/>
          <w:sz w:val="28"/>
          <w:szCs w:val="28"/>
          <w:rtl w:val="true"/>
          <w:lang w:bidi="ar-SA"/>
        </w:rPr>
        <w:t>مع أنّه في باب الكفّارة اختار الإجزاء، و جعله الأظهر في روايات أصحابنا</w:t>
      </w:r>
      <w:r>
        <w:rPr>
          <w:rStyle w:val="FootnoteAnchor"/>
          <w:rtl w:val="true"/>
        </w:rPr>
        <w:footnoteReference w:id="1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ابن إدريس على عدم الإجزاء</w:t>
      </w:r>
      <w:r>
        <w:rPr>
          <w:rStyle w:val="FootnoteAnchor"/>
          <w:rtl w:val="true"/>
        </w:rPr>
        <w:footnoteReference w:id="1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أشار المصنّف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يجزئه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 المملوك نصف نفسه كان كسبه بينه وبين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كاتب عبده و مات، فأبرأه أحد الورّاث من نصيبه من مال الكتابة أو أعتق نصيبه صحّ و لايقوّم عليه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الإجبار أنّ لكلّ منهما الانتفاع بنصيبه، و لايمكن الجمع بين الحقّين في وقتٍ واحد، فكانت المهاياة طريق الجمع بين الحقّين، و وسيلة إلى قطع التنازع و لا ضرر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يدلّ عليه ظاهر رواية عمّار بن موسى عن أبي عبد الله علیه السلام في مكاتب بين شريكين</w:t>
      </w:r>
    </w:p>
    <w:p>
      <w:pPr>
        <w:pStyle w:val="BookText"/>
        <w:rPr/>
      </w:pPr>
      <w:r>
        <w:rPr>
          <w:rFonts w:ascii="Amiri" w:hAnsi="Amiri" w:eastAsia="Amiri" w:cs="Amiri"/>
          <w:color w:val="111111"/>
          <w:sz w:val="28"/>
          <w:sz w:val="28"/>
          <w:szCs w:val="28"/>
          <w:rtl w:val="true"/>
          <w:lang w:bidi="ar-SA"/>
        </w:rPr>
        <w:t>فيعتق أحدهما نصيبه كيف تصنع الخادم؟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تخدم الثاني يوماً و تخدم نفسها يوماً</w:t>
      </w:r>
      <w:r>
        <w:rPr>
          <w:rFonts w:eastAsia="Amiri" w:cs="Amiri" w:ascii="Amiri" w:hAnsi="Amiri"/>
          <w:color w:val="111111"/>
          <w:sz w:val="28"/>
          <w:szCs w:val="28"/>
          <w:rtl w:val="true"/>
          <w:lang w:bidi="ar-SA"/>
        </w:rPr>
        <w:t>»</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أنّ ذلك قسمة لغير معلوم التساوي فيتوقّف على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الأصحّ، بل لايظهر كونها 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مع قطع النظر عن سندها لاتدلّ على تعيين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بوجوب الإجابة إلى المهاياة يكفي المهاياة اليوميّة و لايجب الأزيد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كاتب عبده و مات، فأبرأه أحد الورّاث من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كاتب عبداً و مات و خلّف ورثةً قاموا مقامه في أنّهم إذا أعتقوه أو أبرؤه عن النجوم 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استوفوا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أبرأ أحدهم أو أعتق عُتق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لبعض العامّة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لايعتق بالإبراء حتّى يبرئ الآخر أو يستوفي نصيبه، كما لو كان المورّث حيّاً و أبرأه عن بعض النجوم</w:t>
      </w:r>
      <w:r>
        <w:rPr>
          <w:rFonts w:eastAsia="Amiri" w:cs="Amiri" w:ascii="Amiri" w:hAnsi="Amiri"/>
          <w:color w:val="111111"/>
          <w:sz w:val="28"/>
          <w:szCs w:val="28"/>
          <w:rtl w:val="true"/>
          <w:lang w:bidi="ar-SA"/>
        </w:rPr>
        <w:t>»</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أجيب بأنّه هناك لم يبرئه عن جميع ماله، فصار كما لو أبرأه أحد الشريكين عن نصيبه من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الوجهان مطّردان في العتق</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تقدير انعتاقه لا يسري عليه نصيب الآخر؛ لانعقاد سبب حرّيّته بالكتابة و لزومها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كاتب الشريكان العبد ثمّ أعتقه أحدهما أو كاتب أحدهما نصيبه ثمّ أعتق الآخر، فإنّه لا يسري على الجزء المكاتب؛ لما ذكر من سبق انعقاد سبب الحرّيّة للنصيب و قد يؤدّي و يعتق، و لأنّ المكاتب قد يتضرّر به من حيث إنّه ينقطع عنه الولد و الكسب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كاتب عبده وجب أن يعينه من زكاته إن وجبت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حدّ له قلّةٌ و لا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التبرّع بالعطيّة إن لم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السراية في الجميع؛ لوجود سبب العتق باختياره، و كون المكاتب في حكم الرقّ بالنسبة إلى قبول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إن أدّى و عتق 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عجز فاسترقّ ففي السراية عليه بالعتق السابق وجهان، من وجود السبب المقتضي له، و من سبق الحكم بعدم السراية فيستصحب، و لأنّ الواقع بالاختيار هو الكتابة و هي لاتقتضي العتق بذاتها؛ و لهذا لو أعتقه بعد ذلك صحّ و لو عجز عاد رقّاً، وإنّما حكم بعتقه بالأداء و لا اختيار للقابض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يفرّق بين الإبراء و القبض؛ لأنّ الإبراء صدر باختياره و هو سبب العتق، فكان باختيار السبب مختاراً للمسبّب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بناء الحكم فيه على أنّ الكتابة هل هي بيع أو عتق بعوض؟ فعلى الأوّل لا يسري؛ لأنّ المولى لم يعتق، و إنّما يملك العبد نفسه بالشراء و أداء العوض فيعتق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يحتمل السراية و عدمها بتقريب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كاتب عبده وجب أن يعينه من زكاته إن وجبت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في هذه المسألة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وَآتُوهُمْ مِنْ مَالِ اللَّهِ الَّذِي آتَاكُمْ</w:t>
      </w:r>
      <w:r>
        <w:rPr>
          <w:rFonts w:eastAsia="Amiri" w:cs="Amiri" w:ascii="Amiri" w:hAnsi="Amiri"/>
          <w:color w:val="111111"/>
          <w:sz w:val="28"/>
          <w:szCs w:val="28"/>
          <w:rtl w:val="true"/>
          <w:lang w:bidi="ar-SA"/>
        </w:rPr>
        <w:t>»</w:t>
      </w:r>
      <w:r>
        <w:rPr>
          <w:rStyle w:val="FootnoteAnchor"/>
          <w:rtl w:val="true"/>
        </w:rPr>
        <w:footnoteReference w:id="1774"/>
      </w:r>
      <w:r>
        <w:rPr>
          <w:rFonts w:ascii="Amiri" w:hAnsi="Amiri" w:eastAsia="Amiri" w:cs="Amiri"/>
          <w:color w:val="111111"/>
          <w:sz w:val="28"/>
          <w:sz w:val="28"/>
          <w:szCs w:val="28"/>
          <w:rtl w:val="true"/>
          <w:lang w:bidi="ar-SA"/>
        </w:rPr>
        <w:t>و المراد بالإيتاء أن يحطّ عنه شيئاً من النجوم أو يبذل شيئاً و يأخذه في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فظاهر، فإنّ البذل إيتاء وهو المأمور به في الآية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الحطّ فقد روي عن السلف قولاً و فعلاً، و روى العلاء بن الفضيل عن أبي عبد الله علیه السلام فى قول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وَآتُوهُمْ مِنْ مَالِ اللَّهِ الَّذِي آتَاكُمْ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 عنه من نجومه التي لم تكن تريد أن تنقصه منها و لاتزيد فوق ما في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أبو جعفر علیه السلام المملوك له ألفاً من ستة آلاف</w:t>
      </w:r>
      <w:r>
        <w:rPr>
          <w:rFonts w:eastAsia="IRNazanin" w:cs="IRNazanin"/>
          <w:color w:val="111111"/>
          <w:sz w:val="28"/>
          <w:szCs w:val="28"/>
          <w:rtl w:val="true"/>
          <w:lang w:bidi="fa-IR"/>
        </w:rPr>
        <w:t>»</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الوجه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خلاف 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إعانته ليعتق، و الإعانة في الحطّ محقّقة و في البذل موهومة، فإنّه قد ينفق المال في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يظهر أنّ الحطّ أولى من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في هذا الأمر هل هو للوجوب أو الندب؟ و في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الزكاة الواجبة على المولى أم مطلق المال الذي بيده فإنّه من عند الله؟ و فى أن ضمير المأمور هل هو عائد على قوله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w:t>
      </w:r>
      <w:r>
        <w:rPr>
          <w:rStyle w:val="FootnoteAnchor"/>
          <w:rtl w:val="true"/>
        </w:rPr>
        <w:footnoteReference w:id="1776"/>
      </w:r>
      <w:r>
        <w:rPr>
          <w:rFonts w:ascii="IRNazanin" w:hAnsi="IRNazanin" w:eastAsia="IRNazanin"/>
          <w:color w:val="111111"/>
          <w:sz w:val="28"/>
          <w:sz w:val="28"/>
          <w:szCs w:val="28"/>
          <w:rtl w:val="true"/>
          <w:lang w:bidi="fa-IR"/>
        </w:rPr>
        <w:t>أو على المکلّفين مطلقاً؟</w:t>
      </w:r>
    </w:p>
    <w:p>
      <w:pPr>
        <w:pStyle w:val="BookText"/>
        <w:rPr/>
      </w:pPr>
      <w:r>
        <w:rPr>
          <w:rFonts w:ascii="Amiri" w:hAnsi="Amiri" w:eastAsia="Amiri" w:cs="Amiri"/>
          <w:color w:val="111111"/>
          <w:sz w:val="28"/>
          <w:sz w:val="28"/>
          <w:szCs w:val="28"/>
          <w:rtl w:val="true"/>
          <w:lang w:bidi="ar-SA"/>
        </w:rPr>
        <w:t>فالشيخ في المبسوط</w:t>
      </w:r>
      <w:r>
        <w:rPr>
          <w:rStyle w:val="FootnoteAnchor"/>
          <w:rtl w:val="true"/>
        </w:rPr>
        <w:footnoteReference w:id="1777"/>
      </w:r>
      <w:r>
        <w:rPr>
          <w:rFonts w:ascii="Amiri" w:hAnsi="Amiri" w:eastAsia="Amiri" w:cs="Amiri"/>
          <w:color w:val="111111"/>
          <w:sz w:val="28"/>
          <w:sz w:val="28"/>
          <w:szCs w:val="28"/>
          <w:rtl w:val="true"/>
          <w:lang w:bidi="ar-SA"/>
        </w:rPr>
        <w:t>و جماعة أوجبوا على السيّد إعانة المكاتب بالحطّ أو الإيتاء و إن لم تجب عليهم الزكاة، و لايجب على غيره</w:t>
      </w:r>
      <w:r>
        <w:rPr>
          <w:rStyle w:val="FootnoteAnchor"/>
          <w:rtl w:val="true"/>
        </w:rPr>
        <w:footnoteReference w:id="1778"/>
      </w:r>
      <w:r>
        <w:rPr>
          <w:rFonts w:ascii="Amiri" w:hAnsi="Amiri" w:eastAsia="Amiri" w:cs="Amiri"/>
          <w:color w:val="111111"/>
          <w:sz w:val="28"/>
          <w:sz w:val="28"/>
          <w:szCs w:val="28"/>
          <w:rtl w:val="true"/>
          <w:lang w:bidi="ar-SA"/>
        </w:rPr>
        <w:t>و هو مبنيّ على أنّ الأمر للوجوب و أنّ المال أعمّ من الزكاة و أنّ الخطاب متعلّق بالموالي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المختلف ذهب إلى الاستحباب مطلقاً، و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فلم يوجب عليه الإعانة من الزكاة و لا من غيرها</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وجوب الإعانة على المولى إن وجبت عليه الزكاة فيها، و الاستحباب إن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أداء الزكاة واجب و لا شيء من إعانة المديون في وفاء دينه بواجب؛ للأصل، فيختصّ هذا الأمر بما لو وجبت الزكاة، و لأنّ المكاتب من أصناف المستحقّين فيكون الدفع إليه واجباً في الجملة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فلأصالة عدم الوجوب، مع ما فيه من التعاون على البرّ، و إعانة المحتاجين، و تخليص النفس من ذلّ الرقّيّة و حقوقها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وجوب الإيتاء من الزكاة إن وجبت، أو الحطّ عنه من مال الكتابة إن لم تجب، و اختصاص الحكم بالمولى؛ عملاً بظاهر الأمر المطلق المتعلّق بالمأمورين بالكتابة</w:t>
      </w:r>
      <w:r>
        <w:rPr>
          <w:rStyle w:val="FootnoteAnchor"/>
          <w:rtl w:val="true"/>
        </w:rPr>
        <w:footnoteReference w:id="1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يتخيّر في الثاني بين أن يعطيه، أو يحطّ عنه من النجوم شيئاً يطلق عليه اسم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على المكاتب القبول إن أعطاه من جنس مال الكتابة لا من غيره؛ عملاً بظاهر الآية</w:t>
      </w:r>
      <w:r>
        <w:rPr>
          <w:rStyle w:val="FootnoteAnchor"/>
          <w:rtl w:val="true"/>
        </w:rPr>
        <w:footnoteReference w:id="1781"/>
      </w:r>
      <w:r>
        <w:rPr>
          <w:rFonts w:ascii="Amiri" w:hAnsi="Amiri" w:eastAsia="Amiri" w:cs="Amiri"/>
          <w:color w:val="111111"/>
          <w:sz w:val="28"/>
          <w:sz w:val="28"/>
          <w:szCs w:val="28"/>
          <w:rtl w:val="true"/>
          <w:lang w:bidi="ar-SA"/>
        </w:rPr>
        <w:t>، فقد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به مال الكتابة</w:t>
      </w:r>
      <w:r>
        <w:rPr>
          <w:rStyle w:val="FootnoteAnchor"/>
          <w:rtl w:val="true"/>
        </w:rPr>
        <w:footnoteReference w:id="1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حطّ عنه كان إبراء لا يعتبر فيه القبول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اعتبرناه وجب كالجنس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عتق قبل الإيتاء ففي سقوط الوجوب قولان، من فوات محلّه و تعلّق الخطاب بالمكاتبين و قد زال الوصف، ومن كونه كالدين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في الدروس</w:t>
      </w:r>
      <w:r>
        <w:rPr>
          <w:rStyle w:val="FootnoteAnchor"/>
          <w:rtl w:val="true"/>
        </w:rPr>
        <w:footnoteReference w:id="1783"/>
      </w:r>
    </w:p>
    <w:p>
      <w:pPr>
        <w:pStyle w:val="BookText"/>
        <w:rPr/>
      </w:pPr>
      <w:r>
        <w:rPr>
          <w:rFonts w:ascii="Amiri" w:hAnsi="Amiri" w:eastAsia="Amiri" w:cs="Amiri"/>
          <w:color w:val="111111"/>
          <w:sz w:val="28"/>
          <w:sz w:val="28"/>
          <w:szCs w:val="28"/>
          <w:rtl w:val="true"/>
          <w:lang w:bidi="ar-SA"/>
        </w:rPr>
        <w:t>و لو دفع إليه من الزكاة و كان مشروطاً بعجزه ففي وجوب إخراج الزكاة لغيره، أو ردّها إلى دافعها وجهان، من تبيّن عدم الاستحقاق، وكونه طارئاً على الدفع الموجب للملك حال كونه قابلاً له، و براءة ذمّة الدافع حينئذٍ و عوده إلى المولى إحداث ملك لا إبطال لما سلف،</w:t>
      </w:r>
    </w:p>
    <w:p>
      <w:pPr>
        <w:pStyle w:val="BookText"/>
        <w:rPr/>
      </w:pPr>
      <w:r>
        <w:rPr>
          <w:rFonts w:ascii="Amiri" w:hAnsi="Amiri" w:eastAsia="Amiri" w:cs="Amiri"/>
          <w:color w:val="111111"/>
          <w:sz w:val="28"/>
          <w:sz w:val="28"/>
          <w:szCs w:val="28"/>
          <w:rtl w:val="true"/>
          <w:lang w:bidi="ar-SA"/>
        </w:rPr>
        <w:t>ومن ثَمَّ بقيت المعاملة السابقة بحالها وإن لم يرض بها المولى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يضعّف بمنع كونه إحداثاً، بل إعادته في الرقّ يقتضي نقض جميع ما سبق، و من ثَمّ عاد كسبه و أولاده ملكاً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بقاء المعاملة بسبب الإذن الضمنیّة بها في عقد المكاتبة، فإنّها تستلزم الإذن في التصرّف بالمعاملة و نحوها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وجوب صرفه على المستحقّين إن كانت منه، و إلّا أعادها على دافعها ليصرفها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من المندوبة لم تجب الإعادة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التاسعة • لو كان له مكاتبان فأدّى أحدهما و اشتبه صبر عليه لرجاء 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المولى استخرج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ادّعيا على المولى العلم كان القول قوله مع يمينه، ثم يقرع بينهما لاستخراج المكاتب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له مكاتبان فأدّى أحدهما و اشتبه صبر عليه لرجاء 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كاتب اثنين في صفقة أو صفقتين ثمّ أقرّ بأنّه استوفى نجوم أحدهما، أو أنّه أبرأ أحدهما عمّا عليه أُمر بالبيان، فإن قال نسيته أُمر بالتذكّر، و لايقرع بينهما ما دام حيّاً؛ لأنّ الإنسان قد يتذكّر ما نسي و يبين له ما اشتبه عليه، و ذلك أقرب إلى الحقّ من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بالقرعة مع اليأس من التذكّر أو طول الزمان جدّاً كان حسناً؛ لتحقّق الاشتباه و هي لكلّ أمر 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ادّعيا العلم على المولى فالقول قوله في نفيه؛ لأنّ ذلك لايعلم إلّا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بيّن أحدهما و ادّعى التذكّر قبل قوله بغير يمين إن صدّقه الآخر أو سكت، و إن كذّبه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استوفيت منّي أو أبرأتني فله تحليفه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يحلف هنا على البتّ لدعواه 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حلف بقيت كتابته إلى أن يؤدّي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نكل المولى حلف المكذّب و عتق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نكل عن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المتوجّهة عليه قبل التذكّر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العلم حلف مدّعي الدفع و 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ادّعى كلّ منهما ذلك ففي تحليفهما معاً و عتقهما وجهان، من أنّ ذلك هو مقتضى الدعوى، و من أنّ المعتق أحدهما خاصّةً فأحدهما كاذب في يمينه، لكنّ هذا حكم على ما في نفس الأمر فلايقدح فيما يثبت بظاهر الحكم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مات المولى قبل التذكّر تعيّنت القرعة لليأس منه، ولكن لو ادّعى أحدهما أو هما على الوارث العلم حلف على نفيه كالمورّث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أن يستوفي منهما و لا من أحدهما قبل القرعة و إن بذلا المال؛ لأنّ أحدهما برئ فأخذ المالين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القول في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بذلا مالاً آخر بقدر المتخلّف أو الأكثر على تقدير الاختلاف ففي انعتاقهما بذلك وجهان، من وصول مال الكتابة إليه بأجمعه، و من أنّ شرطه أداء المكاتب و جاز في كلّ منهما أن يكون ما أدّى 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يجعل بذلهما له و لو عيّن غير المؤدّي طريقاً إلى صحّة الأداء كما لو دفع المتبرّع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بيع مال الكتابة فإن أدّى المكاتب مال الكتابة انعتق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مشروطاً فعجز و فسخ المولى رجع رقّاً لمولاه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يظهر من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يقرع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ادّعيا على المولى العلم كان 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يقرع بينهما في حياة المولى، و هو مخالف لقوله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عليه لرجاء 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على تصريحه بانتفاء الرجاء، وهو بعيد، ولا إشعار للّفظ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الشيخ</w:t>
      </w:r>
      <w:r>
        <w:rPr>
          <w:rStyle w:val="FootnoteAnchor"/>
          <w:rtl w:val="true"/>
        </w:rPr>
        <w:footnoteReference w:id="1784"/>
      </w:r>
      <w:r>
        <w:rPr>
          <w:rFonts w:ascii="Amiri" w:hAnsi="Amiri" w:eastAsia="Amiri" w:cs="Amiri"/>
          <w:color w:val="111111"/>
          <w:sz w:val="28"/>
          <w:sz w:val="28"/>
          <w:szCs w:val="28"/>
          <w:rtl w:val="true"/>
          <w:lang w:bidi="ar-SA"/>
        </w:rPr>
        <w:t>و الجماعة</w:t>
      </w:r>
      <w:r>
        <w:rPr>
          <w:rStyle w:val="FootnoteAnchor"/>
          <w:rtl w:val="true"/>
        </w:rPr>
        <w:footnoteReference w:id="1785"/>
      </w:r>
      <w:r>
        <w:rPr>
          <w:rFonts w:ascii="Amiri" w:hAnsi="Amiri" w:eastAsia="Amiri" w:cs="Amiri"/>
          <w:color w:val="111111"/>
          <w:sz w:val="28"/>
          <w:sz w:val="28"/>
          <w:szCs w:val="28"/>
          <w:rtl w:val="true"/>
          <w:lang w:bidi="ar-SA"/>
        </w:rPr>
        <w:t>بعدم القرعة ما دام حيّاً ؛ لأنّ التذكّر مرجوّ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يحمل المولى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ادّعيا على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يشمل الوارث، و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مختصّاً بما بعد الموت مؤكّداً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 فالعبارة ليست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بيع مال الكتابة فإن أدّى المكاتب مال الكتابة انعتق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 جواز بيع مال الكتابة و نقله بغير البيع من سائر وجوه النقل؛ للأصل، خلافاً ، خلافاً للشيخ في المبسوط حيث منع منه؛ للنهي عن بيع ما لم يقبض</w:t>
      </w:r>
      <w:r>
        <w:rPr>
          <w:rStyle w:val="FootnoteAnchor"/>
          <w:rtl w:val="true"/>
        </w:rPr>
        <w:footnoteReference w:id="1786"/>
      </w:r>
      <w:r>
        <w:rPr>
          <w:rFonts w:ascii="Amiri" w:hAnsi="Amiri" w:eastAsia="Amiri" w:cs="Amiri"/>
          <w:color w:val="111111"/>
          <w:sz w:val="28"/>
          <w:sz w:val="28"/>
          <w:szCs w:val="28"/>
          <w:rtl w:val="true"/>
          <w:lang w:bidi="ar-SA"/>
        </w:rPr>
        <w:t>، و لأنّ النجوم لم تستقرّ ؛ لجواز تعجيز نفسه إمّا مطلقاً أو فى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جماعة من العامّة</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يضعّف بأنّ النهي تعلّق بما انتقل بالبيع لا بمطلق ما لم يقبض، حتّى أنّ العامّة رووا ذلك عن النبيّ صلّی الله علیه و آله و سلّم</w:t>
      </w:r>
      <w:r>
        <w:rPr>
          <w:rStyle w:val="FootnoteAnchor"/>
          <w:rtl w:val="true"/>
        </w:rPr>
        <w:footnoteReference w:id="1788"/>
      </w:r>
      <w:r>
        <w:rPr>
          <w:rFonts w:ascii="Amiri" w:hAnsi="Amiri" w:eastAsia="Amiri" w:cs="Amiri"/>
          <w:color w:val="111111"/>
          <w:sz w:val="28"/>
          <w:sz w:val="28"/>
          <w:szCs w:val="28"/>
          <w:rtl w:val="true"/>
          <w:lang w:bidi="ar-SA"/>
        </w:rPr>
        <w:t xml:space="preserve">، وإنّما قاس من عدّاه منهم على البيع، و لمّا كان القياس عندنا ممتنعاً اختصّ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بمورده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نمنع جواز تعجيز نفسه مطلقاً؛ لما تقدّم من اختيار لزومها</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وإذا صحّ البيع لزم المكاتب دفع المال إلى المشتري، فإن أدّاه إليه عُتق كما لو أدّاه إلى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يدفعه أجمع و كان مشروطاً فعجز و فسخ المولى رجع رقّاً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يبطل البيع ؟ يحتمله؛ لأنّ الفسخ يوجب رفع أثر الكتابة، و من ثَمّ رجع ولده رقّاً و تبعه كسبه؛ و العدم؛ لمصادفة الملك حال البيع فلايضرّه الفسخ الطارئ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بعدم الصحّة لايجوز للمكاتب تسليم النجوم إلى المشتري، و لا للمشتري مطالبته بها، و يحصل العتق بدفعها إلى السيّد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يحصل بتسليمها إلى المشتري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790"/>
      </w:r>
      <w:r>
        <w:rPr>
          <w:rFonts w:ascii="Amiri" w:hAnsi="Amiri" w:eastAsia="Amiri" w:cs="Amiri"/>
          <w:color w:val="111111"/>
          <w:sz w:val="28"/>
          <w:sz w:val="28"/>
          <w:szCs w:val="28"/>
          <w:rtl w:val="true"/>
          <w:lang w:bidi="ar-SA"/>
        </w:rPr>
        <w:t>لأنّ السيّد سلّطه على القبض، فهو كما لو وكّل بالقبض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الشيخ في المبسوط</w:t>
      </w:r>
      <w:r>
        <w:rPr>
          <w:rStyle w:val="FootnoteAnchor"/>
          <w:rtl w:val="true"/>
        </w:rPr>
        <w:footnoteReference w:id="1791"/>
      </w:r>
      <w:r>
        <w:rPr>
          <w:rFonts w:ascii="Amiri" w:hAnsi="Amiri" w:eastAsia="Amiri" w:cs="Amiri"/>
          <w:color w:val="111111"/>
          <w:sz w:val="28"/>
          <w:sz w:val="28"/>
          <w:szCs w:val="28"/>
          <w:rtl w:val="true"/>
          <w:lang w:bidi="ar-SA"/>
        </w:rPr>
        <w:t>،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لأنّه يقبض لنفسه حتّى لو تلف في يده يضمنه، بخلاف الوكيل فإنّه يقبض للموكّل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بعد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للمكاتب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وكيلاً و حصل العتق بقبضه، وإن اقتصر على البيع فلا؛لأنّه فاسد فلا عبرة بما يتضمّنه</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 بأنّه وإن صرّح بالإذن فإنّما يأذن بحكم المعاوضة لا أنّه يستنيبه</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القولان الأوّلان للعلّامة في التحرير في موضعين من الكتابة</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قلنا بعدم عتقه فالسيّد يطالب المكاتب و المكاتب يستردّ ما دفع إلى المشتري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بيع المشروط بعد عجزه مع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بيع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زوّج بنته من مكاتبه ثمّ مات فملكته انفسخ النكاح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سلّمه المشتري إلى البائع لم یصحّ؛ لأنّه قبضه بغير إذن المكاتب، فأشبه ما لو أخذه من ماله بغير إذنه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الصحّة؛ نظراً إلى تعيين المكاتب إيَّاه لمال الكتابة بالدفع، و قد تقدّم إطلاق جواز تصرّف المولى في مال المكاتب</w:t>
      </w:r>
      <w:r>
        <w:rPr>
          <w:rStyle w:val="FootnoteAnchor"/>
          <w:rtl w:val="true"/>
        </w:rPr>
        <w:footnoteReference w:id="1795"/>
      </w:r>
      <w:r>
        <w:rPr>
          <w:rFonts w:ascii="IRNazanin" w:hAnsi="IRNazanin" w:eastAsia="IRNazanin"/>
          <w:color w:val="111111"/>
          <w:sz w:val="28"/>
          <w:sz w:val="28"/>
          <w:szCs w:val="28"/>
          <w:rtl w:val="true"/>
          <w:lang w:bidi="fa-IR"/>
        </w:rPr>
        <w:t>بما يتعلّق بالاستيفاء فهنا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لمّا كان الحقّ تقييد ذلك المطلق لم یصحّ هنا وإن عيّنه المكاتب؛ لأنّ تعيينه مبنيّ على المعاوضة كتسليمه إلى المشتري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بيع المشروط بعد عجزه مع الفسخ و لايجوز بيع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بيع المشروط بعد العجز؛ لأنّ المولى يتسلّط على الفسخ فكان بيعه فسخاً، كما لو باع ذو الخيار أو باع المدبّر أو الموصى به أو نحو ذلك ممّا اشتمل على العقد الجائز، و لو تقدّم الفسخ البيع فالصحّة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المطلق فقد أطلق المصنّف و الجماعة</w:t>
      </w:r>
      <w:r>
        <w:rPr>
          <w:rStyle w:val="FootnoteAnchor"/>
          <w:rtl w:val="true"/>
        </w:rPr>
        <w:footnoteReference w:id="1796"/>
      </w:r>
      <w:r>
        <w:rPr>
          <w:rFonts w:ascii="Amiri" w:hAnsi="Amiri" w:eastAsia="Amiri" w:cs="Amiri"/>
          <w:color w:val="111111"/>
          <w:sz w:val="28"/>
          <w:sz w:val="28"/>
          <w:szCs w:val="28"/>
          <w:rtl w:val="true"/>
          <w:lang w:bidi="ar-SA"/>
        </w:rPr>
        <w:t>عدم صحّة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تقييده بما إذا لم يبلغ حدّاً يجوز للمولى فسخ كتابته، فلو عجز عن الأداء بعد حلول المال و لم يمكن الوفاء عنه من سهم الرقاب جاز بيعه، كما يجوز فسخها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بنته من مكاتبه ثمّ مات فملكته انفسخ النكاح بينهما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ذلك بين المكاتب المشروط و المطلق؛ لأنّ الكتابة لم تخرجه عن أصل الرقّيّة وإن أخرجته عنها على بعض الوجوه كما عرفته مراراً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اختلف السيّد و المكاتب في مال الكتابة أو في المدّة أو في النجوم، فالقول قول السيّد مع يمينه و 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منكر زيادة المال و المدّة كان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في ذلك ابن الجنيد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السيّد و ابنته تحت المكاتب الذي شرط عليه الرقّ عند عجزه منع من الوطء، و إن أدّى كانا على النكاح؛ لأنّها لم ترث من رقّیّته شيئاً، و إن عجز بطل النكاح، فإن كان ممّن يعتق بما أدّى بطل النكاح إذا حصل له أداء بعض الكتابة</w:t>
      </w:r>
      <w:r>
        <w:rPr>
          <w:rFonts w:eastAsia="IRNazanin" w:cs="IRNazanin"/>
          <w:color w:val="111111"/>
          <w:sz w:val="28"/>
          <w:szCs w:val="28"/>
          <w:rtl w:val="true"/>
          <w:lang w:bidi="fa-IR"/>
        </w:rPr>
        <w:t>»</w:t>
      </w:r>
      <w:r>
        <w:rPr>
          <w:rStyle w:val="FootnoteAnchor"/>
          <w:rtl w:val="true"/>
        </w:rPr>
        <w:footnoteReference w:id="1798"/>
      </w:r>
    </w:p>
    <w:p>
      <w:pPr>
        <w:pStyle w:val="BookText"/>
        <w:rPr/>
      </w:pPr>
      <w:r>
        <w:rPr>
          <w:rFonts w:ascii="Amiri" w:hAnsi="Amiri" w:eastAsia="Amiri" w:cs="Amiri"/>
          <w:color w:val="111111"/>
          <w:sz w:val="28"/>
          <w:sz w:val="28"/>
          <w:szCs w:val="28"/>
          <w:rtl w:val="true"/>
          <w:lang w:bidi="ar-SA"/>
        </w:rPr>
        <w:t>هذا كلامه، و ما اختاره المصنّف مذهب الشيخ</w:t>
      </w:r>
      <w:r>
        <w:rPr>
          <w:rStyle w:val="FootnoteAnchor"/>
          <w:rtl w:val="true"/>
        </w:rPr>
        <w:footnoteReference w:id="1799"/>
      </w:r>
      <w:r>
        <w:rPr>
          <w:rFonts w:ascii="Amiri" w:hAnsi="Amiri" w:eastAsia="Amiri" w:cs="Amiri"/>
          <w:color w:val="111111"/>
          <w:sz w:val="28"/>
          <w:sz w:val="28"/>
          <w:szCs w:val="28"/>
          <w:rtl w:val="true"/>
          <w:lang w:bidi="ar-SA"/>
        </w:rPr>
        <w:t>و الأكثر، و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لم تكن وارثةً، بأن تكون قاتلةً أو كافرةً و هو كافر، فإنّ النكاح بحاله، و لو كان مطلقاً و قد أدّى بعض المال فالحكم بحاله؛ لأنّ ملك الزوجة بعضه يوجب بطلان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السيّد و المكاتب في مال الكتابة أو في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باختلافهما في المال اختلافهما في قدره، بأن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كاتبتك على ألفين،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بالمدّة الأجل، بأن قال إلى سنة، فقال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إلى سنتين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بالنجوم أجزاء المدّة التي قسّط المال عليها و جعل لکلّ قسط أجلاً منها،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السنة التي هي الأجل المتّفق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نجوم كلّ نجم أربعة أشهر بحيث يحلّ في کلّ نجم ثلث المال، فقال المكاتب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جعلناها نجمين بحيث يحلّ في کلّ نصف سنة نصف المال، ونحو ذلك</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اختلافهما في عدد النجوم أو قدرها موجباً للاختلاف في أصل المدّة كان </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دفع مال الكتابة و حكم بحرّيّته فبان العوض معيباً، فإن رضى المولى فلا كلام، وإن ردّه بطل العتق المحكوم به؛ لأنّه مشروط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تجدّد في العوض عيب لم يمنع من الردّ بالعيب الأوّل مع أرش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و هو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راجعاً إلى النزاع في المدّة، بأن اتّفقا على أنّ الأجل نجمان، ولكن ادّعى المولى أنّ کلّ نجم شهر، و ادّعى المكاتب أنّ كلّ نجم شهران، أو اتّفقا على أنّ النجم شهر، ولكن اختلفا في قدر النجوم، فقال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نجمان، و ادّعى المكاتب أنّها ثلاثة، فهذا کلّه راجع إلى الاختلاف في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الحكم في الجميع واحد، و هو تقديم قول السيّد؛ لأصالة عدم الزائد</w:t>
      </w:r>
    </w:p>
    <w:p>
      <w:pPr>
        <w:pStyle w:val="BookText"/>
        <w:rPr/>
      </w:pPr>
      <w:r>
        <w:rPr>
          <w:rFonts w:ascii="Amiri" w:hAnsi="Amiri" w:eastAsia="Amiri" w:cs="Amiri"/>
          <w:color w:val="111111"/>
          <w:sz w:val="28"/>
          <w:sz w:val="28"/>
          <w:szCs w:val="28"/>
          <w:rtl w:val="true"/>
          <w:lang w:bidi="ar-SA"/>
        </w:rPr>
        <w:t>عمّا يعترف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تقديم قوله في قدر المال؛ فلأنّ المكاتب يدّعي العتق بما يدّعيه من المقدار، و المولى يُنكره و الأصل بقاء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يحصل الفرق بين الكتابة و البيع إذا اختلفا في مقدار الثمن أو المثمن، فإنّ الكتابة ليست معاوضةً حقيقةً؛ لأنّها معاملة على مال المولى بماله، و الأصل أن لايخرج ذلك عن ملكه إلّا برضاه؛ لأنّها أشبه بالتبرّع من شبهها بعقود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ما اختاره المصنّف و الأكثر من تقديم قول من يُنكر الزيادة في المال و المدّة؛ التفاتاً إلى الأصل الشهير، و لأنّ المولى باعترافه بأصل الكتابة و استحقاقه العتق خرج عن أصالة بقاء ملكه على المكاتب و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يدّعي زيادةً في ذمّة المكاتب، و هو ينكرها، فيكون قوله مقدّماً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دفع مال الكتابة و حكم بحرّيّته فبان العوض معيباً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تقرّر أنّ العوض في الكتابة لايكون إلّا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مستحقّ الدين في ذمّة الغير إذا استوفاه فلم يجده على الصفة المشروطة فله ردّه وطلب ما يستحقّه، و لايرتفع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المقبوض من غير جنس حقّه لم يملكه، إلّا أن يعتاض من حيث يجوز الاعتياض</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اطّلع على عيب نظر، إن رضي به فهل يملكه بالرضى، أو بالقبض وإنّما تأكّد الملك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بالرضى؟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ردّه فهل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 بالقبض ثم انتقل الملك بالردّ،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 تبيّن أنّه لم يملكه ؟ فيه قولان</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قاعدة كلّيّة حقّقناها في باب الصرف و يبنى عليها مسائل قد سبقت</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عقد الصرف إذا ورد على موصوف في الذمّة و جرى التقابض و تفرّقا ثم وجد أحدهما بما قبض عيباً و ردّه، فإن قلنا إنّه ملك بالقبض صحّ العقد، وإن قلنا تبيّن أنّه لم يملك فالعقد فاسد؛ لأنّهما تفرّقا قبل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في جارية و قبض جاريته فوجد بها عيباً فردّها فهل على المسلم إليه استبراؤها؟ يبنى على هذا الخلاف فإن قلنا إنّه يملك بالقبض وجب الاستبراء؛ لأنّها رجعت إليه بملك جديد، وإن قلنا بعدم الملك فلا استبراء؛ لبقائها على الملك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فإذا وجد السيّد ببعض النجوم المقبوضة أو جميعها عيباً فله الخيار بين أن يرضى به، و بين أن يردّه و يطلب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العيب اليسير و الفاحش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رضي به فالعتق نافذ لا محالة، و يجعل رضاه بالمعيب كالإبراء عن بعض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يحصل العتق عند الرضى، أو حصل من وقت القبض؟ وجهان، أشبههما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الردّ و الاستبدال فإن قلنا تبيّن بالردّ أنّ الملك لم يحصل بالقبض فالعتق غير</w:t>
      </w:r>
    </w:p>
    <w:p>
      <w:pPr>
        <w:pStyle w:val="BookText"/>
        <w:rPr/>
      </w:pPr>
      <w:r>
        <w:rPr>
          <w:rFonts w:ascii="Amiri" w:hAnsi="Amiri" w:eastAsia="Amiri" w:cs="Amiri"/>
          <w:color w:val="111111"/>
          <w:sz w:val="28"/>
          <w:sz w:val="28"/>
          <w:szCs w:val="28"/>
          <w:rtl w:val="true"/>
          <w:lang w:bidi="ar-SA"/>
        </w:rPr>
        <w:t>حاصل، فإن أدّى على الصفة المستحقّة بعد ذلك فحينئذٍ حصل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يحصل الملك في المقبوض و بالردّ يرتفع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العتق كان حاصلاً إلّا أنّه كان بصفة الجواز، فإذا ردّ العوض ارتدّ</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تبيّن أنّ العتق لم يحصل؛ إذ العتق ليس من التصرّفات التي يتطرّق النقض إليها، فلو حصل لما ارتفع، و لايثبت العتق بصفة اللزوم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على المكاتب ديون مع مال الكتابة، فإن كان ما في يده يقوم بالجميع فلا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عجز و كان مطلقاً تحاصّ فيه الديّان و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مشروطاً قدّم الدين؛ لأنّ في تقديمه حفظاً للحقّين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و كان مشروطاً بطلت الكتابة و دفع ما في يده في الديون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قصر قسّم بين الديّان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لايضمنه المولى؛ لأنّ الدين تعلّق بذلك المال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طلب الأرش مع الرضى بالمعيب فله ذلك، و تبيّن حينئذٍ أنّه لم يقبض كمال النجوم، فإذا أدّاه حصل كمال العتق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عجز عنه و كانت مشروطةً فللسيّد استرقاقه، كما لو</w:t>
      </w:r>
    </w:p>
    <w:p>
      <w:pPr>
        <w:pStyle w:val="BookText"/>
        <w:rPr/>
      </w:pPr>
      <w:r>
        <w:rPr>
          <w:rFonts w:ascii="IRNazanin" w:hAnsi="IRNazanin" w:eastAsia="IRNazanin"/>
          <w:color w:val="111111"/>
          <w:sz w:val="28"/>
          <w:sz w:val="28"/>
          <w:szCs w:val="28"/>
          <w:rtl w:val="true"/>
          <w:lang w:bidi="fa-IR"/>
        </w:rPr>
        <w:t>عجز عن بعض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تجدّد عيب في العوض الذي ظهر معيباً لم يمنع العيب الحادث في يد المولى الردّ بالعيب الأوّل مع أرش الحادث؛ لاستحقاقه الردّ أوّلاً فيستصحب، و العيب الحادث یجبر بالأرش، و لأنّها ليست معاوضةً حقيقةً؛ لأنّها معاوضة على مال المالك بماله، فليس لها حكم المعاوضات اللازمة؛ و لهذا إذا مات المكاتب أو عجز كان للمالك أخذ الكسب بلا 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العيب الحادث الردّ</w:t>
      </w:r>
      <w:r>
        <w:rPr>
          <w:rStyle w:val="FootnoteAnchor"/>
          <w:rtl w:val="true"/>
        </w:rPr>
        <w:footnoteReference w:id="1802"/>
      </w:r>
      <w:r>
        <w:rPr>
          <w:rFonts w:ascii="Amiri" w:hAnsi="Amiri" w:eastAsia="Amiri" w:cs="Amiri"/>
          <w:color w:val="111111"/>
          <w:sz w:val="28"/>
          <w:sz w:val="28"/>
          <w:szCs w:val="28"/>
          <w:rtl w:val="true"/>
          <w:lang w:bidi="ar-SA"/>
        </w:rPr>
        <w:t>لأنّها معاوضة كالبيع، وهو بعيد؛ لما ذكرناه من خروجها عن حكم المعاوضات المحضة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اجتمع على المكاتب ديون مع مال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بذلك المال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على المكاتب ديون غير مال الكتابة، فإمّا أن يكون للمولى أو لغيره أو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إمّا أن يفي ما في يده بها أو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إمّا أن يكون مطلقاً أو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باختلاف هذه الصور الاثني عشر تختلف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الدين للمولى بأن كان له مع النجوم دين معاملة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المكاتب أو أرش جناية عليه أو على ماله، فإن وفى ما في يده بها فلا بحث، و إلّا فإن تراضيا على تقديم الدين الآخر و تأخير النجوم فذاك، و إن تراضيا على تقديم النجوم عتق، ثمّ لا يسقط الدين الآخر فللسيّد مطالبته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ما في يده وافياً بالنجوم و لم يف بها و بالدين الآخر، فإن أدّاها عن النجوم برضى السيّد فالحكم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للسيّد أن يمنعه من تقديم النجوم؛ لأنّه لايجد مرجعاً للدين، وإذا تقدّمت النجوم عتق، فيأخذ ما في يده عن الدين الآخر ثمّ يعجّزه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له تعجيزه قبل أخذ ما في يده؟ وجهان،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قادر على أداء النجوم، فما لم تخل يده عنها لايحصل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يتمكّن من مطالبته بالدينين معاً و أخذ ما في يده عنهما،و حينئذٍ فيعجز عن قسط من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دفع المكاتب ما في يده و لم يتعرّضا للجهة،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النجوم، و أنكر السيّد فالمصدّق المكاتب؛ لأنّه أعرف بقصده، كما لو كان عليه دينان بأحدهما رهن و أدّى أحدهما و ادّعى إرادة دين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الديون لغير المولى أو لهما و لم يف ما في يده بها، فإن لم يحجر عليه بعد لعدم التماس الغرماء فله تقديم ما شاء من النجوم و غيرها، كالحرّ المعسر يقدّم ما شاء من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الأولى أن يقدّم دين المعاملة، فإن فضل شيء جعله في الأرش، فإن فضل شيء جعله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سيظهر وجه هذا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حجر الحاكم عليه تولّى قسمة 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كيفيّة القسمة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ظاهر اختيار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 على إقدار الديون من غير أن يقدّم بعضها على بعض؛ لأنّ جميع الديون متعلّق بما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أنّ ما انفرد منها يقسّمه على إقدار</w:t>
      </w:r>
    </w:p>
    <w:p>
      <w:pPr>
        <w:pStyle w:val="BookText"/>
        <w:rPr/>
      </w:pPr>
      <w:r>
        <w:rPr>
          <w:rFonts w:ascii="Amiri" w:hAnsi="Amiri" w:eastAsia="Amiri" w:cs="Amiri"/>
          <w:color w:val="111111"/>
          <w:sz w:val="28"/>
          <w:sz w:val="28"/>
          <w:szCs w:val="28"/>
          <w:rtl w:val="true"/>
          <w:lang w:bidi="ar-SA"/>
        </w:rPr>
        <w:t>الديون</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أجودهما أنّه يقدّم دين المعاملة؛ لأنّه يتعلّق بما في يده لا غير، و لأرش الجناية متعلّق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و هو الرقبة، و كذلك حقّ السيّد بتقدير العجز يعود إلى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يقدّم أرش الجناية على النجوم؛ لأنّ الأرش مستقرّ و النجوم عرضة للسقوط إمّا باختيار المكاتب أو مع عجزه، و لأنّ حقّ المجنيّ عليه مقدّم على حقّ المالك في القنّ فكذا المكاتب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مشروطاً قدّم الدين على النجوم؛ لأنّ في تقديمه 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للمولى معهم دين معاملة ففي مساواته لمال الكتابة أو لدين الأجانب وجهان، أظهرهما الثاني؛ لأنّه إذا سقط لم يكن له بدل كديون الغرماء، بخلاف دين النجوم، فإنّه إذا سقط عاد المولى إلى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الأوّل أنّ ديون السيّد ضعيفة؛ لأنّها عرضة للسقوط بالتعجيز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في التسوية بين الديون أو تقديم دين المعاملة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المكاتب قبل أن يقسّم ما في يده و كان مشروطاً انفسخت الكتابة و سقطت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سقوط دين أرش الجناية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الشيخ</w:t>
      </w:r>
      <w:r>
        <w:rPr>
          <w:rStyle w:val="FootnoteAnchor"/>
          <w:rtl w:val="true"/>
        </w:rPr>
        <w:footnoteReference w:id="1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أيضاً؛ لأنّه يتعلّق بالرقبة و قد تلفت، و تعلّقها بما في يده بحكم الكتابة، فإذا بطلت الكتابة بطل ذلك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يتعيّن صرف ما خلّفه إلى ديون المعاملات</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يتعلّق بالمال؛ استصحاباً لحالة الكتابة، و لفوات المحلّ، مع كونه أقوى من دين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فإن سوّينا بينهما في صورة التعجيز فهنا أولى، وإن قلنا بالترتيب احتمل بقاؤه؛ استصحاباً لما كان في حال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التسوية؛ لأنّ الدينين متعلّقان بما خلّفه، و تأخّر الأرش في الحياة كان لتوقّع توفيره و قد بطل ذلك التوقّع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 لايضمن المولى ما فات من الدين؛ لأنّ تعلّقه بمال المكاتب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يكاتب بعض عبده إذا كان الباقى حرّاً أو رقّاً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الباقي رقّاً لغيره فأذن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يأذن بطلت الكتابة؛ لأنّها تتضمّن ضرر الشريك، و لأنّ الكتابة ثمرتها الاكتساب، و مع الشركة لايتمكّن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على تقدير التحاصّ فى ماله حيّاً و بقاء النجوم أو بعضها فللسيّد تعجيزه إن كان مشروطاً أو مطلقاً مع اليأس من الوفاء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بقيت الأروش أو بعضها فلمستحقّ الأرش تعجيزه أيضاً لتباع رقبته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لايعجزه بنفسه ؛ لأنّه لم يعقد حتى يفسخ ، ولكن يرفع أمره إلى الحاكم حتّى يعجّزه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المولى أن يفديه و تبقى الكتابة، ففى وجوب القبول وجهان، من أنّه رقيق المولى في الجملة و له غرض في إتمام انعتاقه و في استيفائه لنفسه إن لم يتمّ فيمكن من الفداء، و من أنّ المولى إنّما يفدي إذا تعلّق الأرش بالرقبة و هذا لايتحقّق ما دامت الكتابة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صاحب دين المعاملة فليس له التعجيز؛ لأنّ حقّه لايتعلّق بالرقبة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يكاتب بعض عبده إذا كان الباقي حرّاً أو رقّاً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الباقي رقّاً لغيره فأذن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كاتب بعض العبد فإمّا أن يكون باقيه حرّاً، و لا إشكال في صحّة الكتابة؛ لأنّها استغرقت الرقيق منه فأفادته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باقيه أو بعض الباقي رقيقاً، فالقدر الرقيق إمّا أن يكون له أو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 فالمصنّف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الشيخ في الخلاف</w:t>
      </w:r>
      <w:r>
        <w:rPr>
          <w:rStyle w:val="FootnoteAnchor"/>
          <w:rtl w:val="true"/>
        </w:rPr>
        <w:footnoteReference w:id="1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الجواز؛ للأصل، و عموم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r>
        <w:rPr>
          <w:rStyle w:val="FootnoteAnchor"/>
          <w:rtl w:val="true"/>
        </w:rPr>
        <w:footnoteReference w:id="1805"/>
      </w:r>
      <w:r>
        <w:rPr>
          <w:rFonts w:ascii="Amiri" w:hAnsi="Amiri" w:eastAsia="Amiri" w:cs="Amiri"/>
          <w:color w:val="111111"/>
          <w:sz w:val="28"/>
          <w:sz w:val="28"/>
          <w:szCs w:val="28"/>
          <w:rtl w:val="true"/>
          <w:lang w:bidi="ar-SA"/>
        </w:rPr>
        <w:t xml:space="preserve">و 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 نصيبه و عتقه جائزان و الكتابة لاتنفكّ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الشيخ في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لایصحّ</w:t>
      </w:r>
      <w:r>
        <w:rPr>
          <w:rStyle w:val="FootnoteAnchor"/>
          <w:rtl w:val="true"/>
        </w:rPr>
        <w:footnoteReference w:id="1806"/>
      </w:r>
      <w:r>
        <w:rPr>
          <w:rFonts w:ascii="Amiri" w:hAnsi="Amiri" w:eastAsia="Amiri" w:cs="Amiri"/>
          <w:color w:val="111111"/>
          <w:sz w:val="28"/>
          <w:sz w:val="28"/>
          <w:szCs w:val="28"/>
          <w:rtl w:val="true"/>
          <w:lang w:bidi="ar-SA"/>
        </w:rPr>
        <w:t>لأنّ الكتابة يلزمها رفع الحجر عن المكاتب في جهات الاكتساب و ما يتوقّف عليه كالسفر، و ينفرد بما يدفع إليه من سهم المكاتبين من الزكاة، و هو غير ممكن هنا؛ لتوقّف السفر و التكسّب على إذن السيّد، و يشاركه فيما يدفع إليه من سهم المكاتبين من الزكاة؛ لأنّه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w:t>
      </w:r>
      <w:r>
        <w:rPr>
          <w:rStyle w:val="FootnoteAnchor"/>
          <w:rtl w:val="true"/>
        </w:rPr>
        <w:footnoteReference w:id="1807"/>
      </w:r>
      <w:r>
        <w:rPr>
          <w:rFonts w:ascii="Amiri" w:hAnsi="Amiri" w:eastAsia="Amiri" w:cs="Amiri"/>
          <w:color w:val="111111"/>
          <w:sz w:val="28"/>
          <w:sz w:val="28"/>
          <w:szCs w:val="28"/>
          <w:rtl w:val="true"/>
          <w:lang w:bidi="ar-SA"/>
        </w:rPr>
        <w:t>بأنّ المنع من السفر و الاكتساب يرتفع بالمهايأة كارتفاعه عن الشريكين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 مشاركته في سهم المكاتبين من الزكاة؛ لأنّه إنّما يدفع لجهة الكتابة، و لأنّه لايملك النصيب بل يدفعه في كتابته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كان الباقي لغيره فإن لم يأذن الشريك لم یصحّ؛ لعدم الاستقلال، و لأنّ نصيب الشريك يتبعّض فيتضرّر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بإذنه ففي الصحّة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جزم به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لأنّه يستقلّ في البعض المكاتب عليه و إذا جاز إفراد البعض بالإعتاق جاز إفراده بالعقد المفضي إلى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لما تقدّم من أنّ الشريك يمنعه من التردّد و المسافرة و لايمكن صرف سهم المكاتبين إليه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الجواز و إن لم يأذن، بتقريب ما سلف حجّة و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القولان للشيخ في الخلاف</w:t>
      </w:r>
      <w:r>
        <w:rPr>
          <w:rStyle w:val="FootnoteAnchor"/>
          <w:rtl w:val="true"/>
        </w:rPr>
        <w:footnoteReference w:id="1808"/>
      </w:r>
      <w:r>
        <w:rPr>
          <w:rFonts w:ascii="IRNazanin" w:hAnsi="IRNazanin" w:eastAsia="IRNazanin"/>
          <w:color w:val="111111"/>
          <w:sz w:val="28"/>
          <w:sz w:val="28"/>
          <w:szCs w:val="28"/>
          <w:rtl w:val="true"/>
          <w:lang w:bidi="fa-IR"/>
        </w:rPr>
        <w:t>و المبسوط</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 xml:space="preserve">. </w:t>
      </w:r>
      <w:bookmarkStart w:id="540" w:name="pg10270_80537"/>
    </w:p>
    <w:p>
      <w:pPr>
        <w:pStyle w:val="Heading4"/>
        <w:numPr>
          <w:ilvl w:val="3"/>
          <w:numId w:val="1"/>
        </w:numPr>
        <w:rPr/>
      </w:pPr>
      <w:bookmarkStart w:id="541" w:name="__RefHeading___Toc3860364_1067777946"/>
      <w:bookmarkStart w:id="542" w:name="_Toc196"/>
      <w:bookmarkEnd w:id="540"/>
      <w:bookmarkEnd w:id="541"/>
      <w:r>
        <w:rPr>
          <w:rtl w:val="true"/>
        </w:rPr>
        <w:t>اللواحق</w:t>
      </w:r>
      <w:bookmarkEnd w:id="542"/>
    </w:p>
    <w:p>
      <w:pPr>
        <w:pStyle w:val="Heading5"/>
        <w:numPr>
          <w:ilvl w:val="4"/>
          <w:numId w:val="1"/>
        </w:numPr>
        <w:rPr/>
      </w:pPr>
      <w:bookmarkStart w:id="543" w:name="__RefHeading___Toc3860366_1067777946"/>
      <w:bookmarkStart w:id="544" w:name="_Toc197"/>
      <w:bookmarkEnd w:id="543"/>
      <w:r>
        <w:rPr>
          <w:rtl w:val="true"/>
        </w:rPr>
        <w:t>اشارة</w:t>
      </w:r>
      <w:bookmarkEnd w:id="544"/>
    </w:p>
    <w:p>
      <w:pPr>
        <w:pStyle w:val="BookText"/>
        <w:rPr/>
      </w:pPr>
      <w:r>
        <w:rPr>
          <w:rFonts w:ascii="IRNazanin" w:hAnsi="IRNazanin" w:eastAsia="IRNazanin"/>
          <w:color w:val="111111"/>
          <w:sz w:val="28"/>
          <w:sz w:val="28"/>
          <w:szCs w:val="28"/>
          <w:rtl w:val="true"/>
          <w:lang w:bidi="fa-IR"/>
        </w:rPr>
        <w:t>و أما اللواحق</w:t>
      </w:r>
    </w:p>
    <w:p>
      <w:pPr>
        <w:pStyle w:val="BookText"/>
        <w:rPr/>
      </w:pPr>
      <w:r>
        <w:rPr>
          <w:rFonts w:ascii="IRNazanin" w:hAnsi="IRNazanin" w:eastAsia="IRNazanin"/>
          <w:color w:val="111111"/>
          <w:sz w:val="28"/>
          <w:sz w:val="28"/>
          <w:szCs w:val="28"/>
          <w:rtl w:val="true"/>
          <w:lang w:bidi="fa-IR"/>
        </w:rPr>
        <w:t>فتشتمل على مقاصد</w:t>
      </w:r>
      <w:r>
        <w:rPr>
          <w:rFonts w:eastAsia="IRNazanin" w:cs="IRNazanin"/>
          <w:color w:val="111111"/>
          <w:sz w:val="28"/>
          <w:szCs w:val="28"/>
          <w:rtl w:val="true"/>
          <w:lang w:bidi="fa-IR"/>
        </w:rPr>
        <w:t>:</w:t>
      </w:r>
    </w:p>
    <w:p>
      <w:pPr>
        <w:pStyle w:val="Heading5"/>
        <w:numPr>
          <w:ilvl w:val="4"/>
          <w:numId w:val="1"/>
        </w:numPr>
        <w:rPr/>
      </w:pPr>
      <w:bookmarkStart w:id="545" w:name="__RefHeading___Toc3860368_1067777946"/>
      <w:bookmarkStart w:id="546" w:name="_Toc198"/>
      <w:bookmarkEnd w:id="545"/>
      <w:r>
        <w:rPr>
          <w:rtl w:val="true"/>
        </w:rPr>
        <w:t>المقصد الأوّل في لواحق تصرّفاته</w:t>
      </w:r>
      <w:bookmarkEnd w:id="546"/>
    </w:p>
    <w:p>
      <w:pPr>
        <w:pStyle w:val="BookText"/>
        <w:rPr/>
      </w:pPr>
      <w:r>
        <w:rPr>
          <w:rFonts w:ascii="IRNazanin" w:hAnsi="IRNazanin" w:eastAsia="IRNazanin"/>
          <w:color w:val="111111"/>
          <w:sz w:val="28"/>
          <w:sz w:val="28"/>
          <w:szCs w:val="28"/>
          <w:rtl w:val="true"/>
          <w:lang w:bidi="fa-IR"/>
        </w:rPr>
        <w:t xml:space="preserve">و قد بيّنا أنّه لايجوز أن يتصرّف بما ينافي الاكتساب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هبة أو محاباة أو إقراض أو إعتاق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بإذن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 یصحّ أن يهب من الأجنبي بإذن المولى، فكذا هبته لمولاه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نريد ان نلحق هنا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من الكتابة تحصيل العتق، و إنّما يتمّ بإطلاق التصرّف في وجوه الاكتساب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أن يبيع من مولاه و من غيره، و أن يشتري منه و من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يتوخّى ما فيه الغبطة في معاوضاته فيبيع بالحالّ لا بالمؤجّل، إلّا أن يسمح المشتري بزيادة عن الثمن، فيعجّل مقدار الثمن و يؤخّر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هو فإذا ابتاع بالدين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إن استسلف و ليس له أن يرهن؛ لأنّه لا حظّ له، و ربما تلف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ليس له أن يدفع قراضاً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الكتابة تحصيل العتق، و إنّما يتمّ بإطلاق التصرّف في وجوه الاكتساب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فیصحّ أن يبيع من مولاه و 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المكاتب كالحرّ في معظم التصرّفات، فيبيع و يشتري و يؤجر و يستأجر، و يأخذ بالشفعة، و يقبل الهبة و الصدقة، و يصطاد و يحتطب، و يؤدّب عبيده إصلاحاً للمال، كما يفصدهم</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يحتقنهم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لیصحّ منه التصرّفات التي فيها تبرّع أو خطر؛ لأنّ المقصود تحصيل العتق فيحتاط له، و لأنّ حقّ السيّد غير منقطع عمّا في يده، فإنّه قد يعجز فيعود إلى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القول الجملي</w:t>
      </w:r>
      <w:r>
        <w:rPr>
          <w:rStyle w:val="FootnoteAnchor"/>
          <w:rtl w:val="true"/>
        </w:rPr>
        <w:footnoteReference w:id="1810"/>
      </w:r>
      <w:r>
        <w:rPr>
          <w:rFonts w:ascii="Amiri" w:hAnsi="Amiri" w:eastAsia="Amiri" w:cs="Amiri"/>
          <w:color w:val="111111"/>
          <w:sz w:val="28"/>
          <w:sz w:val="28"/>
          <w:szCs w:val="28"/>
          <w:rtl w:val="true"/>
          <w:lang w:bidi="ar-SA"/>
        </w:rPr>
        <w:t>، وفي التفصيل صور قد تقدّم منها حكم بيعه و عتقه و هبته و إقراضه، و ما تقرّر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البيع و الشراء بين وقوعهما مع سيّده و أجنبي؛ لاشتراكهما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الواجب عليه تحرّي ما فيه الغبطة و مظنّة الاكتساب فعليه أن يبيع بالحالّ لا بالمؤجّل؛ لأنّ إخراج المال عن اليد بلا عوض في الحال تبرّع و مشتمل على خطر، سواء باع بمثل قيمته أم أكثر، و سواء استوثق بالرهن و الكفيل أم لا؛ لأنّ الكفيل قد يفلس و الرهن قد يتلف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أن يبيع ما يساوي مائة بمائة نقداً و بمائة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يشتري نسيئةً بثمن النقد و لايرهن به، فإنّه قد يتلف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اشتراه بثمن النسيئة ففي جوازه وجهان، من اشتماله على التبرّع، ومن عدم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فرّقوا بين المكاتب و بين الوليّ حيث يبيع مال الطفل نسيئةً و يرتهن للحاجة أو المصلحة الظاهرة، فإنّ المراعى هناك مصلحة الطفل و الوليّ منصوب لينظر له، و ها هنا المطلوب العتق و المرعيّ مصلحة السيّد، و المكاتب غير منصوب لينظر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 بمساواته للوليّ في مراعاة المصلحة، خصوصاً مع دعاء الضرورة إلى البيع</w:t>
      </w:r>
    </w:p>
    <w:p>
      <w:pPr>
        <w:pStyle w:val="BookText"/>
        <w:rPr/>
      </w:pPr>
      <w:r>
        <w:rPr>
          <w:rFonts w:ascii="Amiri" w:hAnsi="Amiri" w:eastAsia="Amiri" w:cs="Amiri"/>
          <w:color w:val="111111"/>
          <w:sz w:val="28"/>
          <w:sz w:val="28"/>
          <w:szCs w:val="28"/>
          <w:rtl w:val="true"/>
          <w:lang w:bidi="ar-SA"/>
        </w:rPr>
        <w:t>و الرهن كما في وقت النهب؛ لما فيه من حفظ المال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باع أو اشترى لم يسلّم ما في يده حتّى يتسلّم العوض؛ لأنّ رفع اليد عن المال بلا عوض لايخلو عن غرر؛ و لذلك ليس له السلم؛ لأنّ مقتضاه تسليم رأس المال في المجلس و انتظار المسلم فيه، سيّما إذا كان الثمن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دفع المال قراضاً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أن يأخذه لأنّه نوع تكسّب </w:t>
      </w:r>
    </w:p>
    <w:p>
      <w:pPr>
        <w:pStyle w:val="BookText"/>
        <w:rPr/>
      </w:pPr>
      <w:r>
        <w:rPr>
          <w:rFonts w:ascii="IRNazanin" w:hAnsi="IRNazanin" w:eastAsia="IRNazanin"/>
          <w:color w:val="111111"/>
          <w:sz w:val="28"/>
          <w:sz w:val="28"/>
          <w:szCs w:val="28"/>
          <w:rtl w:val="true"/>
          <w:lang w:bidi="fa-IR"/>
        </w:rPr>
        <w:t>الثانیّة • إذا كان للمكاتب على مولاه مال و حلّ نجم، فإن كان المالان متساويين جنساً و وصفاً تهاترا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فضل لأحدهما رجع صاحب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كانا مختلفين لم يحصل التقاصّ إلّا برضاهما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حكم كلّ غريمين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تراضيا كفى ذلك و لو لم يقبض الذي له ثمّ يعيده عوضاً، سواء كان المال أثماناً أو أعواضاً، و فيه قول آخر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للمكاتب على مولاه مال و حلّ نجم، فإن كان المالان متساويين جنساً و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المولى في معاملة المكاتب كالأجنبي مع الأجنبي في الأحكام، فإذا ثبت للمكاتب دين على مولاه عن معاملة، و كان للمولى عليه النجوم أو دين معاملة، ففي التقاصّ تفصيل و اختلاف لايختصّ بالمولى و المكاتب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جملة القول فيه أنّه إذا ثبت لشخص على آخر دين، و للآخر دين على الأوّل، فإن اتّحد الجنس و الصفة فالمقاصّة قهريّة، سواء كانا نقدين أو عرضين مثليّين، و إن اختلف الجنس أو الوصف و لو بالحلول و التأجيل أو اختلاف الأجل أو كانا قيمیّين اعتبر التراضي، و لايفتقر معه إلى قبضهما و لا إلى قبض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لو كان أحدهما نقداً و الآخر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التفصيل الذي أشار إليه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في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الدينين إن كانا نقدين قبض أحدهما و دفعه عن الآخر، وإن كانا عرضين فلا بدّ من قبضهما، وإن كان أحدهما نقداً فقبض العرض ثمّ دفعه عن النقد جاز، دون العكس</w:t>
      </w:r>
      <w:r>
        <w:rPr>
          <w:rFonts w:eastAsia="IRNazanin" w:cs="IRNazanin"/>
          <w:color w:val="111111"/>
          <w:sz w:val="28"/>
          <w:szCs w:val="28"/>
          <w:rtl w:val="true"/>
          <w:lang w:bidi="fa-IR"/>
        </w:rPr>
        <w:t>»</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الشيخ يجعل المقاصّة بيعاً، فيلحقها أحكامه من بيع الدين بالدين، و بيع العرض قبل القبض و غيرهما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الثالثة • إذا اشترى أباه بغير إذن مولاه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أذن له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لو أُوصي له به و لم يكن في قبوله ضرر، بأن يكون مكتسباً يستغني بكسبه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قبله فإن أدّى مال الكتابة عتق المكاتب و عتق الآخر مع عتقه، و إن عجز ففسخ المولى استرقّهما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استرقاق الأب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اشترى أباه بغير إذن مولاه لم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استرقاق الأب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كان تصرّف المكاتب مشروطاً بالغبطة و ما فيه الاكتساب لم یصحّ أن يشتري من ينعتق عليه من أب و ابن و غيرهما بغير إذن المولى؛ لما فيه من تفويت المال بالعتق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قيل بالجواز؛ لأنّه اشترى مملوكاً لا ضرر على المولى في شرائه</w:t>
      </w:r>
      <w:r>
        <w:rPr>
          <w:rStyle w:val="FootnoteAnchor"/>
          <w:rtl w:val="true"/>
        </w:rPr>
        <w:footnoteReference w:id="1812"/>
      </w:r>
      <w:r>
        <w:rPr>
          <w:rFonts w:ascii="Amiri" w:hAnsi="Amiri" w:eastAsia="Amiri" w:cs="Amiri"/>
          <w:color w:val="111111"/>
          <w:sz w:val="28"/>
          <w:sz w:val="28"/>
          <w:szCs w:val="28"/>
          <w:rtl w:val="true"/>
          <w:lang w:bidi="ar-SA"/>
        </w:rPr>
        <w:t>و لهذا كان كسبه له، وإن عاد المكاتب في الرقّ عاد المملوك المشترى كالأجنبي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 لأنّ صرف المال في ثمنه مع عدم جواز بيعه و التكسّب به غير سائغ له وإن لم يعتق في الحال</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وهب منه أو أوصى له به فإن لم يقدر على التكسّب لصغر أو زمانة و عجز و كان يلزمه نفقته لم يجزئ له قبوله؛ لأنّ نفقته تلزم المكاتب من حيث هو مملوكه وإن لم تجب عليه نفقة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كسوباً يقوم بكفاية نفسه جاز قبوله، بل ربما استحبّ؛ لأنّه لا ضرر عليه في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لايعتق عليه، لأنّ ملكه ضعيف، و إنّما يعتق بعتقه و يرقّ برقّه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نفقته في كسبه، فإن فضل منه فضل كان للمكاتب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يستعين به في أداء النجوم؛ لأنّه بمنزلة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مرض أو عجز أنفق المكاتب عليه؛ لأنّه من صلاح ملكه، وليس هذا كالإنفاق على أقاربه الأحرار حيث يمنع منه، لأنّ ذلك مبنيّ على المواساة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جنى عبد المكاتب لم يكن له أن يفتكّه بالأرش، إلّا أن يكون فيه الغبطة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المملوك أب المكاتب لم يكن له افتكاكه بالأرش و لو قصر عن قيمة الأب؛ لأنّه يتعجّل بإتلاف مال له التصرّف فيه، و يستبقى ما لاينتفع به؛ لأنّه لايتصرّف في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استرقاق القريب إذا استرقّ المكاتب، و وجه التردّد ما ذكرناه، و من تشبّثه بالحرّيّة بجريانه في ملك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غيره في المسألة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القطع بتبعيّته له في الاسترقاق و الانعتاق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جنى عبد المكاتب لم يكن له أن يفتكّه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يتحقّق الغبطة بقصور الأرش عن قيمته فيفضل له ما ينتفع به، و كذا لو استغرقت قیمته، ولكن كانت عينه تشتمل على منفعة تعود على المكاتب في ماليّته بكسب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الفرق بين قريبه و عبده حيث جاز فداء العبد دونه أنّ الرقبة تبقى له فيصرفها في النجوم بخلاف القريب، فإنّ ما يفكّه به محض إتلاف معجّل للمال في مقابلة ما لاينتفع بماليّته؛ لأنّه لايجوز له التصرّف في رقبته ببيع و لا غيره، بل أمره موقوف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تردّد في جواز فكّه و وجه التردّد ممّا ذكرناه، و من إمكان الاستعانة بثمنه كما مرّ على تقدير شرائه</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فالإشكال هنا يرجع إلى الإشكال في جواز شرائه و عدمه، فإن أجزناه فداه و إلّا فلا</w:t>
      </w:r>
      <w:r>
        <w:rPr>
          <w:rFonts w:eastAsia="Amiri" w:cs="Amiri" w:ascii="Amiri" w:hAnsi="Amiri"/>
          <w:color w:val="111111"/>
          <w:sz w:val="28"/>
          <w:szCs w:val="28"/>
          <w:rtl w:val="true"/>
          <w:lang w:bidi="ar-SA"/>
        </w:rPr>
        <w:t xml:space="preserve">. </w:t>
      </w:r>
      <w:bookmarkStart w:id="547" w:name="pg10270_80542"/>
    </w:p>
    <w:p>
      <w:pPr>
        <w:pStyle w:val="Heading5"/>
        <w:numPr>
          <w:ilvl w:val="4"/>
          <w:numId w:val="1"/>
        </w:numPr>
        <w:rPr/>
      </w:pPr>
      <w:bookmarkStart w:id="548" w:name="__RefHeading___Toc3860370_1067777946"/>
      <w:bookmarkStart w:id="549" w:name="_Toc199"/>
      <w:bookmarkEnd w:id="547"/>
      <w:bookmarkEnd w:id="548"/>
      <w:r>
        <w:rPr>
          <w:rtl w:val="true"/>
        </w:rPr>
        <w:t>المقصد الثاني في جناية المكاتب و الجناية عليه</w:t>
      </w:r>
      <w:bookmarkEnd w:id="549"/>
    </w:p>
    <w:p>
      <w:pPr>
        <w:pStyle w:val="BookText"/>
        <w:rPr/>
      </w:pPr>
      <w:r>
        <w:rPr>
          <w:rFonts w:ascii="Amiri" w:hAnsi="Amiri" w:eastAsia="Amiri" w:cs="Amiri"/>
          <w:color w:val="111111"/>
          <w:sz w:val="28"/>
          <w:sz w:val="28"/>
          <w:szCs w:val="28"/>
          <w:rtl w:val="true"/>
          <w:lang w:bidi="ar-SA"/>
        </w:rPr>
        <w:t>و فيه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مسائل المشروط، و هي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جنى المكاتب على مولاه عمداً فإن كانت نفساً فالقصاص للوارث، فإن اقتصّ كان كما 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طرفاً فالقصاص للمولى، فإن اقتصّ فالكتابة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الجناية خطأ فهي تتعلّق برقبته، و له أن يفدي نفسه بالأرش؛ لأنّ ذلك يتعلّق بمصلحته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 بيده بقدر الحقّين فمع الأداء ينعتق، و إن قصر دفع أرش الجناية، فإن ظهر عجزه كان لمولاه فسخ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له مال أصلاً و عجز فإن فسخ المولى سقط الأرش؛ لأنّه لايثبت للمولى في ذمّة المملوك مال، و سقط مال الكتابة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جنى المكاتب على مولاه عمداً فإن كانت نفساً فالقصاص للوارث، فإن اقتصّ كان كما 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جنى المكاتب على مولاه فإمّا أن يكون متعلّق الجناية نفساً أو ما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التقديرين إمّا أن يكون عمداً أو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على نفسه عمداً فالقصاص للوارث، فإن اقتصّ بطلت الكتابة كما لو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عفا على مال أو كانت الجناية توجب المال تعلّق الواجب بما في يده؛ لأنّ المولى مع المكاتب في المعاملات كالأجنبي مع الأجنبي، فكذلك في الجناية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الذي يلزم المكاتب الأرش بالغاً ما بلغ، أو الأقلّ منه و من قيمته؟ قولان، من عموم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يجني الجاني على أكثر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نفسه</w:t>
      </w:r>
      <w:r>
        <w:rPr>
          <w:rFonts w:eastAsia="IRNazanin" w:cs="IRNazanin"/>
          <w:color w:val="111111"/>
          <w:sz w:val="28"/>
          <w:szCs w:val="28"/>
          <w:rtl w:val="true"/>
          <w:lang w:bidi="fa-IR"/>
        </w:rPr>
        <w:t>»</w:t>
      </w:r>
      <w:r>
        <w:rPr>
          <w:rStyle w:val="FootnoteAnchor"/>
          <w:rtl w:val="true"/>
        </w:rPr>
        <w:footnoteReference w:id="1814"/>
      </w:r>
      <w:r>
        <w:rPr>
          <w:rFonts w:ascii="Amiri" w:hAnsi="Amiri" w:eastAsia="Amiri" w:cs="Amiri"/>
          <w:color w:val="111111"/>
          <w:sz w:val="28"/>
          <w:sz w:val="28"/>
          <w:szCs w:val="28"/>
          <w:rtl w:val="true"/>
          <w:lang w:bidi="ar-SA"/>
        </w:rPr>
        <w:t>، فلو طولب بالزيادة لزم جنايته على أكثر من نفسه</w:t>
      </w:r>
      <w:r>
        <w:rPr>
          <w:rStyle w:val="FootnoteAnchor"/>
          <w:rtl w:val="true"/>
        </w:rPr>
        <w:footnoteReference w:id="1815"/>
      </w:r>
      <w:r>
        <w:rPr>
          <w:rFonts w:ascii="Amiri" w:hAnsi="Amiri" w:eastAsia="Amiri" w:cs="Amiri"/>
          <w:color w:val="111111"/>
          <w:sz w:val="28"/>
          <w:sz w:val="28"/>
          <w:szCs w:val="28"/>
          <w:rtl w:val="true"/>
          <w:lang w:bidi="ar-SA"/>
        </w:rPr>
        <w:t>، و من أنّه كالحرّ في المطالبة ما دامت المكاتبة باقيةً خصوصاً بالنسبة إلى المولى؛ لأنّ رقّه يمنع استحقاق المولى مطالبته بمال الجناية، فلو لم يعتبر فيه مناسبة الحرّ لم يمكن الحكم باستحقاق المولى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اختيار المصنّف حيث أطلق الأرش</w:t>
      </w:r>
      <w:r>
        <w:rPr>
          <w:rStyle w:val="FootnoteAnchor"/>
          <w:rtl w:val="true"/>
        </w:rPr>
        <w:footnoteReference w:id="1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وفى ما في يده بالأرش و مال الكتابة و فى الحقّين و 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قصر عنهما أو لم يكن في يده شيء و عجّزه المولى سقط الأرش؛ إذ لايثبت للمولى على مملوكه دين، بخلاف ما إذا عجّزه الأجنبي، فإنّ الأرش يتعلّق برقبته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المولى المكاتب بعد جنايته عليه أو أبرأه من النجوم، فإن لم يكن في يده شيء سقط الأرش؛ لأنّه أزال الملك عن الرقبة التي كانت متعلّق الأرش باختياره و لا مال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وجه آخر أنّه لايسقط؛ لاستقلال المكاتب، و ثبوت حقّ المولى في ذمّته، و لأنّ العتق يولد</w:t>
      </w:r>
      <w:r>
        <w:rPr>
          <w:rStyle w:val="FootnoteAnchor"/>
          <w:rtl w:val="true"/>
        </w:rPr>
        <w:footnoteReference w:id="1817"/>
      </w:r>
      <w:r>
        <w:rPr>
          <w:rFonts w:ascii="Amiri" w:hAnsi="Amiri" w:eastAsia="Amiri" w:cs="Amiri"/>
          <w:color w:val="111111"/>
          <w:sz w:val="28"/>
          <w:sz w:val="28"/>
          <w:szCs w:val="28"/>
          <w:rtl w:val="true"/>
          <w:lang w:bidi="ar-SA"/>
        </w:rPr>
        <w:t>إمكان تعلّق دين المولى به، بخلاف الرقبة فإنّها تنافيه، و الكتابة المتوسّطة بينهما تصحّح ثبوت دين المولى فالحرّيّة أولى</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في يده مال ففي تعلّق الأرش به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لأنّ الأرش كان متعلّقاً بالرقبة و قد تلفت و أظهرهما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التوجيه المذكور ممنوع، بل الأرش متعلّق بالرقبة و بما في يده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جنى على أجنبي عمداً فإن عفا فالكتابة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كانت الجناية نفساً و اقتصّ الوارث كان كما لو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خطأً كان له فكّ نفسه بأرش الجناية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يكن معه مال فللأجنبي بيعه في أرش الجناية، إلّا أن يفديه السيّد، فإن فداه فالكتابة بحالها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أدّى النجوم فعتق لم يسقط الأرش قطعاً، كما لو جنى على أجنبي و أدّى النجوم</w:t>
      </w:r>
    </w:p>
    <w:p>
      <w:pPr>
        <w:pStyle w:val="BookText"/>
        <w:rPr/>
      </w:pPr>
      <w:r>
        <w:rPr>
          <w:rFonts w:ascii="Amiri" w:hAnsi="Amiri" w:eastAsia="Amiri" w:cs="Amiri"/>
          <w:color w:val="111111"/>
          <w:sz w:val="28"/>
          <w:sz w:val="28"/>
          <w:szCs w:val="28"/>
          <w:rtl w:val="true"/>
          <w:lang w:bidi="ar-SA"/>
        </w:rPr>
        <w:t>و عتق و لو كانت الجناية على طرف المولى فله القصاص، كما لو جنى على مملوكه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جنى على أجنبي عمداً،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جنايته على أجنبي فحكمها إن أوجبت القصاص و استوفاه المستحقّ كالسابق؛ لفوات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عفا أو أوجبت مالاً أو كانت دون النفس نظر إن كان في يده مال طولب به ممّا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وجوب أرش الجناية أو الأقلّ منها و من القيمة ما تقدّم</w:t>
      </w:r>
      <w:r>
        <w:rPr>
          <w:rStyle w:val="FootnoteAnchor"/>
          <w:rtl w:val="true"/>
        </w:rPr>
        <w:footnoteReference w:id="1818"/>
      </w:r>
      <w:r>
        <w:rPr>
          <w:rFonts w:ascii="Amiri" w:hAnsi="Amiri" w:eastAsia="Amiri" w:cs="Amiri"/>
          <w:color w:val="111111"/>
          <w:sz w:val="28"/>
          <w:sz w:val="28"/>
          <w:szCs w:val="28"/>
          <w:rtl w:val="true"/>
          <w:lang w:bidi="ar-SA"/>
        </w:rPr>
        <w:t>، و أولى بالاكتفاء بالأقلّ هنا؛ لأنّ الأرش يتعلّق برقبته وإن استرقّه المولى بخلاف ما لو كانت على المولى، فمراعاة جانب الحرّيّة ثمّ أقوى، و مراعاة جانب القنّ هنا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في يده مال و طلب مستحقّ الأرش تعجيزه عجّزه الحاكم، ثمّ يباع كلّه في الجناية إن استغرق الأرش قيمته، و إلّا فيباع منه بقدر الأرش، و تبقى الكتابة في الباقي، فإذا أدّى حصّته من النجوم عتق ذلك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المولى أن يفديه من ماله و يستديم الكتابة فله ذلك، و على مستحقّ الأرش قبوله إن كانت الجناية خطأً، و إن كانت عمداً فالتخيير للمجنيّ عليه كالقنّ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اختياره فداءه لايلزمه الاستمرار عليه، بل له أن يرجع عن اختياره و يسلّمه للبيع، إلّا إذا مات العبد بعد الاختيار أو باعه أو أعتقه فيكون التزاماً بالفداء؛ لأنّه فوّت بالإعتاق و البيع و التأخير متعلّق حقّ المجنيّ عليه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فرض عتق المكاتب بأداء النجوم فعليه ضمان الجناية، و لايلزم المولى فداه و إن كان هو القابض للنجوم؛ لأنّه يجبر على قبولها فالحوالة على المكاتب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جنى عبد المكاتب خطأً كان للمكاتب فكّه بالأرش، إن كان دون قيمة العبد و إن كان أكثر لم يكن له ذلك، كما ليس له أن يبتاع بزيادة عن ثمن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جنى عبد المكاتب خطأً كان للمكاتب فكّه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جنى عبد المكاتب، فإمّا أن يجني على أجنبي، أو على سيّده و هو المكاتب، أو على</w:t>
      </w:r>
    </w:p>
    <w:p>
      <w:pPr>
        <w:pStyle w:val="BookText"/>
        <w:rPr/>
      </w:pPr>
      <w:r>
        <w:rPr>
          <w:rFonts w:ascii="Amiri" w:hAnsi="Amiri" w:eastAsia="Amiri" w:cs="Amiri"/>
          <w:color w:val="111111"/>
          <w:sz w:val="28"/>
          <w:sz w:val="28"/>
          <w:szCs w:val="28"/>
          <w:rtl w:val="true"/>
          <w:lang w:bidi="ar-SA"/>
        </w:rPr>
        <w:t>سيّد سيّده، فهنا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يجني على أجنبي، فإن كان عمداً و هو مكافئ فله القصاص، فإن عفا المستحقّ على المال أو كانت الجناية موجبةً للمال تعلّق برقبته يباع فيه، إلّا أن يفديه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يفديه بالأرش أو بالأقلّ منه ومن قيمته ؟ القولان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بالأوّل</w:t>
      </w:r>
      <w:r>
        <w:rPr>
          <w:rStyle w:val="FootnoteAnchor"/>
          <w:rtl w:val="true"/>
        </w:rPr>
        <w:footnoteReference w:id="1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ظاهر اختيار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الأرش قدر قيمته أو أقلّ فللمكاتب الاستقلال به، و إن كان أكثر لم يستقلّ به كما لايستقل بالتبرّعات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الاعتبار بقيمة العبد يوم الجناية؛ لأنّه يوم تعلّق الأرش بالرقبة، و فيه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قيمة يوم الاندمال، بناءً على أنّه وقت المطالبة بالمال و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اعتبارها يوم الفداء؛ لأنّ المكاتب إنّما يمنع من بيعه و يستديم الملك فيه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أقلّ القيمتين من يوم الجناية ويوم الفداء، احتياطاً للمكاتب، و إيفاء للمال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الأوجه آتية في قيمة المكاتب نفسه إذا اعتبرت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عبد المكاتب الّذي لايتكاتب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يتكاتب عليه و يتبعه فيها كولده من أمته، و كما لو وهب منه ولده أو والده حيث يجوز له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أن يفديه بغير إذن السيّد؛ لأنّ فداه كشرائه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يجني على سيّده فله القصاص و لايحتاج إلى إذن السيّد، فإن كانت الجناية خطأً أو عفا على مال لم يجب؛ إذ لايثبت للمولى على عبده مال</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يجني على سيّد سيّده، فهو كما لو جني على أجنبي فيباع في الأرش إلّا أن يفديه المكاتب، و بقي من أحكام جناية عبده أقسام أخر تأتي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جنى على جماعة فإن كان عمداً كان لهم القصاص، و إن كان خطاً كان لهم الأرش متعلّقاً برقبته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 في يده يقوم بالأرش فله افتكاك رقبته، و إن لم يكن له مال تساووا في قيمته بالحصص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للمكاتب أب و هو رقّه فقتل عبداً له لم يكن له القصاص، كما لايقتصّ منه في قتل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للمكاتب عبيد فجنى بعضهم على بعض جاز له الاقتصاص؛ حسماً لمادّة التوثّب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جنى على جماعة فإن كان عمداً كان لهم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من جملة أقسام المسألة الثانیّة، وهي جناية المكاتب على أجنبي، فإذا كانت جنايته على جماعة، فإن كان عمداً و كانت الجناية عليهم دفعةً، بأن قتل اثنين فصاعداً بضربة واحدة أو هدم عليهم جداراً فلهم القصاص جميعاً، و الأرش في الخطإ و ما يوجب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ما في يده يفي بالجميع فله الفكّ، و إلّا تساووا في قيمته بالحصص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إن أوجبنا الأُروش بالغةً ما بلغت، و إن أو جبنا الأقلّ من أروش الجنايات كلّها و من قيمته تحاصّوا فيه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يستوي الأوّل و الأخير في الأروش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القصاص مع التعاقب قولان أظهرهما مساواته للأرش، فيشترك الجميع فيه ما لم يحكم به لأولياء الأوّل، فيكون لمن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تحقيقه في محلّه إن شاء الله</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عفا بعضهم قسّم على الباقين و لو كان بعضها يوجب القصاص استوفى و سقط حقّ الباقين، فلو عفا على مال 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أعتقه المولى أو أبرأه من النجوم فعليه أن يفديه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أدّى النجوم و عتق فضمان الجناية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الذي يلزمهما من الأرش و الأقلّ القولان</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للمكاتب أب و هو رقّه فقتل عبداً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قتل المكاتب فهو كما لو مات، و إن جني على طرفه عمداً و كان الجاني هو المولى فلا قصاص و عليه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إن كان أجنبيّاً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مملوكاً ثبت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موضع يثبت فيه الأرش فهو للمكاتب؛ لأنّه من كسبه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جملة عبيده أبوه فقتل عبداً له لم يكن للمكاتب الاقتصاص منه؛ لأنّه لو قتل ولده لم يكن له قصاص، فأولى أن لايثبت للولد قصاص على الوالد في قتل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فيهم ابنه فقتل عبداً له فله أن يقتصّ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له أن يبيع أباه و ابنه إذا كانا في ملكه و جنيا على عبد آخر له جنايةً موجبها المال؟ فيه وجهان، أظهرهما العدم؛ لأنّه لايثبت له على عبده مال، و الأصل منع بيع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الجواز أنّه يستفيد به حصول أرش الجناية، و يخالف غير أبيه و ابنه من عبيده، فإن تعلّق الأرش به لايفيده شيئاً، فإنّه كان لايملك</w:t>
      </w:r>
      <w:r>
        <w:rPr>
          <w:rStyle w:val="FootnoteAnchor"/>
          <w:rtl w:val="true"/>
        </w:rPr>
        <w:footnoteReference w:id="1821"/>
      </w:r>
      <w:r>
        <w:rPr>
          <w:rFonts w:ascii="Amiri" w:hAnsi="Amiri" w:eastAsia="Amiri" w:cs="Amiri"/>
          <w:color w:val="111111"/>
          <w:sz w:val="28"/>
          <w:sz w:val="28"/>
          <w:szCs w:val="28"/>
          <w:rtl w:val="true"/>
          <w:lang w:bidi="ar-SA"/>
        </w:rPr>
        <w:t>بيعه قبل الجناية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جنى بعض عبيده على بعض فله أن يقتصّ فيما يوجب القصاص؛ لأنّه من</w:t>
      </w:r>
    </w:p>
    <w:p>
      <w:pPr>
        <w:pStyle w:val="BookText"/>
        <w:rPr/>
      </w:pPr>
      <w:r>
        <w:rPr>
          <w:rFonts w:ascii="Amiri" w:hAnsi="Amiri" w:eastAsia="Amiri" w:cs="Amiri"/>
          <w:color w:val="111111"/>
          <w:sz w:val="28"/>
          <w:sz w:val="28"/>
          <w:szCs w:val="28"/>
          <w:rtl w:val="true"/>
          <w:lang w:bidi="ar-SA"/>
        </w:rPr>
        <w:t>مصالح الملك و لايحتاج فيه إلى إذن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وجه ضعيف بتوقّفه على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جناية بعض عبيده على بعض خطاً فلا شيء له؛ لأنّه لايثبت له على ماله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يخالف العبد في ذلك حكم المكاتب، حيث تقدّم أن له أن يفدي نفسه من سيّده بالأرش لو كان هو الجاني</w:t>
      </w:r>
      <w:r>
        <w:rPr>
          <w:rStyle w:val="FootnoteAnchor"/>
          <w:rtl w:val="true"/>
        </w:rPr>
        <w:footnoteReference w:id="1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أنّ المكاتب خرج عن محض الرقّيّة و صار له ذمّة، بخلاف القنّ المحض، فإنّه لا ذمّة له بالنسبة إلى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المكاتب فهو كما 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الجناية على المكاتب إمّا أن يكون على نفسه أو على 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الثاني له القصاص إن كانت توجبه و ليس للسيّد منعه كالمريض يقتصّ و لايعترض عليه الورثة، و المفلس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يقتصّ و لايعترض عليه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احتمال بالمنع؛ لأنّه قد يعجّز نفسه فيعود إلى المولى مقطوع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الأوّل فإن اقتصّ فذاك، و إن عفا على مال ثبت المال، لكن لو كان المال دون أرش الجناية أو عفا مجّاناً ففي نفوذه بغير إذن المولى وجهان، أصحّهما النفوذ، بناءً على أنّ موجب العمد القصاص لا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كانت الجناية موجبةً للمال لم یصحّ عفوه بدون إذن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عفا بإذنه ففيه القولان السابقان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حيث يثبت المال لما دون النفس فهو للمكاتب يستعين به على أداء النجوم؛ لأنّه يتعلّق بعضو من أعضائه، فهو كالمهر تستحقّه المكاتبة، و لأنّ كسبه له، و هو عوض ما تعطّل من كسبه بقطع العوض و ما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نفساً بطلت الكتابة و يموت رقيقاً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القاتل المولى فليس عليه إلا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قتله أجنبي فللمولى القصاص مع المكافأة أو القيمة و له كسبه بطريق الملك لا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القتل بسراية الجرح، فإن كان قبل أن يعتق و قد أدّى أرش الجرح إلى المكاتب أكمل القيمة للمولى، و إلّا دفع إليه تمام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الجاني المولى سقط فيه الضمان</w:t>
      </w:r>
    </w:p>
    <w:p>
      <w:pPr>
        <w:pStyle w:val="BookText"/>
        <w:rPr/>
      </w:pPr>
      <w:r>
        <w:rPr>
          <w:rFonts w:ascii="Amiri" w:hAnsi="Amiri" w:eastAsia="Amiri" w:cs="Amiri"/>
          <w:color w:val="111111"/>
          <w:sz w:val="28"/>
          <w:sz w:val="28"/>
          <w:szCs w:val="28"/>
          <w:rtl w:val="true"/>
          <w:lang w:bidi="ar-SA"/>
        </w:rPr>
        <w:t>و أخذ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السراية بعد ما عتق بأداء النجوم، فإن كان الجاني أجنبيّاً فعليه تمام الدية؛ لأنّ الاعتبار في الضمان بحالة الاستقرار، و يكون ذلك لمن يرثه من أقاربه، فإن لم يكونوا فالمولى بالولاء إن ثبت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الجاني المولى فعليه تمام الدية أيضاً، بخلاف ما لو جرح عبده القنّ ثمّ أعتقه و مات قبل السراية حيث لا ضمان؛ لأنّ ابتداء الجناية غير مضمون هنا و ها هنا ابتداؤها مضمون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حصل العتق بالتقاصّ، بأن كان قد جنى على طرفه و وافق أرش الجناية مال الكتابة جنساً و وصفاً فالحكم كما لو حصل العتق بالأداء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لايمنع من التقاصّ كون الدية إبلاً؛ فإنّ </w:t>
      </w:r>
    </w:p>
    <w:p>
      <w:pPr>
        <w:pStyle w:val="BookText"/>
        <w:rPr/>
      </w:pPr>
      <w:r>
        <w:rPr>
          <w:rFonts w:ascii="Amiri" w:hAnsi="Amiri" w:eastAsia="Amiri" w:cs="Amiri"/>
          <w:color w:val="111111"/>
          <w:sz w:val="28"/>
          <w:sz w:val="28"/>
          <w:szCs w:val="28"/>
          <w:rtl w:val="true"/>
          <w:lang w:bidi="ar-SA"/>
        </w:rPr>
        <w:t>السابعة • إذا جنى عبد المولى على مكاتبه عمداً فأراد الاقتصاص فللمولى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خطأً فأراد الأرش لم يملك منعه؛ لأنّه بمنزلة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الإبراء توقّف على رضى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المطلق فإذا أدّى من مكاتبته شيئاً تحرّر منه بحسابه فإن جنى هذا المكاتب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تحرّر منه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جناية عمداً على حرّ اقتصّ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جنى على</w:t>
      </w:r>
    </w:p>
    <w:p>
      <w:pPr>
        <w:pStyle w:val="BookText"/>
        <w:rPr/>
      </w:pPr>
      <w:r>
        <w:rPr>
          <w:rFonts w:ascii="IRNazanin" w:hAnsi="IRNazanin" w:eastAsia="IRNazanin"/>
          <w:color w:val="111111"/>
          <w:sz w:val="28"/>
          <w:sz w:val="28"/>
          <w:szCs w:val="28"/>
          <w:rtl w:val="true"/>
          <w:lang w:bidi="fa-IR"/>
        </w:rPr>
        <w:t>الواجب في الابتداء نصف القيمة في مثل اليد و التقاصّ حينئذٍ يحصل، ثمّ إذا سرت الجناية بعد العتق فيجب الفاضل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عفا المكاتب عن المال و لم یصحّح</w:t>
      </w:r>
      <w:r>
        <w:rPr>
          <w:rStyle w:val="FootnoteAnchor"/>
          <w:rtl w:val="true"/>
        </w:rPr>
        <w:footnoteReference w:id="1823"/>
      </w:r>
      <w:r>
        <w:rPr>
          <w:rFonts w:ascii="Amiri" w:hAnsi="Amiri" w:eastAsia="Amiri" w:cs="Amiri"/>
          <w:color w:val="111111"/>
          <w:sz w:val="28"/>
          <w:sz w:val="28"/>
          <w:szCs w:val="28"/>
          <w:rtl w:val="true"/>
          <w:lang w:bidi="ar-SA"/>
        </w:rPr>
        <w:t>عفوه على ما فضل ثمّ عتق قبل أخذ المال فهل له أخذه؟ وجهان، أصحّهما نعم؛ لأنّ عفوه كان لاغياً، و وجه العدم أنّ المانع كان حقّ غيره و قد زال، كما لو باع مال غيره فضولاً ثمّ ملكه، و أولى بالصحّة هنا؛ لأنّ الأرش ملكه، فأشبه تصرّف المفلس زمن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بطلانها أو وقوفها وجهان سبقا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الجاني على طرف المكاتب عبده فله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الجناية خطاً لم يثبت له على عبده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جنى عبد المولى على مكاتبه عمداً فأراد الاقتصاص فللمولى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منعه من الاقتصاص من عبد المولى قول الشيخ في المبسوط</w:t>
      </w:r>
      <w:r>
        <w:rPr>
          <w:rStyle w:val="FootnoteAnchor"/>
          <w:rtl w:val="true"/>
        </w:rPr>
        <w:footnoteReference w:id="1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الرقّيّة المقتضية للسلطنة، و كونه تصرّفاً ليس باكتساب و لايعين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 بأنّ ذلك لو منع لمنع من الاقتصاص من عبد غير المولى؛ لورود الدليل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جوازه؛ لعموم الآية</w:t>
      </w:r>
      <w:r>
        <w:rPr>
          <w:rStyle w:val="FootnoteAnchor"/>
          <w:rtl w:val="true"/>
        </w:rPr>
        <w:footnoteReference w:id="1825"/>
      </w:r>
      <w:r>
        <w:rPr>
          <w:rFonts w:ascii="Amiri" w:hAnsi="Amiri" w:eastAsia="Amiri" w:cs="Amiri"/>
          <w:color w:val="111111"/>
          <w:sz w:val="28"/>
          <w:sz w:val="28"/>
          <w:szCs w:val="28"/>
          <w:rtl w:val="true"/>
          <w:lang w:bidi="ar-SA"/>
        </w:rPr>
        <w:t>، و انقطاع سلطنة المولى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المطلق فإذا أدّى من مكاتبته شيئاً تحرّر منه بحسابه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الضابط أنّ المبعّض بالنسبة إلى ما فيه من الحرّيّة كالحرّ في الأحكام، و منها عدم قتل </w:t>
      </w:r>
      <w:bookmarkStart w:id="550" w:name="pg10270_80550"/>
    </w:p>
    <w:p>
      <w:pPr>
        <w:pStyle w:val="BookText"/>
        <w:rPr/>
      </w:pPr>
      <w:bookmarkEnd w:id="550"/>
      <w:r>
        <w:rPr>
          <w:rFonts w:ascii="Amiri" w:hAnsi="Amiri" w:eastAsia="Amiri" w:cs="Amiri"/>
          <w:color w:val="111111"/>
          <w:sz w:val="28"/>
          <w:sz w:val="28"/>
          <w:szCs w:val="28"/>
          <w:rtl w:val="true"/>
          <w:lang w:bidi="ar-SA"/>
        </w:rPr>
        <w:t>مملوك لم يقتصّ منه؛ لما فيه من الحرّيّة، و لزمه من أرش الجناية بقدر ما فيه من الحرّيّة،و تعلّق برقبته منها بقدر رقيّته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جنى على مكاتب مساو له اقتصّ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حرّيّة الجاني أزيد لم يقتصّ، وإن كانت أقلّ اقتصّ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الجناية خطاً تعلّق بالعاقلة بقدر الحرّيّة، و برقبته بقدر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للمولى أن يفدي نصيب الرقّيّة بنصيبها من أرش الجناية، سواء كانت الجناية على عبد أو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جنى عليه حرّ فلا قصاص و عليه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رقّاً اقتصّ منه</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3860372_1067777946"/>
      <w:bookmarkStart w:id="552" w:name="_Toc200"/>
      <w:bookmarkEnd w:id="551"/>
      <w:r>
        <w:rPr>
          <w:rtl w:val="true"/>
        </w:rPr>
        <w:t>المقصد الثالث في أحكام المكاتب في الوصايا</w:t>
      </w:r>
      <w:bookmarkEnd w:id="552"/>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لاتصحّ الوصيّة برقبة المكاتب، كما لایصحّ 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أضاف الوصيّة به إلى عوده في الرقّ جاز، كما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عجز و فسخت كتابته فقد أوصيت لك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تجوز الوصيّة بمال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جمع بين الوصيّتين لواحد أو لاثنين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المملوك به و من هو أنقص حرّيّةً، و ثبوت خطئه على عاقلته، و تعلّق الجناية الموجبة للمال بذمّته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إلى ما فيه من الرقّيّة كالعبد، و يلزمه تعلّق الجناية الموجبة للمال برقبته، وجواز فكّ المولى له، و عدم قتل الحرّ و من هو أزيد حرّيّةً به، إلى غير ذلك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 على المبعّض حكم الجنايتين حيث لايتنافيان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لاتصحّ الوصيّة برقبة المكاتب كما لایصحّ 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كانت الكتابة لازمة من جهة المولى فليس له التصرّف في رقبته و  منفعته، و لم تصحّ وصیّته به کما لایصحّ له بيعه، و كما لاتصحّ الوصيّة بعبد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عجز مكاتبي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عاد إلى الرقّ فقد أوصيت به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كما لو أوصى بثمرة نخلته و حمل جاريته</w:t>
      </w:r>
    </w:p>
    <w:p>
      <w:pPr>
        <w:pStyle w:val="BookText"/>
        <w:rPr/>
      </w:pPr>
      <w:r>
        <w:rPr>
          <w:rFonts w:ascii="Amiri" w:hAnsi="Amiri" w:eastAsia="Amiri" w:cs="Amiri"/>
          <w:color w:val="111111"/>
          <w:sz w:val="28"/>
          <w:sz w:val="28"/>
          <w:szCs w:val="28"/>
          <w:rtl w:val="true"/>
          <w:lang w:bidi="ar-SA"/>
        </w:rPr>
        <w:t>المتجدّدين بعد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عجز فأراد الوارث إنظاره فللموصى له تعجيزه ليأخذه، وإنّما يعجّزه بالرفع إلى الحاكم كما في المجنيّ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تقديم الوارث؛ لأنّ الوصيّة له مشروطة بفسخ كتابته و لم يحصل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الوصيّة معلّقةً على فسخ كتابته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قيّدها بكونه هو الفاسخ اعتبر في صحّتها عجزه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التحرير جعل الإطلاق محمولاً على عجزه في حياته</w:t>
      </w:r>
      <w:r>
        <w:rPr>
          <w:rStyle w:val="FootnoteAnchor"/>
          <w:rtl w:val="true"/>
        </w:rPr>
        <w:footnoteReference w:id="1826"/>
      </w:r>
      <w:r>
        <w:rPr>
          <w:rFonts w:ascii="Amiri" w:hAnsi="Amiri" w:eastAsia="Amiri" w:cs="Amiri"/>
          <w:color w:val="111111"/>
          <w:sz w:val="28"/>
          <w:sz w:val="28"/>
          <w:szCs w:val="28"/>
          <w:rtl w:val="true"/>
          <w:lang w:bidi="ar-SA"/>
        </w:rPr>
        <w:t>،و إنّما يكتفي بها بعد موته لو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الوصيّة بالنجوم على المكاتب، فهي صحيحة و إن لم تكن مستقرّة، كما تصحّ الوصيّة بالحمل و إن لم يكن مملوكاً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أدّاها فهي للموصى له، و إن عجز فللوارث تعجيزه و فسخ الكتابة و إن أنظره الموصى له و هل يملك الموصى له إبراءه من النجوم؟ وجهان، أجودهما ذلك؛ لأنّه يملك الاستيفاء فيملك 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العدم أنّه ملّكه استيفاء النجوم و لم يملّكه تفويت الرقبة على الورثة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أوصى لواحد برقبته إن عجز و لآخر بالنجوم صحّت الوصيّتان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أدّى المال أو أبرأه منه بطلت الوصيّة الأولى، و إن رقّ بطلت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استرقاقه مشروط بفسخ الوارث كتابته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امتنع و أمهله فالوجهان السابقان</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استوجه في التحرير عدم جواز استرقاقه للموصى له بدون فسخ الوارث</w:t>
      </w:r>
      <w:r>
        <w:rPr>
          <w:rStyle w:val="FootnoteAnchor"/>
          <w:rtl w:val="true"/>
        </w:rPr>
        <w:footnoteReference w:id="1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الموصى له بالمال قد قبض منه شيئاً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 الموصى له بالرقبة و بالمال في الفسخ عند العجز قدّم صاحب الرقبة، كما يقدّم صاحب الرقبة على الوارث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كاتبه مكاتبةً فاسدةً ثمّ أوصى به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أوصى بما في ذمّته لم یصحّ 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قبضت منه فقد أوصيت به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أن يوضع عن مكاتبه أكثر ما بقي عليه فهو وصيّته بالنصف و زيادة،و للورثة المشيئة في تعيين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عنه أكثر ما بقي عليه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وصيّة بما عليه، و بطلت في الزائد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ضعوا عنه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شاء و ابقى شيئا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 الجميع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لایصحّ، و يبقى منه شيء بقرينة حال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كاتبه مكاتبةً فاسدةً ثمّ أوصى به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الكتابة الفاسدة عندنا لا أثر لها البتّة</w:t>
      </w:r>
      <w:r>
        <w:rPr>
          <w:rStyle w:val="FootnoteAnchor"/>
          <w:rtl w:val="true"/>
        </w:rPr>
        <w:footnoteReference w:id="1828"/>
      </w:r>
      <w:r>
        <w:rPr>
          <w:rFonts w:ascii="IRNazanin" w:hAnsi="IRNazanin" w:eastAsia="IRNazanin"/>
          <w:color w:val="111111"/>
          <w:sz w:val="28"/>
          <w:sz w:val="28"/>
          <w:szCs w:val="28"/>
          <w:rtl w:val="true"/>
          <w:lang w:bidi="fa-IR"/>
        </w:rPr>
        <w:t>، فإذا أوصى بما في ذمّته لم یصحّ؛ لأنّه لم يثبت له بها شيئاً في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أوصى برقبته صحّ كما لو أوصى برقبة عبده القنّ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أوصى بما يقبضه منه صحّ؛ لأنّ الذي يقبضه منه ملكه بواسطة أنّه كسب مملوكه لا من حيث إنّه مال الكتابة، حتّى لو صرّح بالوصيّة بما يقبضه منه من مال الكتابة لم یصحّ، كما لو أوصى بمال كتابته من دون القبض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إطلاق المصنّف و الأصحاب بل صريح بعضهم كالشيخ في المبسوط</w:t>
      </w:r>
      <w:r>
        <w:rPr>
          <w:rStyle w:val="FootnoteAnchor"/>
          <w:rtl w:val="true"/>
        </w:rPr>
        <w:footnoteReference w:id="1829"/>
      </w:r>
      <w:r>
        <w:rPr>
          <w:rFonts w:ascii="Amiri" w:hAnsi="Amiri" w:eastAsia="Amiri" w:cs="Amiri"/>
          <w:color w:val="111111"/>
          <w:sz w:val="28"/>
          <w:sz w:val="28"/>
          <w:szCs w:val="28"/>
          <w:rtl w:val="true"/>
          <w:lang w:bidi="ar-SA"/>
        </w:rPr>
        <w:t>عدم الفرق في ذلك بين العالم بفساد الكتابة و الجاهل به؛ نظراً إلى حقيقة الحال، و موافقة الوصيّة ملك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الفرق؛ لأنّ الجاهل بالفساد إذا أوصى بالرقبة فعنده أنّ ما يأتي به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مثله في مواضع، ذكر منها في كتاب الهبات من باع ما وهبه مع فساد الهبة</w:t>
      </w:r>
      <w:r>
        <w:rPr>
          <w:rStyle w:val="FootnoteAnchor"/>
          <w:rtl w:val="true"/>
        </w:rPr>
        <w:footnoteReference w:id="1830"/>
      </w:r>
      <w:r>
        <w:rPr>
          <w:rFonts w:ascii="Amiri" w:hAnsi="Amiri" w:eastAsia="Amiri" w:cs="Amiri"/>
          <w:color w:val="111111"/>
          <w:sz w:val="28"/>
          <w:sz w:val="28"/>
          <w:szCs w:val="28"/>
          <w:rtl w:val="true"/>
          <w:lang w:bidi="ar-SA"/>
        </w:rPr>
        <w:t>، أو باع مال مورّثه معتقداً بقاءه فظهر موته، أو أوصى برقبة معتقة فظهر فساد عتقه، فلينظر بحثه ثَمّ</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أوصى أن يوضع عن مكاتبه أكثر ما بقي عليه إلى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الوصيّة بالوضع عن المكاتب صحيحة معتبرة من الثلث، ويتبع فيها مقتضى اللفظ و القرينة كما في نظائره من المحاورات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هنا من ألفاظ الوصيّة له</w:t>
      </w:r>
    </w:p>
    <w:p>
      <w:pPr>
        <w:pStyle w:val="BookText"/>
        <w:rPr/>
      </w:pPr>
      <w:r>
        <w:rPr>
          <w:rFonts w:ascii="IRNazanin" w:hAnsi="IRNazanin" w:eastAsia="IRNazanin"/>
          <w:color w:val="111111"/>
          <w:sz w:val="28"/>
          <w:sz w:val="28"/>
          <w:szCs w:val="28"/>
          <w:rtl w:val="true"/>
          <w:lang w:bidi="fa-IR"/>
        </w:rPr>
        <w:t>ثلاث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يوصي المولى بأن يوضع عن المكاتب أكثر ما بقي عليه أو أكثر ما عليه، فيوضع عنه نصف ما عليه و زيادةً يتحقّق بها الأكثريّة، و تقدير الزيادة إلى اختيار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كون الزائد على النصف من جملة الوصيّة لا ابتداء عطيّة، فلايعتبر فيها ما يعتبر في العطيّة، بل في الوصيّة، و غايته أن يكون تعيين الوصيّة مفوّضاً إلى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في الزيادة عن النصف أن تكون متموّلة، أم يكفي التموّل بانضمامها إلى النصف؟ وجهان، أظهرهما الثاني؛ لأنّ التموّل إنّما يعتبر في الوصيّة و غيرها مع الانفراد، و أمّا مع انضمام بعض الأجزاء إلى بعض فالمعتبر المجموع، وإلّا لزم عدم صحّة الجميع؛ لأنّ أجزاءه تبلغ حدّاً لايتموّل، و الوصيّة هنا بمجموع النصف و الزيادة، لا بالزيادة وحدها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ضعوا عنه أكثر ما بقي عليه 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وصيّته بجميع ما عليه و زيادة؛ لأنّ ما يزيد عن النصف هو نصف الوصيّة فيكون مثله زائداً على مجموع المال، فیصحّ فيه و يلغو في الزائد، و مثله 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ضعوا أكثر ممّا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عليه و أكثر و نحو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ما عليه ونصفه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عنه ثلاثة أرباع ما عليه و زيادة شيء، و لايعتبر فيه أن يتموّل و يقبل التنصيف إلى ما يتموّل إلّا على الاحتمال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توهّم اعتبار تموّل الزيادة دون نصفها بناءً على أنّ ما يتموّل یصحّ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نصفٌ معتدّ به و إن لم يتموّل، بخلاف نصف ما لايتموّل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فاسد؛ لما ذكرناه من أن الوصيّة بالمجموع لا بالزيادةمنفردة، سواء نصّفها أم لا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عنه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من 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أبقى منه شيئاً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إشكال في الصحّة، وإن شاء الجميع قال الشيخ في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w:t>
      </w:r>
      <w:r>
        <w:rPr>
          <w:rStyle w:val="FootnoteAnchor"/>
          <w:rtl w:val="true"/>
        </w:rPr>
        <w:footnoteReference w:id="1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الثاني فظاهر؛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عنه بعض 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الأوّل؛ فلأنّ المعنى ضعوا من كتابته ما شاء،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مقدّرة و إلّا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عنه النجوم، و إذا كان هذا مضمراً كان كالصورة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 تقدير ما شاء من مال الكتابة بمعنى التبعيض غير لازم، بل يجوز أن يكون</w:t>
      </w:r>
    </w:p>
    <w:p>
      <w:pPr>
        <w:pStyle w:val="BookText"/>
        <w:rPr/>
      </w:pPr>
      <w:r>
        <w:rPr>
          <w:rFonts w:ascii="IRNazanin" w:hAnsi="IRNazanin" w:eastAsia="IRNazanin"/>
          <w:color w:val="111111"/>
          <w:sz w:val="28"/>
          <w:sz w:val="28"/>
          <w:szCs w:val="28"/>
          <w:rtl w:val="true"/>
          <w:lang w:bidi="fa-IR"/>
        </w:rPr>
        <w:t xml:space="preserve">معناه ما يريده، و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للتبعيض غير متعيّن؛ لأنّه كما يحتمل التبعيض يحتمل التبيين، فیصحّ تعلّقها بالجميع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باشتراكها بين التبيين و التبعيض لايدلّ على أحدهما بدون القرينة كما في کلّ مشترك، و حينئذٍ فالبعض معلوم على التقديرين و الجميع مشكوك فيه؛</w:t>
      </w:r>
    </w:p>
    <w:p>
      <w:pPr>
        <w:pStyle w:val="BookText"/>
        <w:rPr/>
      </w:pPr>
      <w:r>
        <w:rPr>
          <w:rFonts w:ascii="Amiri" w:hAnsi="Amiri" w:eastAsia="Amiri" w:cs="Amiri"/>
          <w:color w:val="111111"/>
          <w:sz w:val="28"/>
          <w:sz w:val="28"/>
          <w:szCs w:val="28"/>
          <w:rtl w:val="true"/>
          <w:lang w:bidi="ar-SA"/>
        </w:rPr>
        <w:t>لقيام الاحتمال، فيرجع الأمر إلى معنى التبعيض وإن لم يحمل عليه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دلّت القرينة على إرادة التبيين أو إرادة الجميع من غير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لعلّها</w:t>
      </w:r>
    </w:p>
    <w:p>
      <w:pPr>
        <w:pStyle w:val="BookText"/>
        <w:rPr/>
      </w:pPr>
      <w:r>
        <w:rPr>
          <w:rFonts w:ascii="Amiri" w:hAnsi="Amiri" w:eastAsia="Amiri" w:cs="Amiri"/>
          <w:color w:val="111111"/>
          <w:sz w:val="28"/>
          <w:sz w:val="28"/>
          <w:szCs w:val="28"/>
          <w:rtl w:val="true"/>
          <w:lang w:bidi="ar-SA"/>
        </w:rPr>
        <w:t>موجودة في الصورة الأُولى على إرادة ما يتناول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المصنّف خلاف ذلك، و أنّ ظاهر حال اللفظ يقتضى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يريد بحال اللفظ ما ذكرناه من الافتقار إلى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يتيقّن من معناها إلّا التبعيض، و أن يريد به حال التركيب كما أشرنا إليه من أنّه لو أراد الجميع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عنه النجوم</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للفرق بين الإرادتين، فإنّه في الأُولى جعل المشيئة إليه في إرادة البعض و الجميع، و هذا الغرض لا يتأدىّ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ضعوا عنه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مدلوله وضع الجميع خاصّة لا جعل المشيئة إليه في الجميع و البعض، و الأغراض تتفاوت في ذلك، فلايلزم من إرادة تعليق التقدير على المشيئة أن يريد بعض متعلّقات المشيئة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 •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عنه أوسط نجومه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أوسط عدداً أو قدراً انصرف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اجتمع الأمران كان الورثة بالخيار في أيّهما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تستعمل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يكن 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قدراً و لا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نجمين ليتحقّق الأوسط، فيؤخذ من الأربعة الثاني و الثالث، و من الستّة الثالث و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عنه أوسط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الستّة الثالث و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الأوسط لفظ متواطئ يراد به الشيء بين الشيئين على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البينیّة قد تكون بالزمان كوسط النهار المتوسط بين طرفيه، و بالمقدار بسبب زيادته و نقصانه كالاثنين المتوسّطين</w:t>
      </w:r>
    </w:p>
    <w:p>
      <w:pPr>
        <w:pStyle w:val="BookText"/>
        <w:rPr/>
      </w:pPr>
      <w:r>
        <w:rPr>
          <w:rFonts w:ascii="Amiri" w:hAnsi="Amiri" w:eastAsia="Amiri" w:cs="Amiri"/>
          <w:color w:val="111111"/>
          <w:sz w:val="28"/>
          <w:sz w:val="28"/>
          <w:szCs w:val="28"/>
          <w:rtl w:val="true"/>
          <w:lang w:bidi="ar-SA"/>
        </w:rPr>
        <w:t>بين الواحد و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المقدار هنا قد يكون في مال النجوم، و قد يكون في الآجال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مشترك في هذا الباب بين أجل مال الكتابة و نفس المال المفروض في الأجل كما بيناه سابقاً</w:t>
      </w:r>
      <w:r>
        <w:rPr>
          <w:rStyle w:val="FootnoteAnchor"/>
          <w:rtl w:val="true"/>
        </w:rPr>
        <w:footnoteReference w:id="1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الوصايا أنّه إذا أوصى بلفظ يقع على شيئين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مشتركاً أو متواطئاً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في مال الموصي منها أفراد متعدّدة يتخيّر الوارث في تعيين أيّها شاء، و أنّ فيه قولاً ضعيفاً بالقرعة</w:t>
      </w:r>
      <w:r>
        <w:rPr>
          <w:rStyle w:val="FootnoteAnchor"/>
          <w:rtl w:val="true"/>
        </w:rPr>
        <w:footnoteReference w:id="1834"/>
      </w:r>
      <w:r>
        <w:rPr>
          <w:rFonts w:ascii="Amiri" w:hAnsi="Amiri" w:eastAsia="Amiri" w:cs="Amiri"/>
          <w:color w:val="111111"/>
          <w:sz w:val="28"/>
          <w:sz w:val="28"/>
          <w:szCs w:val="28"/>
          <w:rtl w:val="true"/>
          <w:lang w:bidi="ar-SA"/>
        </w:rPr>
        <w:t>و هذه المسألة من جزئيّات تلك</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بالأوسط عدداً في النجوم ما كان محفوفاً بمتساويين، كالثاني في الثلاثة و الثالث في الخمسة و الرابع في السبعة و هو واحد إن كان العدد وترأ كما ذكر، و اثنان إن كان زوجاً، كالثاني و الثالث في الأربعة، و الثالث و الرابع في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بالأوسط قدراً ما كان في جملتها ما هو أكثر منه مالاً و ما هو أقلّ، كالدينارين بالنسبة إلى الدينار و الثلاثة، سواء تعدّد الوسط و الطرفان أم اتّحد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فمتعدّد الوسط كما لو كانت الآجال أربعةً، منها واحد بدينار وآخر بثلاثة و اثنان كلّ واحد بدينارين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متعدّد الطرفين أو أحدهما كما لو كان في المثال واحد بدینارین و اثنان بدينار و اثنان بثلاثة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تختلف النجوم قدراً بحيث يتعدّد الوسط بهذا المعنى مختلفاً، كما لو كان أحد الأربعة بدينار و الآخر بدينارين و الثالث بثلاثة و الرابع بأربعة، فالثاني محفوف بأقلّ منه و هو الأوّل و أكثر و هو الثالث و الثالث كذلك بالنسبة إلى الثاني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منهما وسط بهذا المعنى فيحتمل إلحاقهما بالوسط المتعدّد فيتخيّر الوارث؛ لوجود المعنى في كلّ منهما، و الحمل على الأكثر؛ لأنّه حقيقي و الآخر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قطع الشهيد في الشرح</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و الكلام في الأوسط أجلاً كالكلام في الأوسط قدراً، إلّا أنّ المختلف هنا هو الآجال، بأن كان بعضها شهراً و بعضها شهرين وبعضها ثلاثة، إلى آخر ما فصّل في الأوسط المقداري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الموصى بأوسطها إمّا أن يكون لها وسط بالعدد خاصّةً، أو بالقدر أو بالأجل أو باثنين منها، فإمّا الأجل و القدر أو أحدهما مع العدد أو تجتمع الثلاثة أو لايكون له وسط واحد بواحد منها، إمّا لعدمه أصلاً أو لتعدّده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صور هذه الفروض لايكاد تنحصر ، و أُصولها ترجع إلى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يتفرّع عليها يستفاد منها، فلنقتصر عليها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أوسط بالعدد خاصّةً، كثلاثة أنجم أو خمسة متساوية  المقادير و الآجال، أو متفاوتهما تفاوتاً لايفرض فيه 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فالأوسط في الثلاثة عدداً هو الثاني، و الخمسة الثالث؛ لأنّه محفوف بمتساويين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حمل على الواحد المذكور دون ما زاد، كالثلاثة الوسطى من الخمسة، فإنّها أيضاً محفوفة بمتساويين؛ لأنّ الوصيّة بنجم واحد فلايصار إلى المتعدّد مع إمكان المتّحد المطابق للوصيّة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إرادته ما هو أعمّ من الواحد، بأن يريد ما صدق عليه الوسط مطلقاً كان من باب المتعدّد، فيتخيّر الوارث</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لها أوسط بالقدر خاصّةً، كأربعة أنجم متساوية الآجال قسط الأوّل دينار، و الثاني ديناران، و الثالث ثلاثة، و الرابع أربعة، فالثالث أوسط حقيقي بحسب المقدار؛ لأنّه أكثر ممّا دونه مطلقاً و أقلّ ممّا فوقه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الثاني أوسط أيضاً بالقدر لكن بالإضافة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الثالث و الأوّل لامطلقاً؛ فلذلك حملناه على الثالث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الأوسط بالأجل هنا منتفٍ، لتساوي الآجال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الأوسط بالعدد فيوجد في الثاني و الثالث، لكنّه متعدّد فلايحمل</w:t>
      </w:r>
    </w:p>
    <w:p>
      <w:pPr>
        <w:pStyle w:val="BookText"/>
        <w:rPr/>
      </w:pPr>
      <w:r>
        <w:rPr>
          <w:rFonts w:ascii="Amiri" w:hAnsi="Amiri" w:eastAsia="Amiri" w:cs="Amiri"/>
          <w:color w:val="111111"/>
          <w:sz w:val="28"/>
          <w:sz w:val="28"/>
          <w:szCs w:val="28"/>
          <w:rtl w:val="true"/>
          <w:lang w:bidi="ar-SA"/>
        </w:rPr>
        <w:t>عليه الوصيّة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المثال أوسط على مقتضى الوصيّة إلّا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لها أوسط بالأجل خاصّةً، كأربعة أنجم متساوية المال لكنّ الأجل الأوّل منها شهر و الثاني شهران و الثالث ثلاثة و الرابع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التقريب فيه ما ذكر في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أنّ كلّاً من الثالث و الرابع ثلاثة أشهر فالثاني هو الوسط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اثنان منها كلّ واحد شهران و الآخر شهر و الرابع ثلاثة فکلّ واحد من المتّفقين يصلح للوسطيّة، فيحتمل فيه تعدّد الوسط و جعله من قسم الواحد المتعدّد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يأتي في الوسط المقداري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الأوسط بالعدد و القدر خاصّةً، إمّا في واحد كثلاثة أنجم متساوية الآجال، قسط الأوّل دينار و الثاني اثنان و الثالث ثلاثة، فالثاني وسط بهما فيحمل عليه مؤكّداً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مفترقين كما لو كان قسط الأوّل دينارين و الثاني ديناراً، فالأوّل أوسط بالقدر و الثاني بالعدد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العدد و الأجل، كثلاثة متساوية المال مختلفة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يجتمع الأوسطان في واحد أيضاً، كما إذا كان أجل الأوّل شهراً و الثاني شهرين و الثالث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يفترقان، كما إذا كان أجل الأوّل شهرين و الثاني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القدر و الأجل خاصّةً مجتمعين، كأربعة أنجم أجل الأوّل شهر و قسطه دينار، و الثاني شهران بدينارين، و الثالث ثلاثة بثلاثة، و الرابع أربعة بأربعة، فالثالث أوسط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هنا وسط بالعدد متّحد؛ لأنّه به الثاني و الثالث و قد تقدّم أنّه ملغى حيث يمكن الحمل على المتّحد و متفرّقين، كما لو كان الثاني شهرين بثلاثة دنانير، و الثالث ثلاثة أشهر بدينارين، و الآخران بحالهما، فالثالث وسط بالأجل، و الثاني وسط بالقدر</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لها وسط بالمفهومات الثلاثة، إمّا مجتمعةً كثلاثة أنجم أجل الأوّل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أعتق مكاتبه في مرضه أو أبرأه من مال الكتابة، فإن برئ فقد لزم العتق و الإبراء، و إن مات خرج من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أصل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الثلث بقدر الأكثر من قيمته و مال الكتابة 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أحدهما أكثر اعتبر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الأقلّ من الثلث عتق و اُلغي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قصر الثلث عن الأقلّ عتق منه ما يحتمله الثلث و بطلت الوصيّة في الزائد و يسعى في باقي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عجز كان للورثة أن يسترقّوا منه بقدر ما بقى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بدينار، و الثاني شهران بدينارين، و الثالث ثلاثة بثلاثة، فالثاني وسط بالثلاثة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مفترقة، كما لو كان الأوّل شهرين بدينار، و الثاني شهراً بثلاثة دنانير، و الثالث ثلاثة أشهر بدينارين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وسط بالأجل، و الثاني بالعدد و الثالث بالقدر، و قد يجتمع اثنان منها و يفترق عنهما واحد، و أمثلته تظهر بأدنى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لايكون لها وسط واحد بحسبها و لا بحسب کلّ واحد منها كأربعة أنجم متساويةً أموالاً و آجالاً، أو متفاوتةً تفاوتاً لايحصل فيه أوسط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حصل فيه أوسط زوج بأحدها أو بأزيد حمل عليه؛ لتعذّر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هل يؤخذ منهما واحد خاصّةً يتخيّر الوارث، أو يؤخذ الاثنان؛ لأنّ مجموعهما هو الأوسط ؟ وجهان، و ظاهر الأصحاب القطع بالثاني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نظر؛لأنّهم إذا سلّموا أنّ الإطلاق محمول على الواحد و الانتقال إلى المجاز لتعذّر الحقيقة فالمجاز متعدّد باعتبارين؛ لأنّ أحدهما مجاز في الوسط باعتبار أنّه بعض أجزائه حقيقة في الواحد، و الاثنان حقيقة في الأوسط مجاز بعيد في الواحد، فالحمل عليه ليس أَولى من الآخر إن لم يكن المرجّح في ذلك الجانب؛ لظهور مجازيّته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فروض هذا القسم كثيرة، و هى أدقّ و أخفى تصوّراً من السابقة، فعليك بتأمّلها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لايكون للنجوم وسط أصلاً، كما لو كانت اثنين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بطلان الوصيّة لفقد</w:t>
      </w:r>
    </w:p>
    <w:p>
      <w:pPr>
        <w:pStyle w:val="BookText"/>
        <w:rPr/>
      </w:pPr>
      <w:r>
        <w:rPr>
          <w:rFonts w:ascii="IRNazanin" w:hAnsi="IRNazanin" w:eastAsia="IRNazanin"/>
          <w:color w:val="111111"/>
          <w:sz w:val="28"/>
          <w:sz w:val="28"/>
          <w:szCs w:val="28"/>
          <w:rtl w:val="true"/>
          <w:lang w:bidi="fa-IR"/>
        </w:rPr>
        <w:t xml:space="preserve">الموصى به أو الحمل على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التفاتاً إلى المجاز و بابه المتّسع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أعتق مكاتبه في مرضه أو أبرأه من 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كاتب عبداً في الصحّة ثمّ أعتقه أو أبرأه من النجوم في المرض فإن برئ من مرضه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كلام، و إن مات كان تصرّفه بالعتق و الإبراء من جملة التبرّعات المنجّزة، فإن جعلناها من الأصل فلا كلام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خرج کلّ واحد من القيمة و النجوم من الثلث، بمعنى أنّ الثلث يسع أحدهما مع التساوي أو الأكثر منهما عتق کلّه و سقطت عنه النجوم، و إن تفاوتا و خرج أقلّهما من الثلث دون الآخر اعتبر الأقلّ، فإن كان له سوى المكاتب مائتان و كانت القيمة مائة و خمسين و النجوم مائة خرجت النجوم من الثلث، فيعتبرها و يحكم بنفوذ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كانت القيمة مائة و النجوم مائة و خمسين فالقيمة خارجة من الثلث فيعتبرها و يحكم بنفوذ العتق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كان كذلك؛ لأنّ ملك السيّد إنّما يستقرّ على الأقلّ منهما، فإن كانت النجوم أقلّ فالكتابة لازمة من جهته، و قد ضعف ملكه في المكاتب، فليس له إلّا المطالبة بالنجوم التي صارت عوضاً، و إن كانت القيمة أقلّ فهي التي تخرج عن ملكه، و العبد معرض لإسقاط النجوم بأن يعجّز نفسه على قول الشيخ</w:t>
      </w:r>
      <w:r>
        <w:rPr>
          <w:rStyle w:val="FootnoteAnchor"/>
          <w:rtl w:val="true"/>
        </w:rPr>
        <w:footnoteReference w:id="1836"/>
      </w:r>
      <w:r>
        <w:rPr>
          <w:rFonts w:ascii="Amiri" w:hAnsi="Amiri" w:eastAsia="Amiri" w:cs="Amiri"/>
          <w:color w:val="111111"/>
          <w:sz w:val="28"/>
          <w:sz w:val="28"/>
          <w:szCs w:val="28"/>
          <w:rtl w:val="true"/>
          <w:lang w:bidi="ar-SA"/>
        </w:rPr>
        <w:t>، أو يعجز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يخرج واحد منهما من الثلث، بأن كان يملك سوى المكاتب خمسين فيضمّ أقلّهما إلى الخمسين وينفذ العتق في ثلثهما من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القيمة مائة و خمسين و النجوم مائة ضممنا النجوم إلى الخمسين و نفّذنا العتق في ثلثهما و هو نصف العبد، و تبقى الكتابة في نصفه الآخر بنصف النجوم، فإذا أدّاه إلى الورثة عتق، و إن عجز فلهم ردّه إلى الرقّ، و إن كان يملك سوى المكاتب مائة و القيمة و النجوم كما صوّرنا عتق ثلثاه، و تبقى الكتابة في ثلثه بثلث 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القيمة مائة و النجوم مائة و خمسين فكذلك يعتق ثلثاه، و تبقى الكتابة في ثلثه بثلث مالها و هو خمسون</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أطلقه الجماعة</w:t>
      </w:r>
      <w:r>
        <w:rPr>
          <w:rStyle w:val="FootnoteAnchor"/>
          <w:rtl w:val="true"/>
        </w:rPr>
        <w:footnoteReference w:id="1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يتمّ بلا إشكال على القول بجواز الكتابة من جهة المكاتب؛ </w:t>
      </w:r>
    </w:p>
    <w:p>
      <w:pPr>
        <w:pStyle w:val="BookText"/>
        <w:rPr/>
      </w:pPr>
      <w:r>
        <w:rPr>
          <w:rFonts w:ascii="Amiri" w:hAnsi="Amiri" w:eastAsia="Amiri" w:cs="Amiri"/>
          <w:color w:val="111111"/>
          <w:sz w:val="28"/>
          <w:sz w:val="28"/>
          <w:szCs w:val="28"/>
          <w:rtl w:val="true"/>
          <w:lang w:bidi="ar-SA"/>
        </w:rPr>
        <w:t xml:space="preserve">السادسة • إذا أوصى بعتق المكاتب، فمات و ليس له سواه، و لم يحلّ مال الكتابة يعتق ثلثه معجّلاً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لاينتظر بعتق الثلث حلول الكتابة؛ لأنّه إن أدّى حصل للورثة المال، و إن عجز استرقّوا ثلثيه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ثلثاه مكاتباً يتحرّر عند أداء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مال الكتابة غير مستقرّ، أمّا على القول بلزومها فلايخلو اعتباره من إشكال إلّا أن يتحقّق العجز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فإنّه إذا أدّى الخمسين في المثال زاد مال المولى؛ لأنّه يثبت هذا المال بعقده و ورث منه، فينبغي أن يزيد ما يعتقه منه فيدخلها الدور، و يستخرج حينئذٍ بالجبر كنظائرها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أوصى بعتق المكاتب فمات و ليس له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ثابت سواء عجّل عتقه أو أوصى به، و إنّما خصّص الحكم بالوصيّة بالعتق</w:t>
      </w:r>
    </w:p>
    <w:p>
      <w:pPr>
        <w:pStyle w:val="BookText"/>
        <w:rPr/>
      </w:pPr>
      <w:r>
        <w:rPr>
          <w:rFonts w:ascii="Amiri" w:hAnsi="Amiri" w:eastAsia="Amiri" w:cs="Amiri"/>
          <w:color w:val="111111"/>
          <w:sz w:val="28"/>
          <w:sz w:val="28"/>
          <w:szCs w:val="28"/>
          <w:rtl w:val="true"/>
          <w:lang w:bidi="ar-SA"/>
        </w:rPr>
        <w:t>ليكون مجزوماً بكون المعتق ثلثه؛ للخلاف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لاينتظر بعتق الثلث حلول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بعض الشافعيّة، حيث اعتبر في عتق الثلث وصول الثلاثين إلى الوارث</w:t>
      </w:r>
      <w:r>
        <w:rPr>
          <w:rStyle w:val="FootnoteAnchor"/>
          <w:rtl w:val="true"/>
        </w:rPr>
        <w:footnoteReference w:id="1838"/>
      </w:r>
      <w:r>
        <w:rPr>
          <w:rFonts w:ascii="Amiri" w:hAnsi="Amiri" w:eastAsia="Amiri" w:cs="Amiri"/>
          <w:color w:val="111111"/>
          <w:sz w:val="28"/>
          <w:sz w:val="28"/>
          <w:szCs w:val="28"/>
          <w:rtl w:val="true"/>
          <w:lang w:bidi="ar-SA"/>
        </w:rPr>
        <w:t>لأنّ نفوذ الوصيّة مشروط بكون ضعفها يد الوارث، و لمّا لم يرجع هنا إلى الوارث ثلثا العبد و لا مقداره من المال لم يحكم بنفوذ العتق في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جوابه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إن أدّى حصل للورثة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محصّله أنّ الورثة قد حصل لهم ضعفه يقيناً وإنّما الموقوف عين الحاصل؛ و ذلك لأنّ المكاتب إن أدّى مال الكتابة عن الثلاثين حصل للورثة المال و هو ضعف ما عتق، و إن عجز استرقّوا ثلثيه و هو الضعف أيضاً، فضعف الوصيّة حاصل على التقديرين و إن لم يكن متعيّناً</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أحد الأمرين </w:t>
      </w:r>
    </w:p>
    <w:p>
      <w:pPr>
        <w:pStyle w:val="BookText"/>
        <w:rPr/>
      </w:pPr>
      <w:r>
        <w:rPr>
          <w:rFonts w:ascii="Amiri" w:hAnsi="Amiri" w:eastAsia="Amiri" w:cs="Amiri"/>
          <w:color w:val="111111"/>
          <w:sz w:val="28"/>
          <w:sz w:val="28"/>
          <w:szCs w:val="28"/>
          <w:rtl w:val="true"/>
          <w:lang w:bidi="ar-SA"/>
        </w:rPr>
        <w:t>السابعة • إذا كاتب المريض عبده اعتبر من الثلث؛ لأنّه معاملة على ماله بماله، فجرت المكاتبة مجرى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قول آخر أنّه من أصل المال، بناءً على القول بأنّ المنجّزات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خرج من الثلث نفذت الكتابة فيه أجمع، و ينعتق عند أداء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سواه صحّت في ثلثه و بطلت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الجواب نظر؛ لأنّ الوارث ممنوع من التصرّف فيما حصل له قبل استقرار الأمر بتعيّن أحد الأمرين، و الوصيّة نافذة بغير مانع فالشبهة غير منحسمة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الكلام على نظير المسألة فيما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الوصايا</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أنّ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يبقى ثلثاه مكاتباً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ثلثه معجّلاً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بينهما معترض بين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كاتب المريض عبده اعتبر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معاملة على ماله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سؤال مقدّر، تقديره؛ أنّ الكتابة معاوضة ماليّة؛ لأنّها إمّا بيع العبد نفسه أو عتق بعوض، فالعوض حاصل على التقديرين و هو واصل إلى الورثة في مقابلة العبد، فإذا كان بقدر قيمته أو أزيد انتفى التبرّع و المحاباة فلأيّ شيء يعتبر من الثلث؟</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الكتابة و إن كانت معاوضةٌ إلّا أنّها بحسب الصورة لا الحقيقة؛ لأنّ العوض و المعوّض كليهما من مال المولى؛ إذ الكسب تابع للمملوك، فهي معاوضة على ماله بماله، فكانت في معنى التبرّع المحض فلذلك اعتبرت من الثلث مع عدم الإجازة، بخلاف المعاوضة المشتملة على عوض يدخل في مال المالك من خارج كالبيع بثمن المثل و الإجارة؛ إذ ليس فيها تفويت مال و إن اشتملت على تبدّل الأعيان؛ لأنّ المعتبر في نظر العقلاء غالباً هو أصل الماليّة دون خصوصيّة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يخالف ما إذا باع نسيئة في مرض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الموت بثمن المثل حيث یصحّ البيع في الجميع؛ لأنّه لو لم يبع لم يحصل له الثمن، و ها هنا لو لم يكاتب لحصل له كسبه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ذلك، فإذا كاتب في مرض الموت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منجّزاته من الثلث اعتبرت قيمة العبد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يملك شيئاً سواه و أدّى النجوم في حياة المولى، فإن كان كاتبه على مثلي قيمته عتق کلّه؛ لأنّه يبقى للورثة مثلاه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كاتبه على مثل قيمته عتق منه ثلثاه؛لأنّه إذا أخذ مائة و قيمته مائة فالجملة مائتان فينفذ التبرّع في ثلث المائتين و هو ثلثا المائة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كاتبه على مثل قيمته و قبض نصف النجوم صحّت الكتابة في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يؤدّ حتّى مات السيّد نُظر، إن لم تجزئ الورثة ما زاد على الثلث فثلثه مكاتب، فإن أدّى حصّته من النجوم 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يزاد في الكتابة بقدر نصف ما أدّى و هو سدس العبد إذا كانت النجوم مثل القيمة ؟ فيه وجهان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العدم أنّ الكتابة قد بطلت في الثلاثين فلا 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جزم به المصنّف و الجماعة</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الزيادة زيادة ما صار بيد الوارث، فكان كما لو ظهر للميّت دفين أو نصب شبكة في الحياة فيعقل فيها صيد بعد الموت، فإنّه يزاد في الکتابة لذالک </w:t>
      </w:r>
      <w:bookmarkStart w:id="553" w:name="pg10270_80563"/>
    </w:p>
    <w:p>
      <w:pPr>
        <w:pStyle w:val="Heading3"/>
        <w:numPr>
          <w:ilvl w:val="2"/>
          <w:numId w:val="1"/>
        </w:numPr>
        <w:rPr/>
      </w:pPr>
      <w:bookmarkStart w:id="554" w:name="__RefHeading___Toc3860374_1067777946"/>
      <w:bookmarkStart w:id="555" w:name="_Toc201"/>
      <w:bookmarkEnd w:id="553"/>
      <w:bookmarkEnd w:id="554"/>
      <w:r>
        <w:rPr>
          <w:rtl w:val="true"/>
        </w:rPr>
        <w:t>الاستيلاد</w:t>
      </w:r>
      <w:bookmarkEnd w:id="555"/>
    </w:p>
    <w:p>
      <w:pPr>
        <w:pStyle w:val="Heading4"/>
        <w:numPr>
          <w:ilvl w:val="3"/>
          <w:numId w:val="1"/>
        </w:numPr>
        <w:rPr/>
      </w:pPr>
      <w:bookmarkStart w:id="556" w:name="__RefHeading___Toc3860376_1067777946"/>
      <w:bookmarkStart w:id="557" w:name="_Toc202"/>
      <w:bookmarkEnd w:id="556"/>
      <w:r>
        <w:rPr>
          <w:rtl w:val="true"/>
        </w:rPr>
        <w:t>اشارة</w:t>
      </w:r>
      <w:bookmarkEnd w:id="5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الاستيلاد</w:t>
      </w:r>
    </w:p>
    <w:p>
      <w:pPr>
        <w:pStyle w:val="BookText"/>
        <w:rPr/>
      </w:pPr>
      <w:r>
        <w:rPr>
          <w:rFonts w:ascii="Amiri" w:hAnsi="Amiri" w:eastAsia="Amiri" w:cs="Amiri"/>
          <w:color w:val="111111"/>
          <w:sz w:val="28"/>
          <w:sz w:val="28"/>
          <w:szCs w:val="28"/>
          <w:rtl w:val="true"/>
          <w:lang w:bidi="ar-SA"/>
        </w:rPr>
        <w:t>فيستدعي بيان أمرين</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3860378_1067777946"/>
      <w:bookmarkStart w:id="559" w:name="_Toc203"/>
      <w:bookmarkEnd w:id="558"/>
      <w:r>
        <w:rPr>
          <w:rtl w:val="true"/>
        </w:rPr>
        <w:t>الأمر الأوّل في كيفيّة الاستيلاد</w:t>
      </w:r>
      <w:bookmarkEnd w:id="559"/>
    </w:p>
    <w:p>
      <w:pPr>
        <w:pStyle w:val="BookText"/>
        <w:rPr/>
      </w:pPr>
      <w:r>
        <w:rPr>
          <w:rFonts w:ascii="Amiri" w:hAnsi="Amiri" w:eastAsia="Amiri" w:cs="Amiri"/>
          <w:color w:val="111111"/>
          <w:sz w:val="28"/>
          <w:sz w:val="28"/>
          <w:szCs w:val="28"/>
          <w:rtl w:val="true"/>
          <w:lang w:bidi="ar-SA"/>
        </w:rPr>
        <w:t>و هو يتحقّق بعلوق أمته منه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أولد أمة غيره مملوكاً ثم ملكها لم تصر أُمّ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أولدها حرّاً ثم ملكها ،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أُمّ ولده، و في رواية ابن مارد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تصير أُمّ 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الاستيلاد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يتحقّق بعلوق أمته منه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تصير أُمّ ولد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يدخل في العلوق إذا ولدته تامّاً و ناقصاً، بل مضغةً و علقةً، لا نطفةً في الأصحّ؛ لعدم اليقين بكونها مبدأ للنشوء و استعدادها للصورة الإنسانیّة بخلاف أُختَيها، و استصحاباً لحكم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فائدة غير الحيّ  إبطال التصرّف المخرج عن الملك الواقع زمن الحمل، و انقضاء العِدّة به للحرّة و الأمة من الزوج و الشبهة</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في تحقّق الاستيلاد كون الولد حرّاً حال العلوق على الأظهر، بل لم ينقل المصنّف فيه خلافاً؛ لأنّ الاستيلاد إنّما يثبت تبعاً لحرّيّة الولد و إلى ذلك أشار النبي صلّى الله عليه و آله و سلّم بقوله في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أعتقها ولدها</w:t>
      </w:r>
      <w:r>
        <w:rPr>
          <w:rFonts w:eastAsia="Amiri" w:cs="Amiri" w:ascii="Amiri" w:hAnsi="Amiri"/>
          <w:color w:val="111111"/>
          <w:sz w:val="28"/>
          <w:szCs w:val="28"/>
          <w:rtl w:val="true"/>
          <w:lang w:bidi="ar-SA"/>
        </w:rPr>
        <w:t>»</w:t>
      </w:r>
      <w:r>
        <w:rPr>
          <w:rStyle w:val="FootnoteAnchor"/>
          <w:rtl w:val="true"/>
        </w:rPr>
        <w:footnoteReference w:id="1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مملوكاً له إمّا لكون الواطئ عبداً حالة الوطء و الحمل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وطئ المرهونة فحملت دخلت في حكم أُمّهات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باشتراط الرقّيّة في حال كونه حرّاً و جوّزنا الشرط لم تصر أُمّ ولد، خلافاً للشيخ</w:t>
      </w:r>
      <w:r>
        <w:rPr>
          <w:rStyle w:val="FootnoteAnchor"/>
          <w:rtl w:val="true"/>
        </w:rPr>
        <w:footnoteReference w:id="1842"/>
      </w:r>
      <w:r>
        <w:rPr>
          <w:rFonts w:ascii="Amiri" w:hAnsi="Amiri" w:eastAsia="Amiri" w:cs="Amiri"/>
          <w:color w:val="111111"/>
          <w:sz w:val="28"/>
          <w:sz w:val="28"/>
          <w:szCs w:val="28"/>
          <w:rtl w:val="true"/>
          <w:lang w:bidi="ar-SA"/>
        </w:rPr>
        <w:t>و ابن حمزة</w:t>
      </w:r>
      <w:r>
        <w:rPr>
          <w:rStyle w:val="FootnoteAnchor"/>
          <w:rtl w:val="true"/>
        </w:rPr>
        <w:footnoteReference w:id="1843"/>
      </w:r>
      <w:r>
        <w:rPr>
          <w:rFonts w:ascii="Amiri" w:hAnsi="Amiri" w:eastAsia="Amiri" w:cs="Amiri"/>
          <w:color w:val="111111"/>
          <w:sz w:val="28"/>
          <w:sz w:val="28"/>
          <w:szCs w:val="28"/>
          <w:rtl w:val="true"/>
          <w:lang w:bidi="ar-SA"/>
        </w:rPr>
        <w:t>نظراً إلى الوضع اللغوي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كذا الخلاف فيما إذا أولد أمة غيره ولداً حرّاً، بأن تزوّجها في حال حرّيّته و لم يشترط الرقيّة ثمّ ملكها؛ عملاً بالأصل و الشكّ في السبب، و لأنّ الاستيلاد لم يثبت في الحال فلايثبت بعد، مؤيّداً برواية ابن مارد عن الصادق علیه السلام في رجل يتزوّج الأمة و يولدها ثمّ يملكها و لم تلد عنده بعد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أمته إن شاء باعها ما لم يحدث بعد ذلك حمل، و إن شاء أعتق</w:t>
      </w:r>
      <w:r>
        <w:rPr>
          <w:rFonts w:eastAsia="IRNazanin" w:cs="IRNazanin"/>
          <w:color w:val="111111"/>
          <w:sz w:val="28"/>
          <w:szCs w:val="28"/>
          <w:rtl w:val="true"/>
          <w:lang w:bidi="fa-IR"/>
        </w:rPr>
        <w:t>»</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وطئ المرهونة فحملت دخلت في حكم أُمّهات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وطئ الراهن أمته المرهونة فحملت صارت أمّ ولد؛ لوجود المقتضي له و هو علوقها في ملكه، و انتفاء المانع؛ إذ ليس إلّا كونها مرهونة و الرهن لم يخرجها عن ملكه و إن حظر عليه التصرّف، فإنّ الاستيلاد يجامع الوطء المحرّم بعارض حيث يكون الملك متحقّقاً، كالوطء في حالة الحيض و الإحرام</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في حكم أُمّهات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بيعها على المرتهن، و ذلك في معنى بطلان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الأقوال في المسألة، و به صرّح المصنّف في كتاب الرهن</w:t>
      </w:r>
      <w:r>
        <w:rPr>
          <w:rStyle w:val="FootnoteAnchor"/>
          <w:rtl w:val="true"/>
        </w:rPr>
        <w:footnoteReference w:id="1845"/>
      </w:r>
      <w:r>
        <w:rPr>
          <w:rFonts w:ascii="Amiri" w:hAnsi="Amiri" w:eastAsia="Amiri" w:cs="Amiri"/>
          <w:color w:val="111111"/>
          <w:sz w:val="28"/>
          <w:sz w:val="28"/>
          <w:szCs w:val="28"/>
          <w:rtl w:val="true"/>
          <w:lang w:bidi="ar-SA"/>
        </w:rPr>
        <w:t>العموم النهي عن بيع أمّهات الأولاد</w:t>
      </w:r>
      <w:r>
        <w:rPr>
          <w:rStyle w:val="FootnoteAnchor"/>
          <w:rtl w:val="true"/>
        </w:rPr>
        <w:footnoteReference w:id="1846"/>
      </w:r>
      <w:r>
        <w:rPr>
          <w:rFonts w:ascii="Amiri" w:hAnsi="Amiri" w:eastAsia="Amiri" w:cs="Amiri"/>
          <w:color w:val="111111"/>
          <w:sz w:val="28"/>
          <w:sz w:val="28"/>
          <w:szCs w:val="28"/>
          <w:rtl w:val="true"/>
          <w:lang w:bidi="ar-SA"/>
        </w:rPr>
        <w:t>، و فيه قول آخر أنّه لايبطل، و يقدّم حقّ المرتهن لسبقه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أقوى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وطئ الذمّى أمته فحملت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أسلمت بيعت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يحال بينه و بينها و تجعل على يد امرأة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وطئ الذمّي أمته فحملت منه، و لو أسلمت بيعت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غير شرط في الاستيلاد؛ للعموم</w:t>
      </w:r>
      <w:r>
        <w:rPr>
          <w:rStyle w:val="FootnoteAnchor"/>
          <w:rtl w:val="true"/>
        </w:rPr>
        <w:footnoteReference w:id="1847"/>
      </w:r>
      <w:r>
        <w:rPr>
          <w:rFonts w:ascii="Amiri" w:hAnsi="Amiri" w:eastAsia="Amiri" w:cs="Amiri"/>
          <w:color w:val="111111"/>
          <w:sz w:val="28"/>
          <w:sz w:val="28"/>
          <w:szCs w:val="28"/>
          <w:rtl w:val="true"/>
          <w:lang w:bidi="ar-SA"/>
        </w:rPr>
        <w:t>، فلو أولد الكافر أمته لحقها حكم أُمّهات الأولاد، لكن لو أسلمت قبله تعارض عموم تحريم بيع أُمّ الولد</w:t>
      </w:r>
      <w:r>
        <w:rPr>
          <w:rStyle w:val="FootnoteAnchor"/>
          <w:rtl w:val="true"/>
        </w:rPr>
        <w:footnoteReference w:id="1848"/>
      </w:r>
      <w:r>
        <w:rPr>
          <w:rFonts w:ascii="Amiri" w:hAnsi="Amiri" w:eastAsia="Amiri" w:cs="Amiri"/>
          <w:color w:val="111111"/>
          <w:sz w:val="28"/>
          <w:sz w:val="28"/>
          <w:szCs w:val="28"/>
          <w:rtl w:val="true"/>
          <w:lang w:bidi="ar-SA"/>
        </w:rPr>
        <w:t>و تحريم بقاء المسلم في ملك الكافر الموجب لوجود السبيل له عليه المنفيّ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1849"/>
      </w:r>
      <w:r>
        <w:rPr>
          <w:rFonts w:ascii="Amiri" w:hAnsi="Amiri" w:eastAsia="Amiri" w:cs="Amiri"/>
          <w:color w:val="111111"/>
          <w:sz w:val="28"/>
          <w:sz w:val="28"/>
          <w:szCs w:val="28"/>
          <w:rtl w:val="true"/>
          <w:lang w:bidi="ar-SA"/>
        </w:rPr>
        <w:t>، فيجب إزالة السبيل عن أُمّ الولد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كلام الشيخ و غيره في مزيله، ففي المبسوط تباع</w:t>
      </w:r>
      <w:r>
        <w:rPr>
          <w:rStyle w:val="FootnoteAnchor"/>
          <w:rtl w:val="true"/>
        </w:rPr>
        <w:footnoteReference w:id="1850"/>
      </w:r>
      <w:r>
        <w:rPr>
          <w:rFonts w:ascii="Amiri" w:hAnsi="Amiri" w:eastAsia="Amiri" w:cs="Amiri"/>
          <w:color w:val="111111"/>
          <w:sz w:val="28"/>
          <w:sz w:val="28"/>
          <w:szCs w:val="28"/>
          <w:rtl w:val="true"/>
          <w:lang w:bidi="ar-SA"/>
        </w:rPr>
        <w:t>، و هو الذي اختاره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السبيل لاينتفي رأساً بدونه، و يكون بيعها مستثنى من عموم النهي لذلك، فإنّه مخصوص بمواضع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الخلاف تجعل عند امرأة مسلمة تتولّى القيام بحالها</w:t>
      </w:r>
      <w:r>
        <w:rPr>
          <w:rStyle w:val="FootnoteAnchor"/>
          <w:rtl w:val="true"/>
        </w:rPr>
        <w:footnoteReference w:id="1851"/>
      </w:r>
      <w:r>
        <w:rPr>
          <w:rFonts w:ascii="Amiri" w:hAnsi="Amiri" w:eastAsia="Amiri" w:cs="Amiri"/>
          <w:color w:val="111111"/>
          <w:sz w:val="28"/>
          <w:sz w:val="28"/>
          <w:szCs w:val="28"/>
          <w:rtl w:val="true"/>
          <w:lang w:bidi="ar-SA"/>
        </w:rPr>
        <w:t>جمعاً بين الحقّين؛ لأنّ الاستيلاد مانع من البيع و لاسبيل إلى بقاء السبيل فيجمع بينهما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للعلّامة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تستسعى</w:t>
      </w:r>
      <w:r>
        <w:rPr>
          <w:rStyle w:val="FootnoteAnchor"/>
          <w:rtl w:val="true"/>
        </w:rPr>
        <w:footnoteReference w:id="1852"/>
      </w:r>
      <w:r>
        <w:rPr>
          <w:rFonts w:ascii="Amiri" w:hAnsi="Amiri" w:eastAsia="Amiri" w:cs="Amiri"/>
          <w:color w:val="111111"/>
          <w:sz w:val="28"/>
          <w:sz w:val="28"/>
          <w:szCs w:val="28"/>
          <w:rtl w:val="true"/>
          <w:lang w:bidi="ar-SA"/>
        </w:rPr>
        <w:t>لأنّ العتق و الحيلولة إضرار بالملك، و البيع منهيّ عنه، و السبيل واجب الإزالة، فوجب الاستسعاء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يوجب الاكتفاء بالكتابة بطريق أولى؛ لأنّها تقطع تصرّف المولى بخلاف الاستسعاء</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فيه لله تعالى لا للمملوك، فلو رضي ببقائه في ملك الكافر لم يجب إليه</w:t>
      </w:r>
      <w:r>
        <w:rPr>
          <w:rFonts w:eastAsia="Amiri" w:cs="Amiri" w:ascii="Amiri" w:hAnsi="Amiri"/>
          <w:color w:val="111111"/>
          <w:sz w:val="28"/>
          <w:szCs w:val="28"/>
          <w:rtl w:val="true"/>
          <w:lang w:bidi="ar-SA"/>
        </w:rPr>
        <w:t xml:space="preserve">. </w:t>
      </w:r>
      <w:bookmarkStart w:id="560" w:name="pg10270_80566"/>
    </w:p>
    <w:p>
      <w:pPr>
        <w:pStyle w:val="Heading4"/>
        <w:numPr>
          <w:ilvl w:val="3"/>
          <w:numId w:val="1"/>
        </w:numPr>
        <w:rPr/>
      </w:pPr>
      <w:bookmarkStart w:id="561" w:name="__RefHeading___Toc3860380_1067777946"/>
      <w:bookmarkStart w:id="562" w:name="_Toc204"/>
      <w:bookmarkEnd w:id="560"/>
      <w:bookmarkEnd w:id="561"/>
      <w:r>
        <w:rPr>
          <w:rtl w:val="true"/>
        </w:rPr>
        <w:t>الثاني في الأحكام المتعلّقة بأم الولد</w:t>
      </w:r>
      <w:bookmarkEnd w:id="562"/>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الولد مملوكة لاتتحرّر بموت المولى، بل من نصيب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لايجوز للمولى بيعها ما دام ولدها حيّاً، إلّا في ثمن رقبتها إذا كان ديناً على المولى، و لا وجه لأدائه إلّا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مات ولدها رجعت مطلقاً، و جاز التصرّف فيها بالبيع و غيره من التصرّفات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مولاها و ولدها حيّ جعلت في نصيب ولدها و عتقت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يكن سواها عتق نصيب ولدها منها، وسعت في 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على ولدها إن كان موسرا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مهجورة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الولد مملوكة لاتتحرّر بموت المولى، بل من نصيب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لا خلاف في كون أُمّ الولد مملوكة ما دام المولى حيّاً، فيلحقها أحكام المماليك من جواز إجارتها و تزويجها و تحليلها للغير و وجوب نفقتها و غير ذلك من الأحكام، سوى البيع و نحوه من وجوه النقل عن ملكه، إلّا في مواضع مخصوصة أشهرها في ثمن رقبتها إذا كان ديناً على المولى و لا وجه له إلى أدائه سواها، سواء كان حيّاً أم ميّتاً على ما يقتضيه إطلاق العبارة، و الأمر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البحث فيه في النكاح</w:t>
      </w:r>
      <w:r>
        <w:rPr>
          <w:rStyle w:val="FootnoteAnchor"/>
          <w:rtl w:val="true"/>
        </w:rPr>
        <w:footnoteReference w:id="1853"/>
      </w:r>
      <w:r>
        <w:rPr>
          <w:rFonts w:ascii="Amiri" w:hAnsi="Amiri" w:eastAsia="Amiri" w:cs="Amiri"/>
          <w:color w:val="111111"/>
          <w:sz w:val="28"/>
          <w:sz w:val="28"/>
          <w:szCs w:val="28"/>
          <w:rtl w:val="true"/>
          <w:lang w:bidi="ar-SA"/>
        </w:rPr>
        <w:t>و البيع</w:t>
      </w:r>
      <w:r>
        <w:rPr>
          <w:rStyle w:val="FootnoteAnchor"/>
          <w:rtl w:val="true"/>
        </w:rPr>
        <w:footnoteReference w:id="1854"/>
      </w:r>
      <w:r>
        <w:rPr>
          <w:rFonts w:ascii="IRNazanin" w:hAnsi="IRNazanin" w:eastAsia="IRNazanin"/>
          <w:color w:val="111111"/>
          <w:sz w:val="28"/>
          <w:sz w:val="28"/>
          <w:szCs w:val="28"/>
          <w:rtl w:val="true"/>
          <w:lang w:bidi="fa-IR"/>
        </w:rPr>
        <w:t>فلا وجه لإعادته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مولاها و ولدها حيّ جعلت في نصيب ولدها و عتقت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شبهة فى انعتاق نصيب ولدها منها بمقتضى الملك و عتق القريب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جعلها بأجمعها في نصيب ولدها مع ترك مولاها مالاً غيرها فمستنده النصّ</w:t>
      </w:r>
      <w:r>
        <w:rPr>
          <w:rStyle w:val="FootnoteAnchor"/>
          <w:rtl w:val="true"/>
        </w:rPr>
        <w:footnoteReference w:id="1855"/>
      </w:r>
      <w:r>
        <w:rPr>
          <w:rFonts w:ascii="Amiri" w:hAnsi="Amiri" w:eastAsia="Amiri" w:cs="Amiri"/>
          <w:color w:val="111111"/>
          <w:sz w:val="28"/>
          <w:sz w:val="28"/>
          <w:szCs w:val="28"/>
          <w:rtl w:val="true"/>
          <w:lang w:bidi="ar-SA"/>
        </w:rPr>
        <w:t xml:space="preserve">، و إلّا فهو حكم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لأمّ ولده،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تنعتق من نصيب ولدها و تعطى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تنعتق من الوصيّة، فإن فضل منها شيء عتق من نصيب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خلاف الأصل؛ حيث إنّ الملك قهري فلايسري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سواها عتق نصيبه منها وسعت في الباقي، كما في كلّ من أعتق بعضه و لم يسر الباقي على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الرواية بتقويمها على ولدها هي موثّقة وهيب بن حفص عن أبي بصير، عن الصادق علیه السلام أنّه سأله عن رجل اشترى جاريةً فولدت منه ولداً فمات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بيعها باعها، وإن مات مولاها و عليه دين قوّمت على ابنها، فإن كان ابنها صغيراً انتظر به حتّى يكبر ثمّ يجبر على قيمتها، فإن مات ابنها قبل أُمّه بيعت في ميراث الورثة إن شاء الورثة</w:t>
      </w:r>
      <w:r>
        <w:rPr>
          <w:rFonts w:eastAsia="IRNazanin" w:cs="IRNazanin"/>
          <w:color w:val="111111"/>
          <w:sz w:val="28"/>
          <w:szCs w:val="28"/>
          <w:rtl w:val="true"/>
          <w:lang w:bidi="fa-IR"/>
        </w:rPr>
        <w:t>»</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عمل بمضمونها الشيخ في النهاية</w:t>
      </w:r>
      <w:r>
        <w:rPr>
          <w:rStyle w:val="FootnoteAnchor"/>
          <w:rtl w:val="true"/>
        </w:rPr>
        <w:footnoteReference w:id="1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سندها ما لايخفى، و هي مع ذلك مهجورة العمل عند غير الشيخ في النهاية، و قد رجع عنه في غيرها</w:t>
      </w:r>
      <w:r>
        <w:rPr>
          <w:rStyle w:val="FootnoteAnchor"/>
          <w:rtl w:val="true"/>
        </w:rPr>
        <w:footnoteReference w:id="1858"/>
      </w:r>
      <w:r>
        <w:rPr>
          <w:rFonts w:ascii="Amiri" w:hAnsi="Amiri" w:eastAsia="Amiri" w:cs="Amiri"/>
          <w:color w:val="111111"/>
          <w:sz w:val="28"/>
          <w:sz w:val="28"/>
          <w:szCs w:val="28"/>
          <w:rtl w:val="true"/>
          <w:lang w:bidi="ar-SA"/>
        </w:rPr>
        <w:t>، فالمذهب عدم 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أوصى لأمّ ولده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تنعتق من نصيب ولدها و تعطى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التركة تنتقل من حين الموت إلى الوارث، و إن منع من التصرّف فيها قبل أداء الدين و الوصيّة، فينعتق عليه نصيبه و يحتسب عليه الباقي 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صحيحة أبي عبيدة عن الصادق علیه السلام</w:t>
      </w:r>
      <w:r>
        <w:rPr>
          <w:rStyle w:val="FootnoteAnchor"/>
          <w:rtl w:val="true"/>
        </w:rPr>
        <w:footnoteReference w:id="1859"/>
      </w:r>
      <w:r>
        <w:rPr>
          <w:rFonts w:ascii="Amiri" w:hAnsi="Amiri" w:eastAsia="Amiri" w:cs="Amiri"/>
          <w:color w:val="111111"/>
          <w:sz w:val="28"/>
          <w:sz w:val="28"/>
          <w:szCs w:val="28"/>
          <w:rtl w:val="true"/>
          <w:lang w:bidi="ar-SA"/>
        </w:rPr>
        <w:t>، ما يدلّ عليه أيضاً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الإرث متوقّف على أداء الدين و الوصيّة؛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w:t>
      </w:r>
      <w:r>
        <w:rPr>
          <w:rStyle w:val="FootnoteAnchor"/>
          <w:rtl w:val="true"/>
        </w:rPr>
        <w:footnoteReference w:id="1860"/>
      </w:r>
      <w:r>
        <w:rPr>
          <w:rFonts w:ascii="Amiri" w:hAnsi="Amiri" w:eastAsia="Amiri" w:cs="Amiri"/>
          <w:color w:val="111111"/>
          <w:sz w:val="28"/>
          <w:sz w:val="28"/>
          <w:szCs w:val="28"/>
          <w:rtl w:val="true"/>
          <w:lang w:bidi="ar-SA"/>
        </w:rPr>
        <w:t>، فلايحكم لابنها بشيء حتّى يحكم لها بالوصيّة، فيعتق منها إن وفت بقيمتها، و يكمل من نصيب ولدها إن قصر كما لو لم يكن هناك وصيّة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جنت أُمّ الولد خطاً تعلّقت الجناية برقبتها و للمولى فكّها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بكم يفكّها ؟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بأقلّ الأمرين من أرش الجناية و قيمتها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بأرش الجناية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 دفعها إلى المجنيّ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مسمع عن أبي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جنايتها في حقوق الناس على سيّدها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جنت على جماعة فالخيار للمولى أيضاً بين فديتها، و تسليمها إلى المجنيّ عليهم أو ورثتهم على قدر 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هنا الثاني، و في النكت اختار الأوّل</w:t>
      </w:r>
      <w:r>
        <w:rPr>
          <w:rStyle w:val="FootnoteAnchor"/>
          <w:rtl w:val="true"/>
        </w:rPr>
        <w:footnoteReference w:id="1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لاتخلو من إشكال، و الرواية لاتخلو من 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البحث فيها مستوفى في الوصايا</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جنت أُمّ الولد خطاً تعلّقت الجناية برقبتها و للمولى فكّها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تخییره بين فداها و دفعها أنّها مملوكة له و المولى لايعقل عبداً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اختار فداها ففي مقداره قولان للشيخ، ففي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يفديها بأقلّ الأمرين من قيمتها و أرش الجناية </w:t>
      </w:r>
      <w:r>
        <w:rPr>
          <w:rStyle w:val="FootnoteAnchor"/>
          <w:rtl w:val="true"/>
        </w:rPr>
        <w:footnoteReference w:id="1863"/>
      </w:r>
      <w:r>
        <w:rPr>
          <w:rFonts w:ascii="Amiri" w:hAnsi="Amiri" w:eastAsia="Amiri" w:cs="Amiri"/>
          <w:color w:val="111111"/>
          <w:sz w:val="28"/>
          <w:sz w:val="28"/>
          <w:szCs w:val="28"/>
          <w:rtl w:val="true"/>
          <w:lang w:bidi="ar-SA"/>
        </w:rPr>
        <w:t>لأنّ الأقلّ إن كان هو الأرش فظاهر، و إن كان القيمة فهي بدل العين فيقوم مقامها، و الجاني لايجني على أكثر من نفسه و المولى لايعقل مملوكه فلايلزم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يفديها بأرش الجناية بالغاً ما بلغ إن لم يسلّمها</w:t>
      </w:r>
      <w:r>
        <w:rPr>
          <w:rStyle w:val="FootnoteAnchor"/>
          <w:rtl w:val="true"/>
        </w:rPr>
        <w:footnoteReference w:id="1864"/>
      </w:r>
      <w:r>
        <w:rPr>
          <w:rFonts w:ascii="Amiri" w:hAnsi="Amiri" w:eastAsia="Amiri" w:cs="Amiri"/>
          <w:color w:val="111111"/>
          <w:sz w:val="28"/>
          <w:sz w:val="28"/>
          <w:szCs w:val="28"/>
          <w:rtl w:val="true"/>
          <w:lang w:bidi="ar-SA"/>
        </w:rPr>
        <w:t>لتعلّقه برقبتها، و ربما رغب فيها راغب بالزيادة لو دفعها، و هذا هو الذي اختاره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الحكم مختصّاً بأم الولد بل بكلّ مملوك</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للشيخ في المبسوط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أرش جنايتها على سيّدها</w:t>
      </w:r>
      <w:r>
        <w:rPr>
          <w:rStyle w:val="FootnoteAnchor"/>
          <w:rtl w:val="true"/>
        </w:rPr>
        <w:footnoteReference w:id="1865"/>
      </w:r>
      <w:r>
        <w:rPr>
          <w:rFonts w:ascii="Amiri" w:hAnsi="Amiri" w:eastAsia="Amiri" w:cs="Amiri"/>
          <w:color w:val="111111"/>
          <w:sz w:val="28"/>
          <w:sz w:val="28"/>
          <w:szCs w:val="28"/>
          <w:rtl w:val="true"/>
          <w:lang w:bidi="ar-SA"/>
        </w:rPr>
        <w:t>لمنعه بيعها بالاستيلاد، فأشبه عتق الجاني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محمّد بن قيس عن أبي جعفر علیه السلام في وليدة نصرانیّة أسلمت عند رجل، و ولدت منه غلاماً و مات، فأعتقت و تزوّجت نصرانيّاً و تنصّرت و ولدت،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ولدها لابنها من سيّدها، و تحبس حتّى تضع، فإذا ولدت فاقتلها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بها ما يفعل بالمرتدّة، و الرواية 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عليه رواية مسمع بن عبد الملك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الولد جنايتها في حقوق الناس على سيّدها، و متى كان من حقوق الله تعالى في الحدود فإنّ ذلك على بدنها، و يقاصّ منها للمماليك</w:t>
      </w:r>
      <w:r>
        <w:rPr>
          <w:rFonts w:eastAsia="IRNazanin" w:cs="IRNazanin"/>
          <w:color w:val="111111"/>
          <w:sz w:val="28"/>
          <w:szCs w:val="28"/>
          <w:rtl w:val="true"/>
          <w:lang w:bidi="fa-IR"/>
        </w:rPr>
        <w:t>»</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محمّد بن قيس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سندها باشتراك محمّد بن قيس بين الثقة</w:t>
      </w:r>
      <w:r>
        <w:rPr>
          <w:rStyle w:val="FootnoteAnchor"/>
          <w:rtl w:val="true"/>
        </w:rPr>
        <w:footnoteReference w:id="1867"/>
      </w:r>
      <w:r>
        <w:rPr>
          <w:rFonts w:ascii="Amiri" w:hAnsi="Amiri" w:eastAsia="Amiri" w:cs="Amiri"/>
          <w:color w:val="111111"/>
          <w:sz w:val="28"/>
          <w:sz w:val="28"/>
          <w:szCs w:val="28"/>
          <w:rtl w:val="true"/>
          <w:lang w:bidi="ar-SA"/>
        </w:rPr>
        <w:t>و الضعيف</w:t>
      </w:r>
      <w:r>
        <w:rPr>
          <w:rStyle w:val="FootnoteAnchor"/>
          <w:rtl w:val="true"/>
        </w:rPr>
        <w:footnoteReference w:id="1868"/>
      </w:r>
      <w:r>
        <w:rPr>
          <w:rFonts w:ascii="Amiri" w:hAnsi="Amiri" w:eastAsia="Amiri" w:cs="Amiri"/>
          <w:color w:val="111111"/>
          <w:sz w:val="28"/>
          <w:sz w:val="28"/>
          <w:szCs w:val="28"/>
          <w:rtl w:val="true"/>
          <w:lang w:bidi="ar-SA"/>
        </w:rPr>
        <w:t>و غيرهما</w:t>
      </w:r>
      <w:r>
        <w:rPr>
          <w:rStyle w:val="FootnoteAnchor"/>
          <w:rtl w:val="true"/>
        </w:rPr>
        <w:footnoteReference w:id="1869"/>
      </w:r>
      <w:r>
        <w:rPr>
          <w:rFonts w:ascii="IRNazanin" w:hAnsi="IRNazanin" w:eastAsia="IRNazanin"/>
          <w:color w:val="111111"/>
          <w:sz w:val="28"/>
          <w:sz w:val="28"/>
          <w:szCs w:val="28"/>
          <w:rtl w:val="true"/>
          <w:lang w:bidi="fa-IR"/>
        </w:rPr>
        <w:t>،و بابن فضّال</w:t>
      </w:r>
      <w:r>
        <w:rPr>
          <w:rStyle w:val="FootnoteAnchor"/>
          <w:rtl w:val="true"/>
        </w:rPr>
        <w:footnoteReference w:id="1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للأصل من استرقاق ولدها الحرّ المتولّد من نصراني محترم، و قتل المرأة المرتدّة خصوصاً عن ملّة و المختار ما ذكره في النهاية من إجراء أحكام المرأة المرتدّة عليها</w:t>
      </w:r>
      <w:r>
        <w:rPr>
          <w:rStyle w:val="FootnoteAnchor"/>
          <w:rtl w:val="true"/>
        </w:rPr>
        <w:footnoteReference w:id="1871"/>
      </w:r>
      <w:r>
        <w:rPr>
          <w:rFonts w:ascii="Amiri" w:hAnsi="Amiri" w:eastAsia="Amiri" w:cs="Amiri"/>
          <w:color w:val="111111"/>
          <w:sz w:val="28"/>
          <w:sz w:val="28"/>
          <w:szCs w:val="28"/>
          <w:rtl w:val="true"/>
          <w:lang w:bidi="ar-SA"/>
        </w:rPr>
        <w:t>، و بقاء ولدها على الحرّيّة</w:t>
      </w:r>
      <w:r>
        <w:rPr>
          <w:rFonts w:eastAsia="Amiri" w:cs="Amiri" w:ascii="Amiri" w:hAnsi="Amiri"/>
          <w:color w:val="111111"/>
          <w:sz w:val="28"/>
          <w:szCs w:val="28"/>
          <w:rtl w:val="true"/>
          <w:lang w:bidi="ar-SA"/>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3" w:name="pg10270_80571"/>
      <w:bookmarkStart w:id="564" w:name="pg10270_80571"/>
      <w:bookmarkEnd w:id="564"/>
    </w:p>
    <w:p>
      <w:pPr>
        <w:pStyle w:val="Heading2"/>
        <w:numPr>
          <w:ilvl w:val="1"/>
          <w:numId w:val="1"/>
        </w:numPr>
        <w:rPr/>
      </w:pPr>
      <w:bookmarkStart w:id="565" w:name="pg10270_80571"/>
      <w:bookmarkStart w:id="566" w:name="__RefHeading___Toc3860382_1067777946"/>
      <w:bookmarkStart w:id="567" w:name="_Toc205"/>
      <w:bookmarkEnd w:id="565"/>
      <w:bookmarkEnd w:id="566"/>
      <w:r>
        <w:rPr>
          <w:rtl w:val="true"/>
        </w:rPr>
        <w:t>كتاب الإقرار</w:t>
      </w:r>
      <w:bookmarkEnd w:id="567"/>
    </w:p>
    <w:p>
      <w:pPr>
        <w:pStyle w:val="Heading3"/>
        <w:numPr>
          <w:ilvl w:val="2"/>
          <w:numId w:val="1"/>
        </w:numPr>
        <w:rPr/>
      </w:pPr>
      <w:bookmarkStart w:id="568" w:name="__RefHeading___Toc3860384_1067777946"/>
      <w:bookmarkStart w:id="569" w:name="_Toc206"/>
      <w:bookmarkEnd w:id="568"/>
      <w:r>
        <w:rPr>
          <w:rtl w:val="true"/>
        </w:rPr>
        <w:t>اشارة</w:t>
      </w:r>
      <w:bookmarkEnd w:id="569"/>
    </w:p>
    <w:p>
      <w:pPr>
        <w:pStyle w:val="BookText"/>
        <w:rPr/>
      </w:pPr>
      <w:r>
        <w:rPr>
          <w:rFonts w:ascii="IRNazanin" w:hAnsi="IRNazanin" w:eastAsia="IRNazanin"/>
          <w:color w:val="111111"/>
          <w:sz w:val="28"/>
          <w:sz w:val="28"/>
          <w:szCs w:val="28"/>
          <w:rtl w:val="true"/>
          <w:lang w:bidi="fa-IR"/>
        </w:rPr>
        <w:t>و النظر في الأرکان و اللواحق</w:t>
      </w:r>
    </w:p>
    <w:p>
      <w:pPr>
        <w:pStyle w:val="BookText"/>
        <w:rPr/>
      </w:pPr>
      <w:r>
        <w:rPr>
          <w:rFonts w:ascii="Amiri" w:hAnsi="Amiri" w:eastAsia="Amiri" w:cs="Amiri"/>
          <w:color w:val="111111"/>
          <w:sz w:val="28"/>
          <w:sz w:val="28"/>
          <w:szCs w:val="28"/>
          <w:rtl w:val="true"/>
          <w:lang w:bidi="ar-SA"/>
        </w:rPr>
        <w:t>و  أركانه أربعة</w:t>
      </w:r>
    </w:p>
    <w:p>
      <w:pPr>
        <w:pStyle w:val="Heading3"/>
        <w:numPr>
          <w:ilvl w:val="2"/>
          <w:numId w:val="1"/>
        </w:numPr>
        <w:rPr/>
      </w:pPr>
      <w:bookmarkStart w:id="570" w:name="__RefHeading___Toc3860386_1067777946"/>
      <w:bookmarkStart w:id="571" w:name="_Toc207"/>
      <w:bookmarkEnd w:id="570"/>
      <w:r>
        <w:rPr>
          <w:rtl w:val="true"/>
        </w:rPr>
        <w:t>النظر الأوّل في الصيغة</w:t>
      </w:r>
      <w:bookmarkEnd w:id="571"/>
    </w:p>
    <w:p>
      <w:pPr>
        <w:pStyle w:val="Heading4"/>
        <w:numPr>
          <w:ilvl w:val="3"/>
          <w:numId w:val="1"/>
        </w:numPr>
        <w:rPr/>
      </w:pPr>
      <w:bookmarkStart w:id="572" w:name="__RefHeading___Toc3860388_1067777946"/>
      <w:bookmarkStart w:id="573" w:name="_Toc208"/>
      <w:bookmarkEnd w:id="572"/>
      <w:r>
        <w:rPr>
          <w:rtl w:val="true"/>
        </w:rPr>
        <w:t>اشارة</w:t>
      </w:r>
      <w:bookmarkEnd w:id="573"/>
    </w:p>
    <w:p>
      <w:pPr>
        <w:pStyle w:val="BookText"/>
        <w:rPr/>
      </w:pPr>
      <w:r>
        <w:rPr>
          <w:rFonts w:ascii="Amiri" w:hAnsi="Amiri" w:eastAsia="Amiri" w:cs="Amiri"/>
          <w:color w:val="111111"/>
          <w:sz w:val="28"/>
          <w:sz w:val="28"/>
          <w:szCs w:val="28"/>
          <w:rtl w:val="true"/>
          <w:lang w:bidi="ar-SA"/>
        </w:rPr>
        <w:t>الأوّل في الصيغة</w:t>
      </w:r>
    </w:p>
    <w:p>
      <w:pPr>
        <w:pStyle w:val="BookText"/>
        <w:rPr/>
      </w:pPr>
      <w:r>
        <w:rPr>
          <w:rFonts w:ascii="Amiri" w:hAnsi="Amiri" w:eastAsia="Amiri" w:cs="Amiri"/>
          <w:color w:val="111111"/>
          <w:sz w:val="28"/>
          <w:sz w:val="28"/>
          <w:szCs w:val="28"/>
          <w:rtl w:val="true"/>
          <w:lang w:bidi="ar-SA"/>
        </w:rPr>
        <w:t>و فيها 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الإقرار</w:t>
      </w:r>
    </w:p>
    <w:p>
      <w:pPr>
        <w:pStyle w:val="BookText"/>
        <w:rPr/>
      </w:pPr>
      <w:r>
        <w:rPr>
          <w:rFonts w:ascii="Amiri" w:hAnsi="Amiri" w:eastAsia="Amiri" w:cs="Amiri"/>
          <w:color w:val="111111"/>
          <w:sz w:val="28"/>
          <w:sz w:val="28"/>
          <w:szCs w:val="28"/>
          <w:rtl w:val="true"/>
          <w:lang w:bidi="ar-SA"/>
        </w:rPr>
        <w:t>هو لغة الإثبات،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الشيء يقرّ، و أقررته و قرّرته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أفدته القرار</w:t>
      </w:r>
      <w:r>
        <w:rPr>
          <w:rStyle w:val="FootnoteAnchor"/>
          <w:rtl w:val="true"/>
        </w:rPr>
        <w:footnoteReference w:id="1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 ما يشرع فيه إقراراً من حيث إنّه افتتاح إثبات، بل لأنّه إخبار عن ثبوت و وجوب حقّ سابق</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فيه من الكتاب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قَوَّامِينَ بِالْقِسْطِ شُهَدَاءَ لِلَّهِ وَ لَوْ عَلَى أَنْفُسِكُمْ</w:t>
      </w:r>
      <w:r>
        <w:rPr>
          <w:rFonts w:eastAsia="Amiri" w:cs="Amiri" w:ascii="Amiri" w:hAnsi="Amiri"/>
          <w:color w:val="111111"/>
          <w:sz w:val="28"/>
          <w:szCs w:val="28"/>
          <w:rtl w:val="true"/>
          <w:lang w:bidi="ar-SA"/>
        </w:rPr>
        <w:t>»</w:t>
      </w:r>
      <w:r>
        <w:rPr>
          <w:rStyle w:val="FootnoteAnchor"/>
          <w:rtl w:val="true"/>
        </w:rPr>
        <w:footnoteReference w:id="1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شهادة المرء على نفسه بالإقرار</w:t>
      </w:r>
      <w:r>
        <w:rPr>
          <w:rStyle w:val="FootnoteAnchor"/>
          <w:rtl w:val="true"/>
        </w:rPr>
        <w:footnoteReference w:id="1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الأخبار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الحقّ و لو على أنفسكم</w:t>
      </w:r>
      <w:r>
        <w:rPr>
          <w:rFonts w:eastAsia="IRNazanin" w:cs="IRNazanin"/>
          <w:color w:val="111111"/>
          <w:sz w:val="28"/>
          <w:szCs w:val="28"/>
          <w:rtl w:val="true"/>
          <w:lang w:bidi="fa-IR"/>
        </w:rPr>
        <w:t>»</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 xml:space="preserve">. </w:t>
      </w:r>
      <w:bookmarkStart w:id="574" w:name="pg10270_80572"/>
    </w:p>
    <w:p>
      <w:pPr>
        <w:pStyle w:val="Heading4"/>
        <w:numPr>
          <w:ilvl w:val="3"/>
          <w:numId w:val="1"/>
        </w:numPr>
        <w:rPr/>
      </w:pPr>
      <w:bookmarkStart w:id="575" w:name="__RefHeading___Toc3860390_1067777946"/>
      <w:bookmarkStart w:id="576" w:name="_Toc209"/>
      <w:bookmarkEnd w:id="574"/>
      <w:bookmarkEnd w:id="575"/>
      <w:r>
        <w:rPr>
          <w:rtl w:val="true"/>
        </w:rPr>
        <w:t>المقصد الأوّل في الصيغة الصريحة</w:t>
      </w:r>
      <w:bookmarkEnd w:id="576"/>
    </w:p>
    <w:p>
      <w:pPr>
        <w:pStyle w:val="Heading5"/>
        <w:numPr>
          <w:ilvl w:val="4"/>
          <w:numId w:val="1"/>
        </w:numPr>
        <w:rPr/>
      </w:pPr>
      <w:bookmarkStart w:id="577" w:name="__RefHeading___Toc3860392_1067777946"/>
      <w:bookmarkStart w:id="578" w:name="_Toc210"/>
      <w:bookmarkEnd w:id="577"/>
      <w:r>
        <w:rPr>
          <w:rtl w:val="true"/>
        </w:rPr>
        <w:t>اشارة</w:t>
      </w:r>
      <w:bookmarkEnd w:id="578"/>
    </w:p>
    <w:p>
      <w:pPr>
        <w:pStyle w:val="BookText"/>
        <w:rPr/>
      </w:pPr>
      <w:r>
        <w:rPr>
          <w:rFonts w:ascii="Amiri" w:hAnsi="Amiri" w:eastAsia="Amiri" w:cs="Amiri"/>
          <w:color w:val="111111"/>
          <w:sz w:val="28"/>
          <w:sz w:val="28"/>
          <w:szCs w:val="28"/>
          <w:rtl w:val="true"/>
          <w:lang w:bidi="ar-SA"/>
        </w:rPr>
        <w:t>المقصد الأوّل في الصيغة الصريحة</w:t>
      </w:r>
    </w:p>
    <w:p>
      <w:pPr>
        <w:pStyle w:val="BookText"/>
        <w:rPr/>
      </w:pPr>
      <w:r>
        <w:rPr>
          <w:rFonts w:ascii="Amiri" w:hAnsi="Amiri" w:eastAsia="Amiri" w:cs="Amiri"/>
          <w:color w:val="111111"/>
          <w:sz w:val="28"/>
          <w:sz w:val="28"/>
          <w:szCs w:val="28"/>
          <w:rtl w:val="true"/>
          <w:lang w:bidi="ar-SA"/>
        </w:rPr>
        <w:t>و هي اللفظ المتضمّن للإخبار عن حقّ واجب،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الصيغة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اللفظ المتضمّن للإخبار عن حقّ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الإقرار عبارة عن الصيغة المخصوصة، فتعريفها يقتضي تعريفه، فكان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تعريفاً له كما صرّح به غيره</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الجنس يتناول المفيد و غيره، كما أنّ المفيد يتناول الإخبار و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المتضمّن للإخبار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الفصل يخرج به سائر العقود و الإيقاعات المتضمّنة للإنشاء، كما يخرج باقي الألفاظ التي لاتتضمّن إخباراً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عيناً و منفعة، و توابعها من الشفعة و الخيار و أولويّة التحجير و النفس و الحدود و التعزيرات لله تعالى و للآدمي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اللغوي و هو الثابت، فيخرج به الإخبار عن حقّ مستقبل، فإنّه ليس بإقرار، و إنّما هو وعد أو ما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يستغنى عمّا عبّر به غيره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حقّ سابق</w:t>
      </w:r>
      <w:r>
        <w:rPr>
          <w:rFonts w:eastAsia="Amiri" w:cs="Amiri" w:ascii="Amiri" w:hAnsi="Amiri"/>
          <w:color w:val="111111"/>
          <w:sz w:val="28"/>
          <w:szCs w:val="28"/>
          <w:rtl w:val="true"/>
          <w:lang w:bidi="ar-SA"/>
        </w:rPr>
        <w:t>»</w:t>
      </w:r>
      <w:r>
        <w:rPr>
          <w:rStyle w:val="FootnoteAnchor"/>
          <w:rtl w:val="true"/>
        </w:rPr>
        <w:footnoteReference w:id="1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تناوله للحقّ المؤجّل أظهر من تناول السابق له؛ لأنّه أمر ثابت الآن وإن كان استحقاق المطالبة به مستقبلاً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اندراجه في السابق أيضاً، من حيث إنّ أصل الحقّ سابق، و إنّما المستقبل المطالبة به و تأخّر استحقاق المطالبة أمر خارج عن الإقرار؛ لأنّه عبارة عن التأجيل، و ذكره في الإقرار بالحقّ ليس إقراراً، و إنّما هو دفع لما لزم من الإخبار بأصل الحقّ، و من ثَمّ يقبل الإقرار بالحقّ لا بالأجل، كما سيأتي</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ينتقض في طرده بالشهادة، فإنّها إخبار عن حقّ واجب على غير المخبر، و إطلاق الحقّ الواجب يشمل ما هو واجب عليه و على غيره، و من ثَمّ زاد بعضهم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للمخبر</w:t>
      </w:r>
      <w:r>
        <w:rPr>
          <w:rStyle w:val="FootnoteAnchor"/>
          <w:rtl w:val="true"/>
        </w:rPr>
        <w:footnoteReference w:id="1879"/>
      </w:r>
      <w:bookmarkStart w:id="579" w:name="pg10270_80573"/>
    </w:p>
    <w:p>
      <w:pPr>
        <w:pStyle w:val="BookText"/>
        <w:rPr/>
      </w:pPr>
      <w:bookmarkEnd w:id="579"/>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أشبهه</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3860394_1067777946"/>
      <w:bookmarkStart w:id="581" w:name="_Toc211"/>
      <w:bookmarkEnd w:id="580"/>
      <w:r>
        <w:rPr>
          <w:rtl w:val="true"/>
        </w:rPr>
        <w:t>یصحّ الإقرار بغير العربيّة</w:t>
      </w:r>
      <w:bookmarkEnd w:id="5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الإقرار بغير العربيّة اضطراراً و اختياراً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كان مفرداً إلّا أنّه متضمّن</w:t>
      </w:r>
    </w:p>
    <w:p>
      <w:pPr>
        <w:pStyle w:val="BookText"/>
        <w:rPr/>
      </w:pPr>
      <w:r>
        <w:rPr>
          <w:rFonts w:ascii="Amiri" w:hAnsi="Amiri" w:eastAsia="Amiri" w:cs="Amiri"/>
          <w:color w:val="111111"/>
          <w:sz w:val="28"/>
          <w:sz w:val="28"/>
          <w:szCs w:val="28"/>
          <w:rtl w:val="true"/>
          <w:lang w:bidi="ar-SA"/>
        </w:rPr>
        <w:t>للإخبار كالمركّب فهو داخل في التعريف و لايحتاج إلى زيادة أو ما هو في قوّة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الألفاظ الدالّة على الإقرار صريحاً، منها ما يفيد الإقرار بالدين صريحاً،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ذمّتي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يفيده ظاهراً،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الإقرار بالعين صريحاً،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 يدي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يفيده ظاهراً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صالح لهما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فيما لو ادّعى خلاف مدلول اللفظ فإنّه لايقبل، و إن ادّعى ما يوافقه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عبّر بما يفيد الدين،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ادّعى التلف لم ينفعه، بل يلزمه الضمان، بخلاف ما لو أتى باللفظ المفيد لها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عندي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الصالح لهما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 بالوديعة و ادّعى التلف في وقت إمكانه، فإنّه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تتمّة البحث في ذلك</w:t>
      </w:r>
      <w:r>
        <w:rPr>
          <w:rStyle w:val="FootnoteAnchor"/>
          <w:rtl w:val="true"/>
        </w:rPr>
        <w:footnoteReference w:id="1880"/>
      </w:r>
      <w:r>
        <w:rPr>
          <w:rFonts w:ascii="Amiri" w:hAnsi="Amiri" w:eastAsia="Amiri" w:cs="Amiri"/>
          <w:color w:val="111111"/>
          <w:sz w:val="28"/>
          <w:sz w:val="28"/>
          <w:szCs w:val="28"/>
          <w:rtl w:val="true"/>
          <w:lang w:bidi="ar-SA"/>
        </w:rPr>
        <w:t>، فهذه فائدة الألفاظ، و قس عليها ما أشبهها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یصحّ الإقرار بغير العربيّة اضطراراً و اختياراً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كان الغرض من الإقرار الإخبار عمّا في الذمّة أو في العهدة، و لايختصّ بلفظ معيّن، بل ما دلّ على المراد لم ينحصر في لغة، بل یصحّ إقرار أهل كلّ لغة بلغتهم و غير لغتهم إذا عرفوها؛ لحصول المراد منها، و هو الدلالة باللفظ على المعنى الذهني الذي يراد إثباته، و لم يرد من قبل الشارع ما يفيد الاختصاص بلغة خاصّة</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علم أنّ المقرّ عارف بمعنى ما أقرّ به</w:t>
      </w:r>
      <w:r>
        <w:rPr>
          <w:rStyle w:val="FootnoteAnchor"/>
          <w:rtl w:val="true"/>
        </w:rPr>
        <w:footnoteReference w:id="1881"/>
      </w:r>
      <w:r>
        <w:rPr>
          <w:rFonts w:ascii="Amiri" w:hAnsi="Amiri" w:eastAsia="Amiri" w:cs="Amiri"/>
          <w:color w:val="111111"/>
          <w:sz w:val="28"/>
          <w:sz w:val="28"/>
          <w:szCs w:val="28"/>
          <w:rtl w:val="true"/>
          <w:lang w:bidi="ar-SA"/>
        </w:rPr>
        <w:t>لم تقبل دعواه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احتمل الأمرين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عليّ كذا إن شئت أو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رضي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شهد لك فلان فهو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الإقرار فى الحال؛ لأنّه إذا صدق وجب الحقّ و إن لم يشهد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أفهم معنى ما قلت بل لقّنت فتلقّنت صدّق بيمينه؛ لقيام الاحتمال، و أصالة عدم العلم بغير 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القول في جميع العقود و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 كذا إن شئت أو إن شئت لم يكن إقراراً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الإقرار إخباراً اقتضى أمراً خارجاً عن اللفظ واقعاً، سواء طابقه في النفي و الإثبات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من ذلك أن لايجوز تعليقه على شرط و لا صفة؛ لأنّ وقوع المعلِّق مشروط بوجود المعلَّق عليه، و ذلك ينافي مقتضى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ما يقع باختيار المخبر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أو بغير اختياره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قدم زيد أو رضي أو شهد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لك فلان فهو صادق لزمه الإقرار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ذكره الشيخ في المبسوط</w:t>
      </w:r>
      <w:r>
        <w:rPr>
          <w:rStyle w:val="FootnoteAnchor"/>
          <w:rtl w:val="true"/>
        </w:rPr>
        <w:footnoteReference w:id="1882"/>
      </w:r>
      <w:r>
        <w:rPr>
          <w:rFonts w:ascii="Amiri" w:hAnsi="Amiri" w:eastAsia="Amiri" w:cs="Amiri"/>
          <w:color w:val="111111"/>
          <w:sz w:val="28"/>
          <w:sz w:val="28"/>
          <w:szCs w:val="28"/>
          <w:rtl w:val="true"/>
          <w:lang w:bidi="ar-SA"/>
        </w:rPr>
        <w:t>، و تبعه عليه جماعة</w:t>
      </w:r>
      <w:r>
        <w:rPr>
          <w:rStyle w:val="FootnoteAnchor"/>
          <w:rtl w:val="true"/>
        </w:rPr>
        <w:footnoteReference w:id="1883"/>
      </w:r>
      <w:r>
        <w:rPr>
          <w:rFonts w:ascii="Amiri" w:hAnsi="Amiri" w:eastAsia="Amiri" w:cs="Amiri"/>
          <w:color w:val="111111"/>
          <w:sz w:val="28"/>
          <w:sz w:val="28"/>
          <w:szCs w:val="28"/>
          <w:rtl w:val="true"/>
          <w:lang w:bidi="ar-SA"/>
        </w:rPr>
        <w:t xml:space="preserve">منهم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وجّهوه بما أشار إليه من أن صدقه يوجب ثبوت الحقّ في الحال و إن لم يشهد</w:t>
      </w:r>
      <w:r>
        <w:rPr>
          <w:rFonts w:eastAsia="Amiri" w:cs="Amiri" w:ascii="Amiri" w:hAnsi="Amiri"/>
          <w:color w:val="111111"/>
          <w:sz w:val="28"/>
          <w:szCs w:val="28"/>
          <w:rtl w:val="true"/>
          <w:lang w:bidi="ar-SA"/>
        </w:rPr>
        <w:t>.</w:t>
      </w:r>
      <w:r>
        <w:rPr>
          <w:rStyle w:val="FootnoteAnchor"/>
          <w:rtl w:val="true"/>
        </w:rPr>
        <w:footnoteReference w:id="1884"/>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تقريره أنّه قد حكم بصدقه على تقدير الشهادة، و الشهادة لا دخل لها في تحقّق الصدق و عدمه، و إنّما الصدق يقتضي مطابقة خبره للواقع وقت الإقرار، و لايكون كذلك إلّا على تقدير ثبوت الحقّ في ذمّته حال الإقرار، فيكون إقراراً و إن لم يشهد، بل و إن أنكر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شهد بكذا فهو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لم يعيّن الشاهد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 عليّ شاهد بكذا فهو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شهد عليه بالفعل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شهد صدّقته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مقرّاً؛ لأنّ الكاذب قد يصدق، و الشهادة مبنیّة على الظاهر، فلا ينافي عدم مطابقتها في نفس الأمر العدالة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 في توجيه الأوّل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يصدق كلّما لم يكن المال ثابتاً في ذمّته لم يكن صادقاً على تقدير الشهادة، و ينعكس بعكس النقيض إلى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صادقاً على تقدير الشهادة كان المال ثابتاً في ذمّته، لكن المقدّم حقّ لإقراره، فإنّه حكم بصدقه على تقدير الشهادة، فالتالي مثله</w:t>
      </w:r>
      <w:r>
        <w:rPr>
          <w:rFonts w:eastAsia="Amiri" w:cs="Amiri" w:ascii="Amiri" w:hAnsi="Amiri"/>
          <w:color w:val="111111"/>
          <w:sz w:val="28"/>
          <w:szCs w:val="28"/>
          <w:rtl w:val="true"/>
          <w:lang w:bidi="ar-SA"/>
        </w:rPr>
        <w:t>»</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الدليل</w:t>
      </w:r>
      <w:r>
        <w:rPr>
          <w:rStyle w:val="FootnoteAnchor"/>
          <w:rtl w:val="true"/>
        </w:rPr>
        <w:footnoteReference w:id="1886"/>
      </w:r>
      <w:r>
        <w:rPr>
          <w:rFonts w:ascii="Amiri" w:hAnsi="Amiri" w:eastAsia="Amiri" w:cs="Amiri"/>
          <w:color w:val="111111"/>
          <w:sz w:val="28"/>
          <w:sz w:val="28"/>
          <w:szCs w:val="28"/>
          <w:rtl w:val="true"/>
          <w:lang w:bidi="ar-SA"/>
        </w:rPr>
        <w:t>نظر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يحكم بصدقه مطلقاً و إنّما حكم به على تقدير الشهادة، و شهادته و إن كانت ممكنةً في ذاتها لكنّها قد تكون ممتنعةً في اعتقاد المقرّ، فيكون قد علّق صدقه على المحال عنده، فلايلزم منه الإقرار في الحال و لا على تقدير الشهادة، و جاز أن يريد أنّه لاتصدر منه الشهادة؛ لكونه ليس في ذمّته له شيء و هو في اعتقاده لايكذب، و هذا استعمال شائع في العرف، يقول الناس في محاوراتهم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فلان أنّي لست لأبي صدّقته، و لايريد سوى أنّه لايشهد بذلك؛ للقطع بأنّه لايصدّقه لو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هذا غالباً فلا أقلّ من أنّه محتمل احتمالاً ظاهراً، فلايكون اللفظ صريحاً في الإقرار مع أصالة براءة الذمّة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لايخرج بذلك عن التعليق، بل هو أدنى مرتبة منه، فإنّه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كذا إن شهد به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إقراراً اتّفاقاً مع أنّه صريح في الاعتراف بالحقّ على تقدير الشهادة،و الإقرار في مسألة النزاع إنّما جاء من قبل الالتزام فلأن لايكون إقراراً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في توجيه الإقرار وارد في جميع التعليقات،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الحقّ على تقدير وجود </w:t>
      </w:r>
      <w:bookmarkStart w:id="582" w:name="pg10270_80576"/>
    </w:p>
    <w:p>
      <w:pPr>
        <w:pStyle w:val="BookText"/>
        <w:rPr/>
      </w:pPr>
      <w:bookmarkEnd w:id="5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الإقرار بالموزون ينصرف إلى ميزان البلد، و كذا المكيل و كذا إطلاق الذهب أو الفضّة ينصرف إلى النقد الغالب في بلد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نقدان غالبان أو وزنان مختلفان و هما في الاستعمال سواء رجع في التعيين إلى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يستلزم ثبوته الآن؛ إذ لا مدخل للشرط في ثبوته في نفس الأمر، إلى آخر ما قيل في الدليل، و القول بعدم اللزوم في الجميع قويّ</w:t>
      </w:r>
      <w:r>
        <w:rPr>
          <w:rStyle w:val="FootnoteAnchor"/>
          <w:rtl w:val="true"/>
        </w:rPr>
        <w:footnoteReference w:id="1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أكثر المتأخرين</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إطلاق الإقرار بالموزون ينصرف إلى ميزان البلد، و كذا المكيل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3860396_1067777946"/>
      <w:bookmarkStart w:id="584" w:name="_Toc212"/>
      <w:bookmarkEnd w:id="583"/>
      <w:r>
        <w:rPr>
          <w:rtl w:val="true"/>
        </w:rPr>
        <w:t>ألفاظ الإقرار محمولة على المتفاهم منها عرفاً</w:t>
      </w:r>
      <w:bookmarkEnd w:id="584"/>
    </w:p>
    <w:p>
      <w:pPr>
        <w:pStyle w:val="BookText"/>
        <w:rPr/>
      </w:pPr>
      <w:r>
        <w:rPr>
          <w:rFonts w:ascii="Amiri" w:hAnsi="Amiri" w:eastAsia="Amiri" w:cs="Amiri"/>
          <w:color w:val="111111"/>
          <w:sz w:val="28"/>
          <w:sz w:val="28"/>
          <w:szCs w:val="28"/>
          <w:rtl w:val="true"/>
          <w:lang w:bidi="ar-SA"/>
        </w:rPr>
        <w:t>ألفاظ الإقرار محمولة على المتفاهم منها عرفاً، فإن انتفى العرف فاللغة، و ذلك يقتضى حمل الإقرار بالوزن و الكيل على المتعارف في البلد منهما، و كذا إطلاق النقد من الذهب و الفضّة يحمل على نقد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الدراهم و الدنانير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وزن درهم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فلايجب</w:t>
      </w:r>
    </w:p>
    <w:p>
      <w:pPr>
        <w:pStyle w:val="BookText"/>
        <w:rPr/>
      </w:pPr>
      <w:r>
        <w:rPr>
          <w:rFonts w:ascii="Amiri" w:hAnsi="Amiri" w:eastAsia="Amiri" w:cs="Amiri"/>
          <w:color w:val="111111"/>
          <w:sz w:val="28"/>
          <w:sz w:val="28"/>
          <w:szCs w:val="28"/>
          <w:rtl w:val="true"/>
          <w:lang w:bidi="ar-SA"/>
        </w:rPr>
        <w:t>حمله على النقد الغالب و هو المسكوك، بل يعتبر فيهما حقيقتهما و لو من غير المضروب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يفارق النقد الغالب أيضاً في أنّه يعتبر خلوصه من الغشّ بخلاف النقد، فإنّه يحمل على المتعارف و إن كان مغشوشاً؛ لأنّ ذلك هو المفهوم منهما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اتّحاد الكيل و الوزن و النقد في البلد، أو مع تعدّده و غلبة بعضه في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تساوي المتعدّد فلايحمل على أحدها؛ لاستحالة الترجيح من غير مرجّح، بل يرجع إليه في التعيين و يقبل منه و إن فسّر بالناقص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يقبل منه لو فسّر به مع الاتّصال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تعذّر الرجوع إليه في التعيين بموت و نحوه فالمتيقّن الأقلّ، و الباقي مشكوك فيه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عليّ درهم 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اثنان،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فدرهم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درهم واحد؛ لاحتمال أن يكون أراد مع درهم لي، فيقتصر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درهم 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درهم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اثنان؛ لأنّ العطف يقتضي المغايرة بين المعطوف و المعطوف عليه، و لايعطف الشيء على نفسه و إن جاز عطفه على ما هو بمعناه كمرادفه؛ لتحقّق المغايرة و لو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ثمّ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أيضاً، و اقتضاؤها التراخي لايقدح؛ لجواز تجدّد سبب أحد الدرهمين بعد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ظاهرهم الاتّفاق على هذا الحكم، و إن كان خلاف ذلك محتملاً، بأن يريد و درهم آخر لزيد و نحوه؛ لتبادر المعنى الأوّل إلى الذهن، فلايلتفت إلى الاحتمال البعيد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درهم فدرهم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بمساواته للأوّلين في لزوم الدرهمين؛ لمشاركته لهما في العطف، و احتمال غيره بعيد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هنا درهم خاصّةً</w:t>
      </w:r>
      <w:r>
        <w:rPr>
          <w:rStyle w:val="FootnoteAnchor"/>
          <w:rtl w:val="true"/>
        </w:rPr>
        <w:footnoteReference w:id="1889"/>
      </w:r>
      <w:r>
        <w:rPr>
          <w:rFonts w:ascii="Amiri" w:hAnsi="Amiri" w:eastAsia="Amiri" w:cs="Amiri"/>
          <w:color w:val="111111"/>
          <w:sz w:val="28"/>
          <w:sz w:val="28"/>
          <w:szCs w:val="28"/>
          <w:rtl w:val="true"/>
          <w:lang w:bidi="ar-SA"/>
        </w:rPr>
        <w:t>لاحتمال أن يريد فدرهم لازم لي، و الأصل براءة الذمّة من الزائد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يضعّف بأنّ المتبادر الأوّل، و غيره و إن كان محتملاً إلّا أنّه خلاف الظاهر، و يحتاج إلى إضمار و هو خلاف الأصل؛ و لأنّ الاحتمال لو أثّر لأثّر فى الأوّلين، و القائل بهذا القول لايقول به فيهما فما اختاره المصنّف 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أردت فدرهم لازم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اتّجه قبول قوله بیمينه لو خالفه المقرّ له</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فوق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واحد في الجميع؛ لأنّه كما يحتمل أن يكون مراده فوق درهم للمقرّ له و معه و قبله و بعده، يحتمل أن يريد فوق درهم لي أو معه أو قبله أو بعده، و إذا احتمل اللفظ الأمرين اقتصر على المتيقّن و هو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جماعة</w:t>
      </w:r>
      <w:r>
        <w:rPr>
          <w:rStyle w:val="FootnoteAnchor"/>
          <w:rtl w:val="true"/>
        </w:rPr>
        <w:footnoteReference w:id="1890"/>
      </w:r>
      <w:r>
        <w:rPr>
          <w:rFonts w:ascii="Amiri" w:hAnsi="Amiri" w:eastAsia="Amiri" w:cs="Amiri"/>
          <w:color w:val="111111"/>
          <w:sz w:val="28"/>
          <w:sz w:val="28"/>
          <w:szCs w:val="28"/>
          <w:rtl w:val="true"/>
          <w:lang w:bidi="ar-SA"/>
        </w:rPr>
        <w:t>منهم العلّامة بين الفوقيّة و التحتيّة و المعيّة و بين القبليّة و البَعديّة، فأوجب في الأخيرين الدرهمين، فارقاً بين الأمرين بأنّ الفوقيّة و التحتيّة يرجعان إلى المكان، و لايتّصف بهما نفس الدرهم و لا بدّ من أمر يرجع إليه التقدّم و التأخّر، و ليس ذلك إلّا الوجوب عليه</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وافقه</w:t>
      </w:r>
      <w:r>
        <w:rPr>
          <w:rStyle w:val="FootnoteAnchor"/>
          <w:rtl w:val="true"/>
        </w:rPr>
        <w:footnoteReference w:id="1892"/>
      </w:r>
      <w:r>
        <w:rPr>
          <w:rFonts w:ascii="Amiri" w:hAnsi="Amiri" w:eastAsia="Amiri" w:cs="Amiri"/>
          <w:color w:val="111111"/>
          <w:sz w:val="28"/>
          <w:sz w:val="28"/>
          <w:szCs w:val="28"/>
          <w:rtl w:val="true"/>
          <w:lang w:bidi="ar-SA"/>
        </w:rPr>
        <w:t>على لزوم درهم في الجميع بأنّ القبليّة و البَعديّة كما يكونان بالزمان يكونان بالرتبة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 أنّهما زمانيّان و أنّ نفس الدرهم لايتّصف بهما لكن يجوز رجوعهما إلى غير الواجب، بأن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مضروب قبل درهم و ما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 أنّهما راجعان إلى الوجوب لكن يجوز 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درهم قبل وجوب در هم 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العلّامة في التذكرة على ذلك بأنّه لو سمع مثل هذا الاحتمال لسمع في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عندي درهم 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اتّفاقهم على لزوم در همين</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 ما تقدّم من أنّ الاحتمال في ذلك بعيد خلاف الظاهر بخلافه في هذه الأمثلة، فإنّه احتمال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الظروف الواقعة بعد النكرات تكون صفات من غير فرق بين ظرف الزمان و المكان، فالاحتمال فيهما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بلزوم درهم في الجميع كما اختاره المصنّف أقوى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في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الضرب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غصبته ثوباً في منديل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حنطةً في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ثياباً في 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الظرف في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في عشرة ولم يرد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لزوم درهم واحد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درهم في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تصريحه بإرادة درهم واحد للمقرّ له و أنّ العشرة ظرف له، كما أنّه لو صرّح بإرادة الضرب لزمه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مع الإطلاق، و مقتضى عبارة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درهم أيضاً؛ لأنّه جعل اللازم درهماً متى لم يرد الضرب فيشمل ما لو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احتمال اللفظ للمعنيين فيحمل على المتيقّن منهما و هو الأقلّ، معتضداً بأصالة البراءة من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قسم آخر و هو ما إذا ادّعى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 أحد عشر، لوروده لغة</w:t>
      </w:r>
      <w:r>
        <w:rPr>
          <w:rStyle w:val="FootnoteAnchor"/>
          <w:rtl w:val="true"/>
        </w:rPr>
        <w:footnoteReference w:id="1894"/>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فِي أُمَم</w:t>
      </w:r>
      <w:r>
        <w:rPr>
          <w:rFonts w:eastAsia="Amiri" w:cs="Amiri" w:ascii="Amiri" w:hAnsi="Amiri"/>
          <w:color w:val="111111"/>
          <w:sz w:val="28"/>
          <w:szCs w:val="28"/>
          <w:rtl w:val="true"/>
          <w:lang w:bidi="ar-SA"/>
        </w:rPr>
        <w:t>»</w:t>
      </w:r>
      <w:r>
        <w:rPr>
          <w:rStyle w:val="FootnoteAnchor"/>
          <w:rtl w:val="true"/>
        </w:rPr>
        <w:footnoteReference w:id="1895"/>
      </w:r>
      <w:r>
        <w:rPr>
          <w:rFonts w:ascii="Amiri" w:hAnsi="Amiri" w:eastAsia="Amiri" w:cs="Amiri"/>
          <w:color w:val="111111"/>
          <w:sz w:val="28"/>
          <w:sz w:val="28"/>
          <w:szCs w:val="28"/>
          <w:rtl w:val="true"/>
          <w:lang w:bidi="ar-SA"/>
        </w:rPr>
        <w:t>فصار اللفظ مشتركاً، فيرجع إليه في إرادة أحد معانيه، و يقبل قوله فيه بغير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يؤخذ بالأقلّ؛ لأنّه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ادّعى المقرّ له إرادة بعض هذه المعاني و أنكره المقرّ فالقول قوله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غصبته ثوباً في منديل أو حنطةً في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 هذا الباب أنّ الإقرار بالمظروف لايقتضي الإقرار بالظرف و بالعكس؛ أخذاً بالمتيقّن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غصبته ثوباً في منديل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زيتاً في 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تمراً في جراب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حنطةً في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ثياباً في عيبة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بفتح العين، و هو شيء يحفظ فيه الثياب</w:t>
      </w:r>
      <w:r>
        <w:rPr>
          <w:rStyle w:val="FootnoteAnchor"/>
          <w:rtl w:val="true"/>
        </w:rPr>
        <w:footnoteReference w:id="1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إقراراً بالظرف؛ لاحتمال أن يكون مراده في منديل و جرّة و سفينة لي، و غير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عبد عليه 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 بهما؛ لأنّ له أهليّة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دابّة عليها 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غمد فيه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جرّة فيها 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جراب فيه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فيها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إقرار بالظرف دون المظروف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القياس ما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 في إصطبل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 على ظهره أكاف</w:t>
      </w:r>
      <w:r>
        <w:rPr>
          <w:rFonts w:eastAsia="Amiri" w:cs="Amiri" w:ascii="Amiri" w:hAnsi="Amiri"/>
          <w:color w:val="111111"/>
          <w:sz w:val="28"/>
          <w:szCs w:val="28"/>
          <w:rtl w:val="true"/>
          <w:lang w:bidi="ar-SA"/>
        </w:rPr>
        <w:t>»</w:t>
      </w:r>
      <w:r>
        <w:rPr>
          <w:rStyle w:val="FootnoteAnchor"/>
          <w:rtl w:val="true"/>
        </w:rPr>
        <w:footnoteReference w:id="1897"/>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مسرّجة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مفروشة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 الجميع في المعنى المقتضي، بخلاف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بفرشها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بسرجها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الثاني على الأوّل،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مطرز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الطراز جزء من الثوب مع احتمال خروج الطراز إن كان ممّا</w:t>
      </w:r>
    </w:p>
    <w:p>
      <w:pPr>
        <w:pStyle w:val="BookText"/>
        <w:rPr/>
      </w:pPr>
      <w:r>
        <w:rPr>
          <w:rFonts w:ascii="Amiri" w:hAnsi="Amiri" w:eastAsia="Amiri" w:cs="Amiri"/>
          <w:color w:val="111111"/>
          <w:sz w:val="28"/>
          <w:sz w:val="28"/>
          <w:szCs w:val="28"/>
          <w:rtl w:val="true"/>
          <w:lang w:bidi="ar-SA"/>
        </w:rPr>
        <w:t>يرّكب بعد النسج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كالأوّل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 في 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يقتضي الإقرار بالفصّ دون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فيه 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كونه إقراراً بالفصّ وجهان، أظهرهما أنّه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يريد فيه فصّ لي، و وجه الدخول أنّ الفصّ كالجزء من الخاتم حتّى لو باعه دخل فيه، بخلاف تلك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أبوحنيفة في جميع ذلك و حكم بدخول كلّ من الظرف و المظروف في الآخر</w:t>
      </w:r>
      <w:r>
        <w:rPr>
          <w:rStyle w:val="FootnoteAnchor"/>
          <w:rtl w:val="true"/>
        </w:rPr>
        <w:footnoteReference w:id="1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عبد عليه عمامة كان إقراراً بهما ؛ لأنّ له أهليّة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عليها سرج</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له أهليّة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الفرق بين العبد و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للعبد يداً على ملبوسه، و ما في يد العبد فهو في يد سيّدة، فإذا أقرّ بالعبد للغير كان ما في يده لذلك الغير، بخلاف المنسوب إلى الدابّة، فإنّه لايدلّها على ما هو عليها؛ و لهذا لو جاء بعبد و عليه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قفيز حنطة، بل قفيز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القفيزان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هذا الثوب، بل هذا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قفيز، بل قفيزان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القفيزان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درهم، بل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عمامة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العبد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العمامة له أيضاً، و لو جاء بدابّة و عليها سرج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الدابّة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السرج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 ما على العبد حينئذٍ من جهة اليد لا من جهة الإقرار و مع ذلك فالسيّد المقرّ له لا يد له على العبد و إنّما اليد عليه للمقرّ، فإذا أقرّ ببعض ما تحت يده لايسري الإقرار إلى غيره، و هذا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لبعض الأصحاب قول بدخول السرج في الدابّة أيضاً</w:t>
      </w:r>
      <w:r>
        <w:rPr>
          <w:rStyle w:val="FootnoteAnchor"/>
          <w:rtl w:val="true"/>
        </w:rPr>
        <w:footnoteReference w:id="1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القواعد تردّد في دخول السرج و الفرش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دابّة مسرجة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مفروشة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عليه عمامة</w:t>
      </w:r>
      <w:r>
        <w:rPr>
          <w:rFonts w:eastAsia="Amiri" w:cs="Amiri" w:ascii="Amiri" w:hAnsi="Amiri"/>
          <w:color w:val="111111"/>
          <w:sz w:val="28"/>
          <w:szCs w:val="28"/>
          <w:rtl w:val="true"/>
          <w:lang w:bidi="ar-SA"/>
        </w:rPr>
        <w:t>»</w:t>
      </w:r>
      <w:r>
        <w:rPr>
          <w:rStyle w:val="FootnoteAnchor"/>
          <w:rtl w:val="true"/>
        </w:rPr>
        <w:footnoteReference w:id="1900"/>
      </w:r>
      <w:r>
        <w:rPr>
          <w:rFonts w:ascii="Amiri" w:hAnsi="Amiri" w:eastAsia="Amiri" w:cs="Amiri"/>
          <w:color w:val="111111"/>
          <w:sz w:val="28"/>
          <w:sz w:val="28"/>
          <w:szCs w:val="28"/>
          <w:rtl w:val="true"/>
          <w:lang w:bidi="ar-SA"/>
        </w:rPr>
        <w:t>، من حيث إنّ المتبادر دخول ذلك، و لأنّه وصف الدابّة بكونها مسرجة و الدار بأنّها مفروشة و العبد بكونه ذا عمامة، فإذا سلّمها بغير الوصف لم تكن المقرّ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وصفها بذلك لايقتضي استحقاقها على هذا الوصف؛ لعدم المنافاة بين ذلك و 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سرج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مفروشة بفراش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و مع قيام الاحتمال لايظهر الإقرار بالمحتمل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قفيز حنطة، بل قفيز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القفيزان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إضراب بما بعدها عمّا قبلها و عدول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تقدّمها إيجاب و تلاها مفرد جعلت ما قبلها كالمسكوت عنه فلايحكم عليه بشيء، و أثبتت الحكم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الأوّل إقراراً صحيحاً استقرّ حكمه بالإضراب عنه، و ثبت ما بعده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كانا مختلفين أو معيّنين</w:t>
      </w:r>
      <w:r>
        <w:rPr>
          <w:rStyle w:val="FootnoteAnchor"/>
          <w:rtl w:val="true"/>
        </w:rPr>
        <w:footnoteReference w:id="1901"/>
      </w:r>
      <w:r>
        <w:rPr>
          <w:rFonts w:ascii="Amiri" w:hAnsi="Amiri" w:eastAsia="Amiri" w:cs="Amiri"/>
          <w:color w:val="111111"/>
          <w:sz w:val="28"/>
          <w:sz w:val="28"/>
          <w:szCs w:val="28"/>
          <w:rtl w:val="true"/>
          <w:lang w:bidi="ar-SA"/>
        </w:rPr>
        <w:t>لم يقبل إضرابه؛ لأنّه إنكار للإقرار الأوّل و هو غير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كانا مطلقين أو أحدهما لزمه واحد إن اتّحد مقدار ما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و إن اختلفا كمّيّةً لزمه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تقدّمها نفي فهي لتقرير ما قبلها على حكمه، و جعل ضدّه لما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يتفرّع ما ذكره المصنّف من المسائل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قفيز حنطة بل قفيز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أقرّ بالحنطة، و لايقبل إضرابه عنه و إنكاره 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قفيز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يلزمه الشعير أيضاً، لإقراره به؛ لأنّهما مطلقان و 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هذا الثوب بل هذا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لأنّ اختلافهما من جهة التعيين، فإنّ أحد المعيّنين غير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كان أحدهما معيّناً و الآخر مطلقاً، فإن اتّحدا قدراً و صنفاً حمل المطلق على المعيّن، سواء تقدّم أو تأخّر،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درهم بل هذا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الدرهم بل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جمع بينهما لصدق المغايرة، مع عدم المنافاة بين الجميع؛ إذ یصحّ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درهم يحتمل كونه هذا و غيره بل هو هذا الدرهم، لكن يتعيّن هذا الوصف الزائد في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التعيين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فيتعيّن المعيّن</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كانا مطلقين متّحدي المقدار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درهم بل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درهم؛ لأنّهما مطلقان فلايمتنع أن يكون أحدهما هو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فائدة الإضراب جاز أن يكون قد أراد استدراك الزيادة أو التعيين أو غيرهما فذكر أن لا حاجة إليه</w:t>
      </w:r>
      <w:r>
        <w:rPr>
          <w:rStyle w:val="FootnoteAnchor"/>
          <w:rtl w:val="true"/>
        </w:rPr>
        <w:footnoteReference w:id="1902"/>
      </w:r>
      <w:r>
        <w:rPr>
          <w:rFonts w:ascii="Amiri" w:hAnsi="Amiri" w:eastAsia="Amiri" w:cs="Amiri"/>
          <w:color w:val="111111"/>
          <w:sz w:val="28"/>
          <w:sz w:val="28"/>
          <w:szCs w:val="28"/>
          <w:rtl w:val="true"/>
          <w:lang w:bidi="ar-SA"/>
        </w:rPr>
        <w:t>، مؤيّداً بأصالة براءة الذمّة من غيره</w:t>
      </w:r>
      <w:r>
        <w:rPr>
          <w:rFonts w:eastAsia="Amiri" w:cs="Amiri" w:ascii="Amiri" w:hAnsi="Amiri"/>
          <w:color w:val="111111"/>
          <w:sz w:val="28"/>
          <w:szCs w:val="28"/>
          <w:rtl w:val="true"/>
          <w:lang w:bidi="ar-SA"/>
        </w:rPr>
        <w:t xml:space="preserve">. </w:t>
      </w:r>
      <w:bookmarkStart w:id="585" w:name="pg10270_80583"/>
    </w:p>
    <w:p>
      <w:pPr>
        <w:pStyle w:val="Heading5"/>
        <w:numPr>
          <w:ilvl w:val="4"/>
          <w:numId w:val="1"/>
        </w:numPr>
        <w:rPr/>
      </w:pPr>
      <w:bookmarkStart w:id="586" w:name="__RefHeading___Toc3860398_1067777946"/>
      <w:bookmarkStart w:id="587" w:name="_Toc213"/>
      <w:bookmarkEnd w:id="585"/>
      <w:bookmarkEnd w:id="586"/>
      <w:r>
        <w:rPr>
          <w:rtl w:val="true"/>
        </w:rPr>
        <w:t>لو أقرّ لميّت بمال و ادّعی انحصار وارثه</w:t>
      </w:r>
      <w:bookmarkEnd w:id="5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 لميّت بمال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وارث له غير هذا أُلزم التسليم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در همان؛ لاستدعاء الإضراب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القول في المطلق و المعيّن المتّحدين مقداراً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بالكمّيّة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قفيز بل قفيزان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الأكثر؛ لدخول الأقلّ في الأكثر، كدخول المطلق في المعيّن و لو بالاحتمال؛ لعدم التنافي بين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قفيز بل زائد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فيتمسّك بأصالة براءة الذمّة من الزائد على الأكثر و إن كان الجميع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عكس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قفيزان بل قفيز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القفيزان؛ لأنّ الرجوع عن الأكثر لايقبل</w:t>
      </w:r>
      <w:r>
        <w:rPr>
          <w:rStyle w:val="FootnoteAnchor"/>
          <w:rtl w:val="true"/>
        </w:rPr>
        <w:footnoteReference w:id="1903"/>
      </w:r>
      <w:r>
        <w:rPr>
          <w:rFonts w:ascii="Amiri" w:hAnsi="Amiri" w:eastAsia="Amiri" w:cs="Amiri"/>
          <w:color w:val="111111"/>
          <w:sz w:val="28"/>
          <w:sz w:val="28"/>
          <w:szCs w:val="28"/>
          <w:rtl w:val="true"/>
          <w:lang w:bidi="ar-SA"/>
        </w:rPr>
        <w:t>، و يدخل فيه الأقلّ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بل ديناران، بل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 بل دیناران بل قفیز بل قفيزان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ديناران و قفيزان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 و دیناران بل قفيز و قفيزان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ثلاثة دنانير و ثلاثة أقفزة، و قس على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أحدهما معيّناً دخل المطلق أو قدره فيه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هذا القفيز بل قفيزان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المعيّن و يلزمه إكماله بآخر، و لو عكس دخل المطلق و لم يتغيّر حكم الأكثر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جمع بين المختلفين كمّيّة و تعييناً ،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هذا القفيز الحنطة بل هذا القفيزان الشعير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فأولى بعدم التداخل و يلزمه الثلاثة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تقدّم النفي على حرف الإضراب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عليّ درهم بل درهمان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هذا الدرهم بل هذا أو بل 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درهم بل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فالمتقدّم منفيّ على أصله، و الثابت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 على هذا ما يرد عليك من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أقرّ لميّت بمال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وارث له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التسليم إليه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أقرّ لميّت بمال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وارث له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قوّة الإقرار للوارث المشار إليه، إلّا أنّ إقراره له وقع بعد إقراره بالمال لغيره و هو الميّت، فقد يحصل بين الإقرارين تناف، و قد يتحقّق عدم المنافاة، و قد يحتمل الأمرين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تحرير الحال أنّ الميّت إمّا أن يكون معلوم النسب و وارثه منحصراً في المعيّن يقيناً أو يحتمل كون الوارث غير المعيّن أو هو 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لايخلو إمّا أن يكون المال عيناً أو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كلام المصنّف و جماعة</w:t>
      </w:r>
      <w:r>
        <w:rPr>
          <w:rStyle w:val="FootnoteAnchor"/>
          <w:rtl w:val="true"/>
        </w:rPr>
        <w:footnoteReference w:id="1904"/>
      </w:r>
      <w:r>
        <w:rPr>
          <w:rFonts w:ascii="Amiri" w:hAnsi="Amiri" w:eastAsia="Amiri" w:cs="Amiri"/>
          <w:color w:val="111111"/>
          <w:sz w:val="28"/>
          <w:sz w:val="28"/>
          <w:szCs w:val="28"/>
          <w:rtl w:val="true"/>
          <w:lang w:bidi="ar-SA"/>
        </w:rPr>
        <w:t>قبول الإقرار للمعيّن و وجوب التسليم إليه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أنّ الإقرار وقع جملة واحدة لازمها أنّ المال لهذا المعيّن المشار إليه، فيلزم بالتسليم إليه و لايلتفت إلى الاحتمال، كما لايجب علينا البحث عن سبب الملك مع احتمال كونه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بأنّه مع العلم بوجود وارث للميّت غيره أو معه يكون تعيينه الثاني منافياً لإقراره به للميّت المسموع فلا يسمع، بل يحكم به لوارثه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الجهل بالحال و احتمال انحصار الإرث في المعيّن فلايخلو إمّا أن يكون المال المقرّ به ديناً أو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ديناً أُلزم بتسليمه إليه؛ لاعترافه بأنّه يستحقّ في ذمّته ذلك القدر فيؤاخذ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لايحصل على غيره من الوراث ضرر بذلك؛ لأنّه على تقدير ظهور وارث أولى أو مشارك يلزم المقرّ بالتخلّص من حقّه؛ لأن المدفوع إلى المقرّ له الأوّل نفس مال المقرّ و حقّ الوارث باق في ذمّته ؛ لأنّ الدين لا يتعيّن إلّا بقبض مالكه أو وكيله، و هما منتفيان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المقرّ به عيناً لم يؤمر بالدفع إليه إلّا بعد بحث الحاكم عن الوارث على وجه لو كان لظهر غالباً؛ لأنّ إقراره الأوّل للميّت مقبول فيكون لوارثه،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وارث له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في حقّ الغير فلايسمع بحيث يلزم بالتسليم إليه؛ لما فيه من التغرير بالمال المعيّن بإعطائه من لايتيقّن كونه المالك بخلاف الدين؛ لأنّ الإقرار به إقرار على نفسه خاصّةً؛ لأنّه على تقدير ظهور وارث لايفوت حقّه من الذمّة بخلاف العين، فإنّ خصوصيّتها تفوت و إن بقي بدلها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سلّم العين إليه لم يمنع منه؛ لعدم المنازع الآن، فإن ظهر وارث آخر فله المطالبة </w:t>
      </w:r>
      <w:bookmarkStart w:id="588" w:name="pg10270_80585"/>
    </w:p>
    <w:p>
      <w:pPr>
        <w:pStyle w:val="Heading5"/>
        <w:numPr>
          <w:ilvl w:val="4"/>
          <w:numId w:val="1"/>
        </w:numPr>
        <w:rPr/>
      </w:pPr>
      <w:bookmarkStart w:id="589" w:name="__RefHeading___Toc3860400_1067777946"/>
      <w:bookmarkStart w:id="590" w:name="_Toc214"/>
      <w:bookmarkEnd w:id="588"/>
      <w:bookmarkEnd w:id="589"/>
      <w:r>
        <w:rPr>
          <w:rtl w:val="true"/>
        </w:rPr>
        <w:t>إذا أقرّ بمالٍ معلّقاً علی الأجل</w:t>
      </w:r>
      <w:bookmarkEnd w:id="5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علىَّ ألف إذا جاء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رأس الشهر فله عليّ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فرّق و ليس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شاء منهم بحقّه، فإن وجد العين باقيةً رجع إليها، و إن وجدها تالفةً تخيّر في مطالبة من شاء بالبدل، مثلاً أو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البحث على نظير المسألة في كتاب الوكالة</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ألف إذا جاء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علىَّ كذا إذا جاء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من التعليقات على الأجل، فإن علم من قصده إرادة التعليق فلا شبهة في بطلان الإقرار ؛ لما تقدّم من أنّ الإقرار يلزمه التنجيز</w:t>
      </w:r>
      <w:r>
        <w:rPr>
          <w:rStyle w:val="FootnoteAnchor"/>
          <w:rtl w:val="true"/>
        </w:rPr>
        <w:footnoteReference w:id="1906"/>
      </w:r>
      <w:r>
        <w:rPr>
          <w:rFonts w:ascii="Amiri" w:hAnsi="Amiri" w:eastAsia="Amiri" w:cs="Amiri"/>
          <w:color w:val="111111"/>
          <w:sz w:val="28"/>
          <w:sz w:val="28"/>
          <w:szCs w:val="28"/>
          <w:rtl w:val="true"/>
          <w:lang w:bidi="ar-SA"/>
        </w:rPr>
        <w:t>لأنّه إخبار عن أمر واقع فلايجامع اشتراط وقوعه بأمر مستقبل؛ لأنّ الواقع لايعلّق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قصد التأجيل صحّ إقراره و إن أطلق و لم يعلم منه إرادة أحد الأمرين فظاهر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حمله على المعنى الثاني</w:t>
      </w:r>
      <w:r>
        <w:rPr>
          <w:rStyle w:val="FootnoteAnchor"/>
          <w:rtl w:val="true"/>
        </w:rPr>
        <w:footnoteReference w:id="1907"/>
      </w:r>
      <w:r>
        <w:rPr>
          <w:rFonts w:ascii="Amiri" w:hAnsi="Amiri" w:eastAsia="Amiri" w:cs="Amiri"/>
          <w:color w:val="111111"/>
          <w:sz w:val="28"/>
          <w:sz w:val="28"/>
          <w:szCs w:val="28"/>
          <w:rtl w:val="true"/>
          <w:lang w:bidi="ar-SA"/>
        </w:rPr>
        <w:t>لأنّه ظاهر فيه، و حملاً للكلام على الوجه الصحيح ما أمكن حمله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قويّاً الرجوع إليه في قصده و قبول قوله فيه مطلقاً أو مع اليمين إن ادّعى المقرّ له خلاف ما ادّعى قصده؛ لاحتمال اللفظ للمعنيين، و كما أنّ حمله على التأجيل يفيد حكماً شرعيّاً فكذا حمله على التعليق؛ لأنّ البطلان أيضاً حكم شرعي، و الأصل براءة الذمّة من</w:t>
      </w:r>
    </w:p>
    <w:p>
      <w:pPr>
        <w:pStyle w:val="BookText"/>
        <w:rPr/>
      </w:pPr>
      <w:r>
        <w:rPr>
          <w:rFonts w:ascii="Amiri" w:hAnsi="Amiri" w:eastAsia="Amiri" w:cs="Amiri"/>
          <w:color w:val="111111"/>
          <w:sz w:val="28"/>
          <w:sz w:val="28"/>
          <w:szCs w:val="28"/>
          <w:rtl w:val="true"/>
          <w:lang w:bidi="ar-SA"/>
        </w:rPr>
        <w:t>التزام شيء بدون اليقين أو الظهور، و هو منتف هنا؛ لاشتراك اللفظ بين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بعضهم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قدّم الشرط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رأس الشهر فعليّ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إقراراً معلّقاً فيبطل، و إن أخّره كان إقراراً بمؤجّل</w:t>
      </w:r>
      <w:r>
        <w:rPr>
          <w:rFonts w:eastAsia="Amiri" w:cs="Amiri" w:ascii="Amiri" w:hAnsi="Amiri"/>
          <w:color w:val="111111"/>
          <w:sz w:val="28"/>
          <w:szCs w:val="28"/>
          <w:rtl w:val="true"/>
          <w:lang w:bidi="ar-SA"/>
        </w:rPr>
        <w:t>»</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أنّه إذا بدأ بالشرط لم يكن مقرّاً بالحقّ و إنّما علّقه بالشرط، بخلاف ما إذا أخّره،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يكون قد أقرّ بالألف أوّلاً، 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أن يريد به محلّها و وجوب تسليمها و أن يريد الآخر، فلايحمل على الثاني حذراً من تعقيب الإقرار بالمنافي، بل على الأوّل؛ لعدم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المصنّف و غيره من المحقّقين، بأنّه لا فرق من حيث اللغة و العرف بين تقديم الشرط</w:t>
      </w:r>
    </w:p>
    <w:p>
      <w:pPr>
        <w:pStyle w:val="BookText"/>
        <w:rPr/>
      </w:pPr>
      <w:r>
        <w:rPr>
          <w:rFonts w:ascii="Amiri" w:hAnsi="Amiri" w:eastAsia="Amiri" w:cs="Amiri"/>
          <w:color w:val="111111"/>
          <w:sz w:val="28"/>
          <w:sz w:val="28"/>
          <w:szCs w:val="28"/>
          <w:rtl w:val="true"/>
          <w:lang w:bidi="ar-SA"/>
        </w:rPr>
        <w:t>و تأخيره</w:t>
      </w:r>
      <w:r>
        <w:rPr>
          <w:rStyle w:val="FootnoteAnchor"/>
          <w:rtl w:val="true"/>
        </w:rPr>
        <w:footnoteReference w:id="1909"/>
      </w:r>
      <w:r>
        <w:rPr>
          <w:rFonts w:ascii="Amiri" w:hAnsi="Amiri" w:eastAsia="Amiri" w:cs="Amiri"/>
          <w:color w:val="111111"/>
          <w:sz w:val="28"/>
          <w:sz w:val="28"/>
          <w:szCs w:val="28"/>
          <w:rtl w:val="true"/>
          <w:lang w:bidi="ar-SA"/>
        </w:rPr>
        <w:t>، و أنّ الشرط و إن تأخّر لفظاً فهو متقدّم معنىً و له صدر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حملناه على الصحّة أو فسّر بإرادة التأجيل قبل منه الإقرار بأصل المال، لكن هل يقبل منه الإقرار بالأجل؟ فيه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القبول</w:t>
      </w:r>
      <w:r>
        <w:rPr>
          <w:rStyle w:val="FootnoteAnchor"/>
          <w:rtl w:val="true"/>
        </w:rPr>
        <w:footnoteReference w:id="1910"/>
      </w:r>
      <w:r>
        <w:rPr>
          <w:rFonts w:ascii="Amiri" w:hAnsi="Amiri" w:eastAsia="Amiri" w:cs="Amiri"/>
          <w:color w:val="111111"/>
          <w:sz w:val="28"/>
          <w:sz w:val="28"/>
          <w:szCs w:val="28"/>
          <w:rtl w:val="true"/>
          <w:lang w:bidi="ar-SA"/>
        </w:rPr>
        <w:t>لثبوت أصل المال بإقراره، و الأجل دعوى زائدة على أصل الإقرار فلا تسمع، كما لو أقرّ بالمال ثمّ ادّعى قضاءه؛ و لأنّ الأصلالحلول، فدعوى التأجيل خلاف الأصل، فيكون مدّعيه مدّعياً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w:t>
      </w:r>
      <w:r>
        <w:rPr>
          <w:rStyle w:val="FootnoteAnchor"/>
          <w:rtl w:val="true"/>
        </w:rPr>
        <w:footnoteReference w:id="1911"/>
      </w:r>
      <w:r>
        <w:rPr>
          <w:rFonts w:ascii="Amiri" w:hAnsi="Amiri" w:eastAsia="Amiri" w:cs="Amiri"/>
          <w:color w:val="111111"/>
          <w:sz w:val="28"/>
          <w:sz w:val="28"/>
          <w:szCs w:val="28"/>
          <w:rtl w:val="true"/>
          <w:lang w:bidi="ar-SA"/>
        </w:rPr>
        <w:t>لأنّ الإقرار التزام المقرّ بما أقرّ به دون غيره، وإنّما أقرّ بالحقّ المؤجّل فلايلزمه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ألف إلى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موصوفة بالتأجيل المعيّن، فيكون</w:t>
      </w:r>
    </w:p>
    <w:p>
      <w:pPr>
        <w:pStyle w:val="BookText"/>
        <w:rPr/>
      </w:pPr>
      <w:r>
        <w:rPr>
          <w:rFonts w:ascii="Amiri" w:hAnsi="Amiri" w:eastAsia="Amiri" w:cs="Amiri"/>
          <w:color w:val="111111"/>
          <w:sz w:val="28"/>
          <w:sz w:val="28"/>
          <w:szCs w:val="28"/>
          <w:rtl w:val="true"/>
          <w:lang w:bidi="ar-SA"/>
        </w:rPr>
        <w:t>ذلك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ألف درهم من النقد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بوصف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الكلام الواقع منه جملةً واحدةً لا يتمّ إلّا بآخره و إنّما يحكم عليه بعد كماله، كما لو عقّبه باستثناء أو وصف أو شرط</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لأنّه لولا قبول ذلك منه لأدّى إلى انسداد باب الإقرار بالحقّ المؤجّل، فإذا كان على الإنسان دين مؤجّل و أراد التخلّص منه بالإقرار فإن لم يسمع منه لزم الإضرار به، و ربما كان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حلف الولد انعتق المملوك و لم يلزم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الأجل طويلاً بحيث إذا علم عدم قبوله منه لا يقرّ بأصل الحقّ خوفاً من إلزامه به حالّاً و الإضرار به، فيؤدّي تركه إلى الإضرار بصاحب الحقّ، و هذا غير موافق لحكمة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فالقبول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على مجرّد الحكم بلزوم الألف و لم يتعرّض لإثبات</w:t>
      </w:r>
    </w:p>
    <w:p>
      <w:pPr>
        <w:pStyle w:val="BookText"/>
        <w:rPr/>
      </w:pPr>
      <w:r>
        <w:rPr>
          <w:rFonts w:ascii="Amiri" w:hAnsi="Amiri" w:eastAsia="Amiri" w:cs="Amiri"/>
          <w:color w:val="111111"/>
          <w:sz w:val="28"/>
          <w:sz w:val="28"/>
          <w:szCs w:val="28"/>
          <w:rtl w:val="true"/>
          <w:lang w:bidi="ar-SA"/>
        </w:rPr>
        <w:t>الأجل و لا لنفيه، لكنّه إلى لزومه حالّاً أقرب، و لأنّه مذهب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العبارة المقتضية للإقرار بالحقّ المؤخّر قد تكون صريحةً في التعليق، كما إذا علّقه بشرط لايطابق الأجل الشرعي،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إشكال في فساده و قد تكون صريحةً في التأجيل،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ألف مؤجّلة إلى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لزوم أصل المال، و إنّما الإشكال في قبول الأجل، و قد تكون محتملةً للتعليق و التأجيل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ألف إذا جاء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الخلاف فيه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أصل الصحّة، و الثاني</w:t>
      </w:r>
    </w:p>
    <w:p>
      <w:pPr>
        <w:pStyle w:val="BookText"/>
        <w:rPr/>
      </w:pPr>
      <w:r>
        <w:rPr>
          <w:rFonts w:ascii="Amiri" w:hAnsi="Amiri" w:eastAsia="Amiri" w:cs="Amiri"/>
          <w:color w:val="111111"/>
          <w:sz w:val="28"/>
          <w:sz w:val="28"/>
          <w:szCs w:val="28"/>
          <w:rtl w:val="true"/>
          <w:lang w:bidi="ar-SA"/>
        </w:rPr>
        <w:t>على تقدير الصحّة في ثبوت الأجل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 المالك بعتك أباك، فإذا حلف الولد انعتق المملوك و لم يلزم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مالك العبد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الشراء، فدعوى المالك تضمّنت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الثمن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انعتاق العبد فأمّا ما تضمّنه من لزوم الثمن للمشتري المترتّب على البيع فهو مجرّد دعوى، و القول قول الولد في عدم الشراء؛ لأنّه منكر فينتفي عنه الثمن كما ينتفي عنه</w:t>
      </w:r>
    </w:p>
    <w:p>
      <w:pPr>
        <w:pStyle w:val="BookText"/>
        <w:rPr/>
      </w:pPr>
      <w:r>
        <w:rPr>
          <w:rFonts w:ascii="IRNazanin" w:hAnsi="IRNazanin" w:eastAsia="IRNazanin"/>
          <w:color w:val="111111"/>
          <w:sz w:val="28"/>
          <w:sz w:val="28"/>
          <w:szCs w:val="28"/>
          <w:rtl w:val="true"/>
          <w:lang w:bidi="fa-IR"/>
        </w:rPr>
        <w:t>أصل الشراء</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تضمّنها لانعتاق العبد فهو إقرار بعتق عبده الذي هو تحت يده؛ لأنّ دعواه شراء ابنه أباه يستلزم ذلك فيؤاخذ بإقراره، و يحكم بعتق العبد من 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ينتفي ولاؤه عن الابن لإنكاره الشراء، و عن المقرّ ؛ لاعترافه بأنّه لم يعتقه، فيبقى سائبة</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هذه الدار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 له بالدار، و ليس كذلك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تملّكتها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يحتمل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لفلان عليّ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الإقرار؛ لأنّه إخبار عن تقدّم الاستحقاق، فلاتقبل دعواه في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هذه الدار من فلان، أو غصبتها منه، أو قبضتها منه كان إقراراً له</w:t>
      </w:r>
    </w:p>
    <w:p>
      <w:pPr>
        <w:pStyle w:val="BookText"/>
        <w:rPr/>
      </w:pPr>
      <w:r>
        <w:rPr>
          <w:rFonts w:ascii="IRNazanin" w:hAnsi="IRNazanin" w:eastAsia="IRNazanin"/>
          <w:color w:val="111111"/>
          <w:sz w:val="28"/>
          <w:sz w:val="28"/>
          <w:szCs w:val="28"/>
          <w:rtl w:val="true"/>
          <w:lang w:bidi="fa-IR"/>
        </w:rPr>
        <w:t>بالدار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كونه إقراراً في الأوّل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الإقرار له باليد، و هي ظاهرة في الملك إلى أن يثبت خلافه، و إن أمكن كونها بيده على جهة العارية أو الوكالة، بخلاف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تملّكتها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لايقتضي إلّا جريان سبب الملك على يده، و هو أعمّ من صدوره منه، فلايدلّ على كونه مالكاً؛ لجواز كونه وكيلاً أو دلّالاً،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لفلان عليّ ألف، لزمه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ثبوته في الزمن الماضي، و لايدلّ على الزوال؛ لاستعماله لغةً في المستمر</w:t>
      </w:r>
      <w:r>
        <w:rPr>
          <w:rStyle w:val="FootnoteAnchor"/>
          <w:rtl w:val="true"/>
        </w:rPr>
        <w:footnoteReference w:id="1913"/>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عَلِيمًا حَكِيمًا</w:t>
      </w:r>
      <w:r>
        <w:rPr>
          <w:rFonts w:eastAsia="Amiri" w:cs="Amiri" w:ascii="Amiri" w:hAnsi="Amiri"/>
          <w:color w:val="111111"/>
          <w:sz w:val="28"/>
          <w:szCs w:val="28"/>
          <w:rtl w:val="true"/>
          <w:lang w:bidi="ar-SA"/>
        </w:rPr>
        <w:t>»</w:t>
      </w:r>
      <w:r>
        <w:rPr>
          <w:rStyle w:val="FootnoteAnchor"/>
          <w:rtl w:val="true"/>
        </w:rPr>
        <w:footnoteReference w:id="1914"/>
      </w:r>
      <w:r>
        <w:rPr>
          <w:rFonts w:ascii="Amiri" w:hAnsi="Amiri" w:eastAsia="Amiri" w:cs="Amiri"/>
          <w:color w:val="111111"/>
          <w:sz w:val="28"/>
          <w:sz w:val="28"/>
          <w:szCs w:val="28"/>
          <w:rtl w:val="true"/>
          <w:lang w:bidi="ar-SA"/>
        </w:rPr>
        <w:t>و غير ذلك من الاستعمالات الكثيرة في القرآن و غيره، لكنّها تشعر بذلك بحسب العرف، و لاتبلغ حدّ العلم به بحيث يستقرّ الاستعمال فيه، فيحكم بالاستصحاب و لو صرّح بعده بدعوى سقوطه لم تسمع؛ لأنّه إقرار بالمنافي؛ لأصالة البقاء</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خالف في ذلك بعض العامّة، فحكم بكونه ليس إقراراً في الحال</w:t>
      </w:r>
      <w:r>
        <w:rPr>
          <w:rStyle w:val="FootnoteAnchor"/>
          <w:rtl w:val="true"/>
        </w:rPr>
        <w:footnoteReference w:id="1915"/>
      </w:r>
      <w:r>
        <w:rPr>
          <w:rFonts w:ascii="Amiri" w:hAnsi="Amiri" w:eastAsia="Amiri" w:cs="Amiri"/>
          <w:color w:val="111111"/>
          <w:sz w:val="28"/>
          <w:sz w:val="28"/>
          <w:szCs w:val="28"/>
          <w:rtl w:val="true"/>
          <w:lang w:bidi="ar-SA"/>
        </w:rPr>
        <w:t>لأصالة براءة الذمّة، و لأنّه لم يذكر عليه شيئاً في الحال وإنّما أخبر بذلك في زمن ماضٍ كما لو شهدت البيّنة به كذلك</w:t>
      </w:r>
      <w:r>
        <w:rPr>
          <w:rFonts w:eastAsia="Amiri" w:cs="Amiri" w:ascii="Amiri" w:hAnsi="Amiri"/>
          <w:color w:val="111111"/>
          <w:sz w:val="28"/>
          <w:szCs w:val="28"/>
          <w:rtl w:val="true"/>
          <w:lang w:bidi="ar-SA"/>
        </w:rPr>
        <w:t xml:space="preserve">. </w:t>
      </w:r>
      <w:bookmarkStart w:id="591" w:name="pg10270_80589"/>
    </w:p>
    <w:p>
      <w:pPr>
        <w:pStyle w:val="Heading4"/>
        <w:numPr>
          <w:ilvl w:val="3"/>
          <w:numId w:val="1"/>
        </w:numPr>
        <w:rPr/>
      </w:pPr>
      <w:bookmarkStart w:id="592" w:name="__RefHeading___Toc3860402_1067777946"/>
      <w:bookmarkStart w:id="593" w:name="_Toc215"/>
      <w:bookmarkEnd w:id="591"/>
      <w:bookmarkEnd w:id="592"/>
      <w:r>
        <w:rPr>
          <w:rtl w:val="true"/>
        </w:rPr>
        <w:t>المقصد الثاني في المبهمة</w:t>
      </w:r>
      <w:bookmarkEnd w:id="593"/>
    </w:p>
    <w:p>
      <w:pPr>
        <w:pStyle w:val="Heading5"/>
        <w:numPr>
          <w:ilvl w:val="4"/>
          <w:numId w:val="1"/>
        </w:numPr>
        <w:rPr/>
      </w:pPr>
      <w:bookmarkStart w:id="594" w:name="__RefHeading___Toc3860404_1067777946"/>
      <w:bookmarkStart w:id="595" w:name="_Toc216"/>
      <w:bookmarkEnd w:id="594"/>
      <w:r>
        <w:rPr>
          <w:rtl w:val="true"/>
        </w:rPr>
        <w:t>اشارة</w:t>
      </w:r>
      <w:bookmarkEnd w:id="595"/>
    </w:p>
    <w:p>
      <w:pPr>
        <w:pStyle w:val="BookText"/>
        <w:rPr/>
      </w:pPr>
      <w:r>
        <w:rPr>
          <w:rFonts w:ascii="Amiri" w:hAnsi="Amiri" w:eastAsia="Amiri" w:cs="Amiri"/>
          <w:color w:val="111111"/>
          <w:sz w:val="28"/>
          <w:sz w:val="28"/>
          <w:szCs w:val="28"/>
          <w:rtl w:val="true"/>
          <w:lang w:bidi="ar-SA"/>
        </w:rPr>
        <w:t>المقصد • الثاني في المبهمة</w:t>
      </w:r>
    </w:p>
    <w:p>
      <w:pPr>
        <w:pStyle w:val="BookText"/>
        <w:rPr/>
      </w:pPr>
      <w:r>
        <w:rPr>
          <w:rFonts w:ascii="Amiri" w:hAnsi="Amiri" w:eastAsia="Amiri" w:cs="Amiri"/>
          <w:color w:val="111111"/>
          <w:sz w:val="28"/>
          <w:sz w:val="28"/>
          <w:szCs w:val="28"/>
          <w:rtl w:val="true"/>
          <w:lang w:bidi="ar-SA"/>
        </w:rPr>
        <w:t>و فيها مسائل</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3860406_1067777946"/>
      <w:bookmarkStart w:id="597" w:name="_Toc217"/>
      <w:bookmarkEnd w:id="596"/>
      <w:r>
        <w:rPr>
          <w:rtl w:val="true"/>
        </w:rPr>
        <w:t>إذا قال</w:t>
      </w:r>
      <w:r>
        <w:rPr>
          <w:rtl w:val="true"/>
        </w:rPr>
        <w:t>:</w:t>
      </w:r>
      <w:r>
        <w:rPr>
          <w:rtl w:val="true"/>
        </w:rPr>
        <w:t>له علىّ مال</w:t>
      </w:r>
      <w:bookmarkEnd w:id="597"/>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علىّ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التفسير، فإن فسّر بما يتموّل قُبل و لو كان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فسّر بما لم تجر العادة بتموّله، كقشر الجوزة و اللوزة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فسّر المسلم بما لايملكه و لاينتفع به كالخمر و الخنزير و جلد الميتة؛ لأنّه لايعدّ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في المبهمة، و فيها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المقرّ به قد يكون معيّناً مفصّلاً، و قد يكون مبهماً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احتمل فيه الإبهام لأنّه إخبار عن سابق، و الشيء يخبر عنه مفصّلاً تارةً و مجملاً أُخرى، و ربما كان في ذمّة</w:t>
      </w:r>
    </w:p>
    <w:p>
      <w:pPr>
        <w:pStyle w:val="BookText"/>
        <w:rPr/>
      </w:pPr>
      <w:r>
        <w:rPr>
          <w:rFonts w:ascii="Amiri" w:hAnsi="Amiri" w:eastAsia="Amiri" w:cs="Amiri"/>
          <w:color w:val="111111"/>
          <w:sz w:val="28"/>
          <w:sz w:val="28"/>
          <w:szCs w:val="28"/>
          <w:rtl w:val="true"/>
          <w:lang w:bidi="ar-SA"/>
        </w:rPr>
        <w:t>الإنسان شيء لايعلم قدره فلابدّ له من الإخبار عنه، فيتواطئان هو و صاحبه على الصلح بما يتّفقان عليه، فدعت الحاجة و اقتضت الحكمة إلى سماع الإقرار المجمل كما يسمع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يخالف الإنشاءات حيث لاتحتمل الجهالة و الإجمال غالباً؛ احتياطاً لابتداء الثبوت، و تحرّزاً عن الغرر، و هذا لايجري في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لافرق في الأقارير المجملة بين أن تقع ابتداءً أو في جواب دعوى معلومة، كما إذا ادّعى عليه ألف درهم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عليّ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الألفاظ التي تقع فيها الجهالة و الإجمال لا حصر لها، فذكر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Style w:val="FootnoteAnchor"/>
          <w:rtl w:val="true"/>
        </w:rPr>
        <w:footnoteReference w:id="1916"/>
      </w:r>
      <w:r>
        <w:rPr>
          <w:rFonts w:ascii="Amiri" w:hAnsi="Amiri" w:eastAsia="Amiri" w:cs="Amiri"/>
          <w:color w:val="111111"/>
          <w:sz w:val="28"/>
          <w:sz w:val="28"/>
          <w:szCs w:val="28"/>
          <w:rtl w:val="true"/>
          <w:lang w:bidi="ar-SA"/>
        </w:rPr>
        <w:t>من الفقهاء ما هو أكثر استعمالاً و دوراناً على الألسنة ليعرف حكمها و يقاس عليها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في الذمّة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المال من الصيغ المجملة؛ لاحتماله القليل 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في </w:t>
      </w:r>
    </w:p>
    <w:p>
      <w:pPr>
        <w:pStyle w:val="BookText"/>
        <w:rPr/>
      </w:pPr>
      <w:r>
        <w:rPr>
          <w:rFonts w:ascii="Amiri" w:hAnsi="Amiri" w:eastAsia="Amiri" w:cs="Amiri"/>
          <w:color w:val="111111"/>
          <w:sz w:val="28"/>
          <w:sz w:val="28"/>
          <w:szCs w:val="28"/>
          <w:rtl w:val="true"/>
          <w:lang w:bidi="ar-SA"/>
        </w:rPr>
        <w:t>و كذا لو فسّره بما ينتفع به و لايملك كالسرجين النجس و الكلب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فسّره بكلب الصيد أو الماشية أو كلب الزرع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فسّره بردّ السلام لم يقبل؛ لأنّه لم تجرِ العادة بالإخبار عن ثبوت مثله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تفسيره إليه، فإن فسّره بتفسير صحيح قُبل منه، و إن امتنع حبس حتّى يبيّن؛ لأنّ البيان واجب عليه، كما يحبس على الامتناع من أداء الحقّ،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مقداره، فلا يتّجه الحبس، بل يرجع إلى الصلح أو يصبر عليه حتّى يتذكّر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تفسيره له فإن فسّره بما يتموّل قُبل قلَّ أم كثر، كفلس و رغيف و تمرة حيث</w:t>
      </w:r>
    </w:p>
    <w:p>
      <w:pPr>
        <w:pStyle w:val="BookText"/>
        <w:rPr/>
      </w:pPr>
      <w:r>
        <w:rPr>
          <w:rFonts w:ascii="Amiri" w:hAnsi="Amiri" w:eastAsia="Amiri" w:cs="Amiri"/>
          <w:color w:val="111111"/>
          <w:sz w:val="28"/>
          <w:sz w:val="28"/>
          <w:szCs w:val="28"/>
          <w:rtl w:val="true"/>
          <w:lang w:bidi="ar-SA"/>
        </w:rPr>
        <w:t>يكون لها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فسّره بما لايتموّل لم يقبل، سواء كان من جنس ما يتموّل كحبّة من حنطة و شعير و سمسم، أم لا كالكلب العقور و السرجين النجس و جلد الميتة عند من لايجعلها قابلةً للطهارة بالذكاة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 بقبول تفسيره بما يكون من جنس ما يتموّل؛ لأنّ المال أعمّ من المتموّل؛ إذ كلّ متموّل مال و لاينعكس</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الأظهر الأوّل؛ لأنّه و إن دخل في اسم المال إلّا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ثبوت شيء في الذمّة، و ما لايتموّل لايثبت في الذمّة و إن حرم غصبه و وجب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فسّره بأحد الكلاب الأربعة قُبل؛ لأنّها مال متموّل عند من يجوز بيعه</w:t>
      </w:r>
      <w:r>
        <w:rPr>
          <w:rStyle w:val="FootnoteAnchor"/>
          <w:rtl w:val="true"/>
        </w:rPr>
        <w:footnoteReference w:id="1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الجرو القابل للتعليم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لايقبل تفسيره بما لايعدّ مالاً و إن كان حقّاً كردّ السلام و تسميت العاطس و العيادة؛ لأنّ ذلك لايعدّ مالاً و لايثبت في الذمّة و إن استحقّ مرتكبها الإثم كترك ردّ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علّل </w:t>
      </w:r>
      <w:bookmarkStart w:id="598" w:name="pg10270_80591"/>
    </w:p>
    <w:p>
      <w:pPr>
        <w:pStyle w:val="Heading5"/>
        <w:numPr>
          <w:ilvl w:val="4"/>
          <w:numId w:val="1"/>
        </w:numPr>
        <w:rPr/>
      </w:pPr>
      <w:bookmarkStart w:id="599" w:name="__RefHeading___Toc3860408_1067777946"/>
      <w:bookmarkStart w:id="600" w:name="_Toc218"/>
      <w:bookmarkEnd w:id="598"/>
      <w:bookmarkEnd w:id="599"/>
      <w:r>
        <w:rPr>
          <w:rtl w:val="true"/>
        </w:rPr>
        <w:t>إذا قال</w:t>
      </w:r>
      <w:r>
        <w:rPr>
          <w:rtl w:val="true"/>
        </w:rPr>
        <w:t>:</w:t>
      </w:r>
      <w:r>
        <w:rPr>
          <w:rtl w:val="true"/>
        </w:rPr>
        <w:t>له عليّ شيء</w:t>
      </w:r>
      <w:bookmarkEnd w:id="60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ففسّره بجلد الميتة أو السرجين النجس،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 لأنّه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لايُقبل؛ لأنّه لايثبت في الذمّة كان 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المصنّف عدم الاجتزاء بردّ السلام بعدم كونه مالاً و الإقرار إنّما كان بالمال لكان أظهر، و إنّما يحسن تعليله بعدم ثبوته في الذمّة على تقدير أن يكون الإقرار بالشيء أو بالحقّ كما ذكره غيره</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و لو فسّره بوديعة قّبل؛ لأنّها مال يجب عليه ردّها عند الطلب، و قد يتعدّى فيها فتكون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لايُقبل؛ لأنّها في يده لا عليه</w:t>
      </w:r>
      <w:r>
        <w:rPr>
          <w:rStyle w:val="FootnoteAnchor"/>
          <w:rtl w:val="true"/>
        </w:rPr>
        <w:footnoteReference w:id="1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لايُقبل بحقّ الشفعة؛ لأنّه حقّ لا مال كردّ السلام و العيادة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شيء، ففسّره بجلد الميتة أو السرجين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الشيء أعمّ من المال، فكلّ ما يقبل تفسير المال به يقبل به تفسير الشيء و لاينعكس؛ إذ يقبل تفسير الشيء بحدّ القذف و حقّ الشفعة؛ لأنّهما شيء، دون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قبول تفسيره بجلد الميتة و السرجين النجس و الخمر المحرّمة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لصدق الشيء عليها وإمكان المنفعة بها و تحريم أخذها؛ لثبوت الاختصاص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العلّامة في أحد قوليه</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Style w:val="FootnoteAnchor"/>
          <w:rtl w:val="true"/>
        </w:rPr>
        <w:footnoteReference w:id="1922"/>
      </w:r>
      <w:r>
        <w:rPr>
          <w:rFonts w:ascii="Amiri" w:hAnsi="Amiri" w:eastAsia="Amiri" w:cs="Amiri"/>
          <w:color w:val="111111"/>
          <w:sz w:val="28"/>
          <w:sz w:val="28"/>
          <w:szCs w:val="28"/>
          <w:rtl w:val="true"/>
          <w:lang w:bidi="ar-SA"/>
        </w:rPr>
        <w:t xml:space="preserve">لأنّ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الملك، و تلك الأشياء ليست بمملوكة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قبول تفسيره بما لايتموّل كحبّة الحنطة و قمع الباذنجان قولان</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أَولى بالقبول هنا، و هو اختياره في التذكرة؛ لأنّه شيء يحرم أخذه و على من أخذه ردّه</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 xml:space="preserve">. </w:t>
      </w:r>
      <w:bookmarkStart w:id="601" w:name="pg10270_80592"/>
    </w:p>
    <w:p>
      <w:pPr>
        <w:pStyle w:val="Heading5"/>
        <w:numPr>
          <w:ilvl w:val="4"/>
          <w:numId w:val="1"/>
        </w:numPr>
        <w:rPr/>
      </w:pPr>
      <w:bookmarkStart w:id="602" w:name="__RefHeading___Toc3860410_1067777946"/>
      <w:bookmarkStart w:id="603" w:name="_Toc219"/>
      <w:bookmarkEnd w:id="601"/>
      <w:bookmarkEnd w:id="602"/>
      <w:r>
        <w:rPr>
          <w:rtl w:val="true"/>
        </w:rPr>
        <w:t>لو قال</w:t>
      </w:r>
      <w:r>
        <w:rPr>
          <w:rtl w:val="true"/>
        </w:rPr>
        <w:t>:</w:t>
      </w:r>
      <w:r>
        <w:rPr>
          <w:rtl w:val="true"/>
        </w:rPr>
        <w:t>له عليّ مال عظيم و نحوه</w:t>
      </w:r>
      <w:bookmarkEnd w:id="6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تفسيره و لو بالقليل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ثمانين، رجوعاً في تفسير الكثرة إلى رواية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خصّها بعض الأصحاب بموضع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القبول؛ لأنّه لا قيمة له فلایصحّ التزامه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لهذا لاتصحّ الدعوى به</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منع عدم سماع الدعوى به و عليه يترتّب ثبوته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متموّلاً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لايقبل تفسيره بردّ السلام و العيادة؛ لأنّه بعيد عن الفهم في معرض الإقرار؛ إذ لامطالبة</w:t>
      </w:r>
    </w:p>
    <w:p>
      <w:pPr>
        <w:pStyle w:val="BookText"/>
        <w:rPr/>
      </w:pPr>
      <w:r>
        <w:rPr>
          <w:rFonts w:ascii="Amiri" w:hAnsi="Amiri" w:eastAsia="Amiri" w:cs="Amiri"/>
          <w:color w:val="111111"/>
          <w:sz w:val="28"/>
          <w:sz w:val="28"/>
          <w:szCs w:val="28"/>
          <w:rtl w:val="true"/>
          <w:lang w:bidi="ar-SA"/>
        </w:rPr>
        <w:t>بهما و الإقرار في العادة ما يطلبه المقرّ الغير و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بهما؛ لما روي في الخبر من أنّ حقّ المسلم على المسلم أن يردّ سلامه و يسمّت عطسته و يجيب دعوته، إلى غير ذلك من الحقوق</w:t>
      </w:r>
      <w:r>
        <w:rPr>
          <w:rFonts w:eastAsia="Amiri" w:cs="Amiri" w:ascii="Amiri" w:hAnsi="Amiri"/>
          <w:color w:val="111111"/>
          <w:sz w:val="28"/>
          <w:szCs w:val="28"/>
          <w:rtl w:val="true"/>
          <w:lang w:bidi="ar-SA"/>
        </w:rPr>
        <w:t>»</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الأشهر عدم القبول؛ لأنّ الحق أخصّ من الشيء فيبعد أن يقبل تفسير الأخصّ بما لايقبل به تفسير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بأنّ أهل العرف يطلقون الحقّ و يريدون هذه الأمور،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w:t>
      </w:r>
    </w:p>
    <w:p>
      <w:pPr>
        <w:pStyle w:val="BookText"/>
        <w:rPr/>
      </w:pPr>
      <w:r>
        <w:rPr>
          <w:rFonts w:ascii="Amiri" w:hAnsi="Amiri" w:eastAsia="Amiri" w:cs="Amiri"/>
          <w:color w:val="111111"/>
          <w:sz w:val="28"/>
          <w:sz w:val="28"/>
          <w:szCs w:val="28"/>
          <w:rtl w:val="true"/>
          <w:lang w:bidi="ar-SA"/>
        </w:rPr>
        <w:t>على فلان حقّ، و يريدون خدمته له وسعيه إلى بابه،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جليل، أو عظيم، أو خطير، أو نفيس، قبل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بمال جليل أو عظيم أو كثير أو جزيل أو نفيس أو خطير أو غير تافة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أيّ مال و نحو ذلك، قُبل تفسيره بأقلّ ما يتموّل كما لو أطلق المال؛ لأنّه يحتمل أن یرید به عظیم خطره بكفر مستحلّه و وزر غاصبه و الخائن</w:t>
      </w:r>
      <w:r>
        <w:rPr>
          <w:rStyle w:val="FootnoteAnchor"/>
          <w:rtl w:val="true"/>
        </w:rPr>
        <w:footnoteReference w:id="1926"/>
      </w:r>
      <w:r>
        <w:rPr>
          <w:rFonts w:ascii="Amiri" w:hAnsi="Amiri" w:eastAsia="Amiri" w:cs="Amiri"/>
          <w:color w:val="111111"/>
          <w:sz w:val="28"/>
          <w:sz w:val="28"/>
          <w:szCs w:val="28"/>
          <w:rtl w:val="true"/>
          <w:lang w:bidi="ar-SA"/>
        </w:rPr>
        <w:t>فيه، و لأنّه ليس في العظيم و ما في معناه حدّ في الشرع و لا في اللغة و لا في العرف و الناس مختلفون في ذلك، فبعضهم يستعظم القليل نظراً إلى ما ذكرناه، و بعضهم يستعظمه لشحّه و اعتنائه بالمال، و بعضهم لايستعظم الكثير لكونه على خلاف ذلك الخلق، فيرجع إلى تفسيره فيه؛ لأنّه أعرف بمراده، و الأصل الذي يبنى عليه الإقرار الأخذ بالمتيقّن و الترك لغيره و عدم اعتبار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للعامّة في ذلك مذاهب مختلفة، فاعتبر بعضهم عشرة دراهم</w:t>
      </w:r>
      <w:r>
        <w:rPr>
          <w:rStyle w:val="FootnoteAnchor"/>
          <w:rtl w:val="true"/>
        </w:rPr>
        <w:footnoteReference w:id="1927"/>
      </w:r>
      <w:r>
        <w:rPr>
          <w:rFonts w:ascii="IRNazanin" w:hAnsi="IRNazanin" w:eastAsia="IRNazanin"/>
          <w:color w:val="111111"/>
          <w:sz w:val="28"/>
          <w:sz w:val="28"/>
          <w:szCs w:val="28"/>
          <w:rtl w:val="true"/>
          <w:lang w:bidi="fa-IR"/>
        </w:rPr>
        <w:t>، وآخرون نصاب القطع</w:t>
      </w:r>
      <w:r>
        <w:rPr>
          <w:rStyle w:val="FootnoteAnchor"/>
          <w:rtl w:val="true"/>
        </w:rPr>
        <w:footnoteReference w:id="1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مائتي درهم</w:t>
      </w:r>
      <w:r>
        <w:rPr>
          <w:rStyle w:val="FootnoteAnchor"/>
          <w:rtl w:val="true"/>
        </w:rPr>
        <w:footnoteReference w:id="1929"/>
      </w:r>
      <w:r>
        <w:rPr>
          <w:rFonts w:ascii="Amiri" w:hAnsi="Amiri" w:eastAsia="Amiri" w:cs="Amiri"/>
          <w:color w:val="111111"/>
          <w:sz w:val="28"/>
          <w:sz w:val="28"/>
          <w:szCs w:val="28"/>
          <w:rtl w:val="true"/>
          <w:lang w:bidi="ar-SA"/>
        </w:rPr>
        <w:t>، و أكثرهم على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مال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يلزمه ثمانون</w:t>
      </w:r>
      <w:r>
        <w:rPr>
          <w:rStyle w:val="FootnoteAnchor"/>
          <w:rtl w:val="true"/>
        </w:rPr>
        <w:footnoteReference w:id="1930"/>
      </w:r>
      <w:r>
        <w:rPr>
          <w:rFonts w:ascii="Amiri" w:hAnsi="Amiri" w:eastAsia="Amiri" w:cs="Amiri"/>
          <w:color w:val="111111"/>
          <w:sz w:val="28"/>
          <w:sz w:val="28"/>
          <w:szCs w:val="28"/>
          <w:rtl w:val="true"/>
          <w:lang w:bidi="ar-SA"/>
        </w:rPr>
        <w:t>، بناءً على الرواية التي تضمّنت أنّ من نذر الصدقة بمال كثير يلزمه الصدقة بثمانين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عليه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فِى مَوَاطِنَ كَثِيرَةٍ</w:t>
      </w:r>
      <w:r>
        <w:rPr>
          <w:rFonts w:eastAsia="Amiri" w:cs="Amiri" w:ascii="Amiri" w:hAnsi="Amiri"/>
          <w:color w:val="111111"/>
          <w:sz w:val="28"/>
          <w:szCs w:val="28"/>
          <w:rtl w:val="true"/>
          <w:lang w:bidi="ar-SA"/>
        </w:rPr>
        <w:t>»</w:t>
      </w:r>
      <w:r>
        <w:rPr>
          <w:rStyle w:val="FootnoteAnchor"/>
          <w:rtl w:val="true"/>
        </w:rPr>
        <w:footnoteReference w:id="1931"/>
      </w:r>
      <w:r>
        <w:rPr>
          <w:rFonts w:ascii="Amiri" w:hAnsi="Amiri" w:eastAsia="Amiri" w:cs="Amiri"/>
          <w:color w:val="111111"/>
          <w:sz w:val="28"/>
          <w:sz w:val="28"/>
          <w:szCs w:val="28"/>
          <w:rtl w:val="true"/>
          <w:lang w:bidi="ar-SA"/>
        </w:rPr>
        <w:t>، فإنّها عدّت فوجدت ثمانين موطناً</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الوصيّة و إلى الإقرار،</w:t>
      </w:r>
      <w:r>
        <w:rPr>
          <w:rStyle w:val="FootnoteAnchor"/>
          <w:rtl w:val="true"/>
        </w:rPr>
        <w:footnoteReference w:id="1933"/>
      </w:r>
      <w:r>
        <w:rPr>
          <w:rFonts w:ascii="Amiri" w:hAnsi="Amiri" w:eastAsia="Amiri" w:cs="Amiri"/>
          <w:color w:val="111111"/>
          <w:sz w:val="28"/>
          <w:sz w:val="28"/>
          <w:szCs w:val="28"/>
          <w:rtl w:val="true"/>
          <w:lang w:bidi="ar-SA"/>
        </w:rPr>
        <w:t>، نظراً إلى أنّ ذلك تقدير شرعي للكثير، و هو ضعيف؛ لأنّ ذلك على خلاف الأصل فيقتصر فيه على تقدير التزامه على مورده، مع أنّ الرواية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المواطن التي نصر فيها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لايدلّ على انحصار الكثير فيها؛ لأنّ ذلك ليس بحدّ للكثير أو لأقلّه، بل فيه وصف ذلك بالكثرة، وهو لايمنع من وقوع اسمها على ما دون ذلك العدد، و قد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w:t>
      </w:r>
      <w:r>
        <w:rPr>
          <w:rFonts w:eastAsia="Amiri" w:cs="Amiri" w:ascii="Amiri" w:hAnsi="Amiri"/>
          <w:color w:val="111111"/>
          <w:sz w:val="28"/>
          <w:szCs w:val="28"/>
          <w:rtl w:val="true"/>
          <w:lang w:bidi="ar-SA"/>
        </w:rPr>
        <w:t>»</w:t>
      </w:r>
      <w:r>
        <w:rPr>
          <w:rStyle w:val="FootnoteAnchor"/>
          <w:rtl w:val="true"/>
        </w:rPr>
        <w:footnoteReference w:id="1934"/>
      </w:r>
      <w:r>
        <w:rPr>
          <w:rFonts w:ascii="Amiri" w:hAnsi="Amiri" w:eastAsia="Amiri" w:cs="Amiri"/>
          <w:color w:val="111111"/>
          <w:sz w:val="28"/>
          <w:sz w:val="28"/>
          <w:szCs w:val="28"/>
          <w:rtl w:val="true"/>
          <w:lang w:bidi="ar-SA"/>
        </w:rPr>
        <w:t>و ليس المراد منها ما ذكره، و كذا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1935"/>
      </w:r>
      <w:r>
        <w:rPr>
          <w:rFonts w:ascii="Amiri" w:hAnsi="Amiri" w:eastAsia="Amiri" w:cs="Amiri"/>
          <w:color w:val="111111"/>
          <w:sz w:val="28"/>
          <w:sz w:val="28"/>
          <w:szCs w:val="28"/>
          <w:rtl w:val="true"/>
          <w:lang w:bidi="ar-SA"/>
        </w:rPr>
        <w:t>و أمثاله في القرآن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أغرب ابن الجنيد حيث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إفادة العدد المذكور</w:t>
      </w:r>
      <w:r>
        <w:rPr>
          <w:rFonts w:eastAsia="Amiri" w:cs="Amiri" w:ascii="Amiri" w:hAnsi="Amiri"/>
          <w:color w:val="111111"/>
          <w:sz w:val="28"/>
          <w:szCs w:val="28"/>
          <w:rtl w:val="true"/>
          <w:lang w:bidi="ar-SA"/>
        </w:rPr>
        <w:t>.</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بعض العامّة وافق على انحصار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دلّت عليه الآية، لكنّه جعل العدد اثنين و سبعين؛ مدّعياً أنّ غزواته و سراياه كانت كذلك</w:t>
      </w:r>
      <w:r>
        <w:rPr>
          <w:rStyle w:val="FootnoteAnchor"/>
          <w:rtl w:val="true"/>
        </w:rPr>
        <w:footnoteReference w:id="1937"/>
      </w:r>
      <w:r>
        <w:rPr>
          <w:rFonts w:ascii="Amiri" w:hAnsi="Amiri" w:eastAsia="Amiri" w:cs="Amiri"/>
          <w:color w:val="111111"/>
          <w:sz w:val="28"/>
          <w:sz w:val="28"/>
          <w:szCs w:val="28"/>
          <w:rtl w:val="true"/>
          <w:lang w:bidi="ar-SA"/>
        </w:rPr>
        <w:t>، و أكثر السير على خلاف الأمرين</w:t>
      </w:r>
      <w:r>
        <w:rPr>
          <w:rStyle w:val="FootnoteAnchor"/>
          <w:rtl w:val="true"/>
        </w:rPr>
        <w:footnoteReference w:id="1938"/>
      </w:r>
      <w:r>
        <w:rPr>
          <w:rFonts w:ascii="Amiri" w:hAnsi="Amiri" w:eastAsia="Amiri" w:cs="Amiri"/>
          <w:color w:val="111111"/>
          <w:sz w:val="28"/>
          <w:sz w:val="28"/>
          <w:szCs w:val="28"/>
          <w:rtl w:val="true"/>
          <w:lang w:bidi="ar-SA"/>
        </w:rPr>
        <w:t>، و الأشهر منها أنّ غزواته كانت بضعاً و عشرين و سراياه ستّين، و في كثير منها لم يحصل قتال و لايوصف بالنصرة، و بعضها يكون فيها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علىّ مال عظيم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مال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البراءة من الزائد عمّا يفسّره، و احتمال تأويل المبالغة بما أوّل به أصل الوصف بالعظمة ، فإنّ العظيم يختلف في الاعتبار، فجاز المبالغة في تعظيم ما عظّمه الله و رتّب عليه ما ذكر من الأحكام</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ذلك ممّا ذكر، و من اقتضاء ذلك المبالغة في الكثرة، و هو يقتضي زيادتها عمّا دلّ عليه اللفظ الخالي عنها، فلايقبل تفسيرهما بأمر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الأوّل، بل لم يذكر غيره فيه إشكالاً و لا احتمالاً</w:t>
      </w:r>
      <w:r>
        <w:rPr>
          <w:rStyle w:val="FootnoteAnchor"/>
          <w:rtl w:val="true"/>
        </w:rPr>
        <w:footnoteReference w:id="19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لفلان أُلزم بقدره و زيادة، و يرجع في تلك الزيادة إلى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أظنّ ماله عشرة، قُبل ما بنى عليه إقراره، و لو ثبت أنّ مال فلان يزيد عن ذلك؛ لأنّ الإنسان يخبر عن وهمه، و المال قد يخفى على غير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لفلان، ألزم بقدره و زيادة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العبارة يدلّ على أنّ الأكثريّة محمولة على أكثريّة المقدار، و لايحمل على أكثريّة</w:t>
      </w:r>
    </w:p>
    <w:p>
      <w:pPr>
        <w:pStyle w:val="BookText"/>
        <w:rPr/>
      </w:pPr>
      <w:r>
        <w:rPr>
          <w:rFonts w:ascii="Amiri" w:hAnsi="Amiri" w:eastAsia="Amiri" w:cs="Amiri"/>
          <w:color w:val="111111"/>
          <w:sz w:val="28"/>
          <w:sz w:val="28"/>
          <w:szCs w:val="28"/>
          <w:rtl w:val="true"/>
          <w:lang w:bidi="ar-SA"/>
        </w:rPr>
        <w:t>الاعتبار كما اعتبر في المسائل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أنّ الظاهر المتبادر هو الكثرة العدديّة، فيكون حقيقةً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قطع جماعة من</w:t>
      </w:r>
    </w:p>
    <w:p>
      <w:pPr>
        <w:pStyle w:val="BookText"/>
        <w:rPr/>
      </w:pPr>
      <w:r>
        <w:rPr>
          <w:rFonts w:ascii="IRNazanin" w:hAnsi="IRNazanin" w:eastAsia="IRNazanin"/>
          <w:color w:val="111111"/>
          <w:sz w:val="28"/>
          <w:sz w:val="28"/>
          <w:szCs w:val="28"/>
          <w:rtl w:val="true"/>
          <w:lang w:bidi="fa-IR"/>
        </w:rPr>
        <w:t>الأصحاب</w:t>
      </w:r>
      <w:r>
        <w:rPr>
          <w:rStyle w:val="FootnoteAnchor"/>
          <w:rtl w:val="true"/>
        </w:rPr>
        <w:footnoteReference w:id="1940"/>
      </w:r>
      <w:r>
        <w:rPr>
          <w:rFonts w:ascii="Amiri" w:hAnsi="Amiri" w:eastAsia="Amiri" w:cs="Amiri"/>
          <w:color w:val="111111"/>
          <w:sz w:val="28"/>
          <w:sz w:val="28"/>
          <w:szCs w:val="28"/>
          <w:rtl w:val="true"/>
          <w:lang w:bidi="ar-SA"/>
        </w:rPr>
        <w:t xml:space="preserve">منهم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 كلام العلّامة، ففي التحرير</w:t>
      </w:r>
      <w:r>
        <w:rPr>
          <w:rStyle w:val="FootnoteAnchor"/>
          <w:rtl w:val="true"/>
        </w:rPr>
        <w:footnoteReference w:id="1942"/>
      </w:r>
      <w:r>
        <w:rPr>
          <w:rFonts w:ascii="Amiri" w:hAnsi="Amiri" w:eastAsia="Amiri" w:cs="Amiri"/>
          <w:color w:val="111111"/>
          <w:sz w:val="28"/>
          <w:sz w:val="28"/>
          <w:szCs w:val="28"/>
          <w:rtl w:val="true"/>
          <w:lang w:bidi="ar-SA"/>
        </w:rPr>
        <w:t>و الإرشاد حمل الإطلاق على كثرة المقدار كما ذكره المصنّف ولكن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ادّعى عدم إرادة الكثرة في المقدار، بل إنّ الدين أكثر بقاءً من العين، و الحلال أكثر</w:t>
      </w:r>
    </w:p>
    <w:p>
      <w:pPr>
        <w:pStyle w:val="BookText"/>
        <w:rPr/>
      </w:pPr>
      <w:r>
        <w:rPr>
          <w:rFonts w:ascii="Amiri" w:hAnsi="Amiri" w:eastAsia="Amiri" w:cs="Amiri"/>
          <w:color w:val="111111"/>
          <w:sz w:val="28"/>
          <w:sz w:val="28"/>
          <w:szCs w:val="28"/>
          <w:rtl w:val="true"/>
          <w:lang w:bidi="ar-SA"/>
        </w:rPr>
        <w:t>بقاءً من الحرام قبل، و له حينئذٍ التفسير بأقلّ ما يتموّل</w:t>
      </w:r>
      <w:r>
        <w:rPr>
          <w:rFonts w:eastAsia="Amiri" w:cs="Amiri" w:ascii="Amiri" w:hAnsi="Amiri"/>
          <w:color w:val="111111"/>
          <w:sz w:val="28"/>
          <w:szCs w:val="28"/>
          <w:rtl w:val="true"/>
          <w:lang w:bidi="ar-SA"/>
        </w:rPr>
        <w:t>»</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القواعد اقتصر على أنّه لو فسّره بأكثر عدداً أو قدراً أُلزم بمثله 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تردّد في</w:t>
      </w:r>
    </w:p>
    <w:p>
      <w:pPr>
        <w:pStyle w:val="BookText"/>
        <w:rPr/>
      </w:pPr>
      <w:r>
        <w:rPr>
          <w:rFonts w:ascii="Amiri" w:hAnsi="Amiri" w:eastAsia="Amiri" w:cs="Amiri"/>
          <w:color w:val="111111"/>
          <w:sz w:val="28"/>
          <w:sz w:val="28"/>
          <w:szCs w:val="28"/>
          <w:rtl w:val="true"/>
          <w:lang w:bidi="ar-SA"/>
        </w:rPr>
        <w:t>قبول قوله لو فسّره بالبقاء أو المنفعة أو البركة</w:t>
      </w:r>
      <w:r>
        <w:rPr>
          <w:rStyle w:val="FootnoteAnchor"/>
          <w:rtl w:val="true"/>
        </w:rPr>
        <w:footnoteReference w:id="1944"/>
      </w:r>
      <w:r>
        <w:rPr>
          <w:rFonts w:ascii="Amiri" w:hAnsi="Amiri" w:eastAsia="Amiri" w:cs="Amiri"/>
          <w:color w:val="111111"/>
          <w:sz w:val="28"/>
          <w:sz w:val="28"/>
          <w:szCs w:val="28"/>
          <w:rtl w:val="true"/>
          <w:lang w:bidi="ar-SA"/>
        </w:rPr>
        <w:t>، و لم يذكر حالة الإطلاق</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التذكرة قطع بأنّه مع الإطلاق يقبل تفسيره بأقلّ متموّل و إن كثر مال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يحتمل أن يريد به أنّه دين لايتطرّق إليه الهلاك، و ذلك عين معرض للهلاك؛ أو يريد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مال زيد عليّ حلال و مال فلان عليّ حرام، و القليل من الحلال أكثر بركةً من الكثير</w:t>
      </w:r>
    </w:p>
    <w:p>
      <w:pPr>
        <w:pStyle w:val="BookText"/>
        <w:rPr/>
      </w:pPr>
      <w:r>
        <w:rPr>
          <w:rFonts w:ascii="IRNazanin" w:hAnsi="IRNazanin" w:eastAsia="IRNazanin"/>
          <w:color w:val="111111"/>
          <w:sz w:val="28"/>
          <w:sz w:val="28"/>
          <w:szCs w:val="28"/>
          <w:rtl w:val="true"/>
          <w:lang w:bidi="fa-IR"/>
        </w:rPr>
        <w:t>من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كما أنّ القدر مبهم في هذا فكذلك الجنس و النوع مبهمان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أكثر من مال فلان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فالإبهام في الجنس و النوع 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الذهب أكثر ممّا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فالإبهام في القدر و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صحاح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فالإبهام في القدروحده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علىّ أكثر من مال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 بأكثر منه عدداً و قدراً لزمه أكثر منه، و يرجع إليه في تفسير الزيادة و لو حبّةً أو أقلّ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القول هو الموافق للحكم المتّفق عليه في المسائل السابقة، فإنّ الكثرة و نظائرها إذا لم تحمل عند الإطلاق على كثرة المقدار، و اكتفي في نفي الزيادة باحتمال إرادة كثرة الأخطار، فكذلك 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أنّ كثرة المقدار هي المتبادر من اللفظ مشتركةً بين الموضعين، و لا أقلّ من قبول تفسيره بما شاء من ذلك، لا كما أطلقه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تقرّر ذلك، فعلى تقدير حمله على مثله في المقدار و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الإطلاق أو تفسيره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الزيادة مسمّاها وإن لم تكن متموّلةً، كما يدلّ عليه إطلاق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Style w:val="FootnoteAnchor"/>
          <w:rtl w:val="true"/>
        </w:rPr>
        <w:footnoteReference w:id="1945"/>
      </w:r>
      <w:r>
        <w:rPr>
          <w:rFonts w:ascii="Amiri" w:hAnsi="Amiri" w:eastAsia="Amiri" w:cs="Amiri"/>
          <w:color w:val="111111"/>
          <w:sz w:val="28"/>
          <w:sz w:val="28"/>
          <w:szCs w:val="28"/>
          <w:rtl w:val="true"/>
          <w:lang w:bidi="ar-SA"/>
        </w:rPr>
        <w:t>، و صرّح به في التذكرة ، حيث اكتفى بحبّة أو أقلّ</w:t>
      </w:r>
      <w:r>
        <w:rPr>
          <w:rStyle w:val="FootnoteAnchor"/>
          <w:rtl w:val="true"/>
        </w:rPr>
        <w:footnoteReference w:id="1946"/>
      </w:r>
      <w:r>
        <w:rPr>
          <w:rFonts w:ascii="Amiri" w:hAnsi="Amiri" w:eastAsia="Amiri" w:cs="Amiri"/>
          <w:color w:val="111111"/>
          <w:sz w:val="28"/>
          <w:sz w:val="28"/>
          <w:szCs w:val="28"/>
          <w:rtl w:val="true"/>
          <w:lang w:bidi="ar-SA"/>
        </w:rPr>
        <w:t>لتحقّق الأكثريّة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اكتفينا بأقلّ من ذلك اعتبر فيه التموّل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حينئذٍ يكون مجموع المقرّ به و لايكون إلّا متموّلاً كما قد علم من تفسير المال وغيره، بخلاف الزيادة المنضمّة إلى مثل مال فلان، فإنّ المقرّ به هو المجموع من الزيادة و المثل، فلايعتبر التموّل في نفس الزيادة؛ لأنّها بعض أجزاء المقرّ به، و لايعتبر في أجزاء المقرّ به مطلقاً التموّل، ضرورة أنّ أجزاءه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غصبتك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نفسك،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تنتهي إلى مقدار لايتموّل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بعضهم التموّل في الزيادة منفردةً</w:t>
      </w:r>
      <w:r>
        <w:rPr>
          <w:rStyle w:val="FootnoteAnchor"/>
          <w:rtl w:val="true"/>
        </w:rPr>
        <w:footnoteReference w:id="1947"/>
      </w:r>
      <w:r>
        <w:rPr>
          <w:rFonts w:ascii="Amiri" w:hAnsi="Amiri" w:eastAsia="Amiri" w:cs="Amiri"/>
          <w:color w:val="111111"/>
          <w:sz w:val="28"/>
          <w:sz w:val="28"/>
          <w:szCs w:val="28"/>
          <w:rtl w:val="true"/>
          <w:lang w:bidi="ar-SA"/>
        </w:rPr>
        <w:t>نظراً إلى عدم تحقّق الماليّة فيها بدون التموّل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واضح ممّا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القول بلزوم مثل ماله و زيادة لو ادّعى المقرّ أنّه بنى على ما ظهر له من ماله و أنّه حسبه مقداراً مخصوصاً قُبل قوله مع يمينه إن نازعه المقرّ له في ذلك؛ لأنّ المال ممّا يخفى، و لزمه مقدار ما ادّعى إرادته و زيادةً يرجع إليه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قبول قوله في ذلك بين أن تقوم البيّنة بمقدار ماله و عدمه؛ لاشتراك الجميع في المقتضي، و هو كون المال ممّا يخفى غالباً عن غير صاحبه، منضمّاً إلى أصالة براءة ذمّته</w:t>
      </w:r>
    </w:p>
    <w:p>
      <w:pPr>
        <w:pStyle w:val="BookText"/>
        <w:rPr/>
      </w:pPr>
      <w:r>
        <w:rPr>
          <w:rFonts w:ascii="Amiri" w:hAnsi="Amiri" w:eastAsia="Amiri" w:cs="Amiri"/>
          <w:color w:val="111111"/>
          <w:sz w:val="28"/>
          <w:sz w:val="28"/>
          <w:szCs w:val="28"/>
          <w:rtl w:val="true"/>
          <w:lang w:bidi="ar-SA"/>
        </w:rPr>
        <w:t>ممّا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أيضاً بين قوله قبل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مال فلان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يعلم مقدار ماله و عدمه؛ لأنّ علمه مستند إلى ما يظهر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كذبه في دعواه، بأن كان لفلان مال ظاهر له أزيد ممّا ادّعاء فلا إشكال في عدم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غصبتك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نفسك،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القبول ما هو المشهور من تعريف الغصب أنّه الاستيلاء على مال الغير عدواناً، و نفس الحرّ ليست مالاً؛ و لأنّ المتبادر من اللفظ كون المغصوب غير المغصوب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أيضاً بأنه جعل للغصب 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مغايرته للأوّل</w:t>
      </w:r>
      <w:r>
        <w:rPr>
          <w:rStyle w:val="FootnoteAnchor"/>
          <w:rtl w:val="true"/>
        </w:rPr>
        <w:footnoteReference w:id="1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 بأنّه يجوز أن يكون شيئاً بدلاً من الضمير</w:t>
      </w:r>
      <w:r>
        <w:rPr>
          <w:rStyle w:val="FootnoteAnchor"/>
          <w:rtl w:val="true"/>
        </w:rPr>
        <w:footnoteReference w:id="1949"/>
      </w:r>
      <w:r>
        <w:rPr>
          <w:rFonts w:ascii="IRNazanin" w:hAnsi="IRNazanin" w:eastAsia="IRNazanin"/>
          <w:color w:val="111111"/>
          <w:sz w:val="28"/>
          <w:sz w:val="28"/>
          <w:szCs w:val="28"/>
          <w:rtl w:val="true"/>
          <w:lang w:bidi="fa-IR"/>
        </w:rPr>
        <w:t>، و الفعل متعدّ إلى مفعول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المفعول الأوّل إذا كان حرّاً لزم إثبات مفعول آخر ليتعلّق به الغصب حقيقةً؛لما ذكر في تعريفه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أُجيب أيضاً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فلا يكون بدلاً من الضمير المعرفة إلّا مع كون النكرة </w:t>
      </w:r>
    </w:p>
    <w:p>
      <w:pPr>
        <w:pStyle w:val="BookText"/>
        <w:rPr/>
      </w:pPr>
      <w:r>
        <w:rPr>
          <w:rFonts w:ascii="Amiri" w:hAnsi="Amiri" w:eastAsia="Amiri" w:cs="Amiri"/>
          <w:color w:val="111111"/>
          <w:sz w:val="28"/>
          <w:sz w:val="28"/>
          <w:szCs w:val="28"/>
          <w:rtl w:val="true"/>
          <w:lang w:bidi="ar-SA"/>
        </w:rPr>
        <w:t>الثالثة • الجمع المنكّر يُحمل على الثلاثة،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منعوتة</w:t>
      </w:r>
      <w:r>
        <w:rPr>
          <w:rStyle w:val="FootnoteAnchor"/>
          <w:rtl w:val="true"/>
        </w:rPr>
        <w:footnoteReference w:id="1950"/>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نَاصِيَةٍ كَاذِبَةٍ</w:t>
      </w:r>
      <w:r>
        <w:rPr>
          <w:rFonts w:eastAsia="Amiri" w:cs="Amiri" w:ascii="Amiri" w:hAnsi="Amiri"/>
          <w:color w:val="111111"/>
          <w:sz w:val="28"/>
          <w:szCs w:val="28"/>
          <w:rtl w:val="true"/>
          <w:lang w:bidi="ar-SA"/>
        </w:rPr>
        <w:t>»</w:t>
      </w:r>
      <w:r>
        <w:rPr>
          <w:rStyle w:val="FootnoteAnchor"/>
          <w:rtl w:val="true"/>
        </w:rPr>
        <w:footnoteReference w:id="1951"/>
      </w:r>
    </w:p>
    <w:p>
      <w:pPr>
        <w:pStyle w:val="BookText"/>
        <w:rPr/>
      </w:pPr>
      <w:r>
        <w:rPr>
          <w:rFonts w:ascii="Amiri" w:hAnsi="Amiri" w:eastAsia="Amiri" w:cs="Amiri"/>
          <w:color w:val="111111"/>
          <w:sz w:val="28"/>
          <w:sz w:val="28"/>
          <w:szCs w:val="28"/>
          <w:rtl w:val="true"/>
          <w:lang w:bidi="ar-SA"/>
        </w:rPr>
        <w:t>و هذا الجواب ليس بصحيح، بل الحقّ جواز إبدال النكرة من المعرفة و بالعكس مطلقاً، نصّ عليه المحقّقون من النحاة كالزمخشري</w:t>
      </w:r>
      <w:r>
        <w:rPr>
          <w:rStyle w:val="FootnoteAnchor"/>
          <w:rtl w:val="true"/>
        </w:rPr>
        <w:footnoteReference w:id="1952"/>
      </w:r>
      <w:r>
        <w:rPr>
          <w:rFonts w:ascii="IRNazanin" w:hAnsi="IRNazanin" w:eastAsia="IRNazanin"/>
          <w:color w:val="111111"/>
          <w:sz w:val="28"/>
          <w:sz w:val="28"/>
          <w:szCs w:val="28"/>
          <w:rtl w:val="true"/>
          <w:lang w:bidi="fa-IR"/>
        </w:rPr>
        <w:t>و ابن هشام</w:t>
      </w:r>
      <w:r>
        <w:rPr>
          <w:rStyle w:val="FootnoteAnchor"/>
          <w:rtl w:val="true"/>
        </w:rPr>
        <w:footnoteReference w:id="1953"/>
      </w:r>
      <w:r>
        <w:rPr>
          <w:rFonts w:ascii="Amiri" w:hAnsi="Amiri" w:eastAsia="Amiri" w:cs="Amiri"/>
          <w:color w:val="111111"/>
          <w:sz w:val="28"/>
          <w:sz w:val="28"/>
          <w:szCs w:val="28"/>
          <w:rtl w:val="true"/>
          <w:lang w:bidi="ar-SA"/>
        </w:rPr>
        <w:t>و غيرهما و جعلوا منه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الشَّهْرِ الْحَرَامِ قِتَالٍ فِيهِ</w:t>
      </w:r>
      <w:r>
        <w:rPr>
          <w:rFonts w:eastAsia="Amiri" w:cs="Amiri" w:ascii="Amiri" w:hAnsi="Amiri"/>
          <w:color w:val="111111"/>
          <w:sz w:val="28"/>
          <w:szCs w:val="28"/>
          <w:rtl w:val="true"/>
          <w:lang w:bidi="ar-SA"/>
        </w:rPr>
        <w:t>»</w:t>
      </w:r>
      <w:r>
        <w:rPr>
          <w:rStyle w:val="FootnoteAnchor"/>
          <w:rtl w:val="true"/>
        </w:rPr>
        <w:footnoteReference w:id="195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1955"/>
      </w:r>
      <w:r>
        <w:rPr>
          <w:rFonts w:ascii="IRNazanin" w:hAnsi="IRNazanin" w:eastAsia="IRNazanin"/>
          <w:color w:val="111111"/>
          <w:sz w:val="28"/>
          <w:sz w:val="28"/>
          <w:szCs w:val="28"/>
          <w:rtl w:val="true"/>
          <w:lang w:bidi="fa-IR"/>
        </w:rPr>
        <w:t>و غير ذلك من الآيات القرآنیّة</w:t>
      </w:r>
      <w:r>
        <w:rPr>
          <w:rStyle w:val="FootnoteAnchor"/>
          <w:rtl w:val="true"/>
        </w:rPr>
        <w:footnoteReference w:id="1956"/>
      </w:r>
      <w:r>
        <w:rPr>
          <w:rFonts w:ascii="Amiri" w:hAnsi="Amiri" w:eastAsia="Amiri" w:cs="Amiri"/>
          <w:color w:val="111111"/>
          <w:sz w:val="28"/>
          <w:sz w:val="28"/>
          <w:szCs w:val="28"/>
          <w:rtl w:val="true"/>
          <w:lang w:bidi="ar-SA"/>
        </w:rPr>
        <w:t>و الشواهد اللغويّة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يتفرّع على التعليلين ما لو كان المقرّ له عبداً، فعلى الأوّل یصحّ التفسير؛ لأنّه مال، لا على الثاني؛ لاقتضاء مفعولي الفعل المغايرة، و هذا هو الذي اختاره الشهيد في الدروس</w:t>
      </w:r>
      <w:r>
        <w:rPr>
          <w:rFonts w:eastAsia="IRNazanin" w:cs="IRNazanin"/>
          <w:color w:val="111111"/>
          <w:sz w:val="28"/>
          <w:szCs w:val="28"/>
          <w:rtl w:val="true"/>
          <w:lang w:bidi="fa-IR"/>
        </w:rPr>
        <w:t>.</w:t>
      </w:r>
      <w:r>
        <w:rPr>
          <w:rStyle w:val="FootnoteAnchor"/>
          <w:rtl w:val="true"/>
        </w:rPr>
        <w:footnoteReference w:id="1957"/>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 المنكّر يُحمل على الثلاثة،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دراهم أو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 بالمنكّر عما لو كان الجمع معرّفاً، فإنّه يفيد العموم كما حقّق في الأُصول</w:t>
      </w:r>
      <w:r>
        <w:rPr>
          <w:rStyle w:val="FootnoteAnchor"/>
          <w:rtl w:val="true"/>
        </w:rPr>
        <w:footnoteReference w:id="1958"/>
      </w:r>
      <w:r>
        <w:rPr>
          <w:rFonts w:ascii="Amiri" w:hAnsi="Amiri" w:eastAsia="Amiri" w:cs="Amiri"/>
          <w:color w:val="111111"/>
          <w:sz w:val="28"/>
          <w:sz w:val="28"/>
          <w:szCs w:val="28"/>
          <w:rtl w:val="true"/>
          <w:lang w:bidi="ar-SA"/>
        </w:rPr>
        <w:t>، فربما لايحمل على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 العموم هنا غير مراد و ليس له حدّ يوقف عليه، فلا فرق في الحمل على الثلاثة بين المعرّف و المنكّر، كما لايفرّق فيه بين جمع القلّة و الكثرة، و الفرق بينهما اصطلاح</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خاصّ لايجري في المحاورات العرفيّة</w:t>
      </w:r>
      <w:r>
        <w:rPr>
          <w:rFonts w:eastAsia="Amiri" w:cs="Amiri" w:ascii="Amiri" w:hAnsi="Amiri"/>
          <w:color w:val="111111"/>
          <w:sz w:val="28"/>
          <w:szCs w:val="28"/>
          <w:rtl w:val="true"/>
          <w:lang w:bidi="ar-SA"/>
        </w:rPr>
        <w:t xml:space="preserve">. </w:t>
      </w:r>
      <w:bookmarkStart w:id="604" w:name="pg10270_80599"/>
    </w:p>
    <w:p>
      <w:pPr>
        <w:pStyle w:val="Heading5"/>
        <w:numPr>
          <w:ilvl w:val="4"/>
          <w:numId w:val="1"/>
        </w:numPr>
        <w:rPr/>
      </w:pPr>
      <w:bookmarkStart w:id="605" w:name="__RefHeading___Toc3860412_1067777946"/>
      <w:bookmarkStart w:id="606" w:name="_Toc220"/>
      <w:bookmarkEnd w:id="604"/>
      <w:bookmarkEnd w:id="605"/>
      <w:r>
        <w:rPr>
          <w:rtl w:val="true"/>
        </w:rPr>
        <w:t>إذا أقرّ بأعداد مختلفة و أتی فیما بمميّز</w:t>
      </w:r>
      <w:bookmarkEnd w:id="6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ثلاثة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اقتصر كان بيان الجنس إليه إذا فسّر بما یصحّ تملّكه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ألف 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الدرهم، و يرجع في تفسير الألف إليه، 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و درهمان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و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 خمسون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الجميع دراهم، بخلاف مائة 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و 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و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و ثلاثة و ثلاثون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الجمع على الثلاثة هو أصحّ القولين للأُصوليين</w:t>
      </w:r>
      <w:r>
        <w:rPr>
          <w:rStyle w:val="FootnoteAnchor"/>
          <w:rtl w:val="true"/>
        </w:rPr>
        <w:footnoteReference w:id="1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اثنان،</w:t>
      </w:r>
      <w:r>
        <w:rPr>
          <w:rStyle w:val="FootnoteAnchor"/>
          <w:rtl w:val="true"/>
        </w:rPr>
        <w:footnoteReference w:id="1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فيحمل الإقرار بالجمع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استقرب في الدروس قبول دعواه لو أخبر بأنّه من القائلين بذلك، أو أنّه أوّل الجمع بمعنى الاجتماع</w:t>
      </w:r>
      <w:r>
        <w:rPr>
          <w:rStyle w:val="FootnoteAnchor"/>
          <w:rtl w:val="true"/>
        </w:rPr>
        <w:footnoteReference w:id="1961"/>
      </w:r>
      <w:r>
        <w:rPr>
          <w:rFonts w:ascii="Amiri" w:hAnsi="Amiri" w:eastAsia="Amiri" w:cs="Amiri"/>
          <w:color w:val="111111"/>
          <w:sz w:val="28"/>
          <w:sz w:val="28"/>
          <w:szCs w:val="28"/>
          <w:rtl w:val="true"/>
          <w:lang w:bidi="ar-SA"/>
        </w:rPr>
        <w:t>، و هو يتمّ في الأوّل إن كان له أهليّة القول بمثل ذلك بطريق النظر و الاجتهاد، أو أخبر أنّه قلّد فيه مجتهداً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فهو مجاز في معناه فلايقبل منه إرادته حملاً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اتّصل تفسيره بإقراره اتّجه القبول مطلقاً؛ لأنّه حينئذٍ يصير كالجملة الواحدة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ثلاثة آلاف، و اقتصر كان بيان الجنس إليه إذا فسّر بما یصحّ تملّكه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بالعدد مجرّداً عن التمييز يشتمل على إبهام الجنس و الوصف، فيرجع إليه في تعيينهما، و يُقبل تفسيره بما يتموّل مع صدق اسم العدد عليه عرفاً، فلو فسّره بثلاثة آلاف حبّة من الدخن و نحوها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فسّره بقطعة واحدة تقبل التجزئة إلى ثلاثة آلاف جزء لم يُقبل، و إن كان ذلك أكثر من المجتمع من العدد المنفصل؛ لأنّ المتبادر من ذلك الكمّ المنفصل لا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ألف و درهم ، ثبت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أقرّ بأعداد مختلفة و أتى فيها بمميّز واحد، فإن كانت الأعداد بمنزلة واحد كالمركّب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فالتمييز للجميع،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خمسة عشر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متعاطفة، فإن كان التمييز متوسّطاً بينها لم يرجع إلى ما بعده قطعاً، بل هو على إبهامه،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مائة درهم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تأخّر عنها فالأصل يقتضي اختصاصه بما قبله متّصلاً به خاصّةً؛ لأنّ العطف اقتضى انقطاع أحد العددين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يساعد العرف على ذلك أيضاً،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ألف 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و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إخراج المثال الأوّل من هذا القبيل؛ لأنّ الدرهم لم يقع مميّزاً، و إنّما هو من جنس مستقلّ معطوف على مبهم الجنس فلا يقتضي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يخالفه العرف ويدلّ على عوده إلى الجميع، 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مائة و خمسة و عشرون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و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و 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و ثلاثة و ثلاثون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فإنّ الكلّ في العرف دراهم، حتّى لو أراد أحد تمييز كلّ عدد منها عد مطوّلاً مهذراً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عمل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في المختلف إلى أنّه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ألف وثلاثة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 خمسون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إليه في تفسير الألف و المائة؛ محتجّاً بأن الدراهم و الدرهم ليس تمييزاً للألف و لا للمائة، و كما يحتمل أن يكون تمييزاً للمجموع يحتمل أن يكون تمييزاً للأخير، فلايثبت في الذمّة شيء بمجرّد الاحتمال</w:t>
      </w:r>
      <w:r>
        <w:rPr>
          <w:rStyle w:val="FootnoteAnchor"/>
          <w:rtl w:val="true"/>
        </w:rPr>
        <w:footnoteReference w:id="1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التعليل يقتضي التعدّي إلى ما يوافقه من الأمثلة و إن كان قد اقتصر على المثالين</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 بعضهم بأنّه يعود إلى الذي يليه خاصّةً مطلقاً</w:t>
      </w:r>
      <w:r>
        <w:rPr>
          <w:rStyle w:val="FootnoteAnchor"/>
          <w:rtl w:val="true"/>
        </w:rPr>
        <w:footnoteReference w:id="1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عذره واضح من حيث اللغة؛ خصوصاً إذا كان التمييز غير مطابق لجميع الأعداد،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و عشرون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مميّز المائة مجرور مفرد و مميز العشرين منصوب، فلايصلح لهما؛ و لأنّ الاستثناء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 إنّما يعود إلى الأخيرة؛ و لأصالة براءة الذمّة من الزائد على ما يفسّره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العرف مستقرّ، و الاستعمال واقع بالمشهور، و به جاء القرآن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لَهُ تِسْعٌ وَتِسْعُونَ نَعْجَةً</w:t>
      </w:r>
      <w:r>
        <w:rPr>
          <w:rFonts w:eastAsia="Amiri" w:cs="Amiri" w:ascii="Amiri" w:hAnsi="Amiri"/>
          <w:color w:val="111111"/>
          <w:sz w:val="28"/>
          <w:szCs w:val="28"/>
          <w:rtl w:val="true"/>
          <w:lang w:bidi="ar-SA"/>
        </w:rPr>
        <w:t>»</w:t>
      </w:r>
      <w:r>
        <w:rPr>
          <w:rStyle w:val="FootnoteAnchor"/>
          <w:rtl w:val="true"/>
        </w:rPr>
        <w:footnoteReference w:id="1964"/>
      </w:r>
    </w:p>
    <w:p>
      <w:pPr>
        <w:pStyle w:val="BookText"/>
        <w:rPr/>
      </w:pPr>
      <w:r>
        <w:rPr>
          <w:rFonts w:ascii="IRNazanin" w:hAnsi="IRNazanin" w:eastAsia="IRNazanin"/>
          <w:color w:val="111111"/>
          <w:sz w:val="28"/>
          <w:sz w:val="28"/>
          <w:szCs w:val="28"/>
          <w:rtl w:val="true"/>
          <w:lang w:bidi="fa-IR"/>
        </w:rPr>
        <w:t>و في الحديث أن النبيّ  صلّی الله علیه و آله و سلّم توفّي و هو ابن ثلاث و ستّين سنة</w:t>
      </w:r>
      <w:r>
        <w:rPr>
          <w:rStyle w:val="FootnoteAnchor"/>
          <w:rtl w:val="true"/>
        </w:rPr>
        <w:footnoteReference w:id="1965"/>
      </w:r>
      <w:r>
        <w:rPr>
          <w:rFonts w:ascii="Amiri" w:hAnsi="Amiri" w:eastAsia="Amiri" w:cs="Amiri"/>
          <w:color w:val="111111"/>
          <w:sz w:val="28"/>
          <w:sz w:val="28"/>
          <w:szCs w:val="28"/>
          <w:rtl w:val="true"/>
          <w:lang w:bidi="ar-SA"/>
        </w:rPr>
        <w:t>، و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اثنتان و أربعون حلوبة</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غير ذلك من الاستعمالات الكثيرة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الوجهين يتفرّع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بعتك بمائة و عشرين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الأوّل یصحّ البيع</w:t>
      </w:r>
    </w:p>
    <w:p>
      <w:pPr>
        <w:pStyle w:val="BookText"/>
        <w:rPr/>
      </w:pPr>
      <w:r>
        <w:rPr>
          <w:rFonts w:ascii="Amiri" w:hAnsi="Amiri" w:eastAsia="Amiri" w:cs="Amiri"/>
          <w:color w:val="111111"/>
          <w:sz w:val="28"/>
          <w:sz w:val="28"/>
          <w:szCs w:val="28"/>
          <w:rtl w:val="true"/>
          <w:lang w:bidi="ar-SA"/>
        </w:rPr>
        <w:t>دون الثاني؛ لأنّ المائة مبهمة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درهم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فالعرف يقتضي رجوع النصف إلى الدرهم، و هو لاينافي ما تقدّم من عدم عود التمييز المتوسّط إلى ما بعده؛ لأنّ الدرهم هنا لم يقع مميّزاً و إنّما هو جنس مستقلّ عطف عليه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عشرة دراهم و نصف، و ألف درهم و نصف، 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 نصف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فالجميع دراهم عملاً بالعرف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نصف 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فالنصف مبهم؛ لعدم دلالة العرف في هذا المثال على</w:t>
      </w:r>
    </w:p>
    <w:p>
      <w:pPr>
        <w:pStyle w:val="BookText"/>
        <w:rPr/>
      </w:pPr>
      <w:r>
        <w:rPr>
          <w:rFonts w:ascii="Amiri" w:hAnsi="Amiri" w:eastAsia="Amiri" w:cs="Amiri"/>
          <w:color w:val="111111"/>
          <w:sz w:val="28"/>
          <w:sz w:val="28"/>
          <w:szCs w:val="28"/>
          <w:rtl w:val="true"/>
          <w:lang w:bidi="ar-SA"/>
        </w:rPr>
        <w:t>دلالة الدرهم عليهما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 قفيز 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فالمائة مبهمة بخلاف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 ثلاثة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علّله في التذكرة بأنّ الدراهم تصلح تفسيراً للکلّ، و الحنطة لاتصلح تفسيراً للمائة؛ لأنّه لایصحّ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حنطة</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 xml:space="preserve">. </w:t>
      </w:r>
      <w:bookmarkStart w:id="607" w:name="pg10270_80602"/>
    </w:p>
    <w:p>
      <w:pPr>
        <w:pStyle w:val="BookText"/>
        <w:rPr/>
      </w:pPr>
      <w:bookmarkEnd w:id="6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درهم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الألف مجهولةً</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3860414_1067777946"/>
      <w:bookmarkStart w:id="609" w:name="_Toc221"/>
      <w:bookmarkEnd w:id="608"/>
      <w:r>
        <w:rPr>
          <w:rtl w:val="true"/>
        </w:rPr>
        <w:t>إذا قال</w:t>
      </w:r>
      <w:r>
        <w:rPr>
          <w:rtl w:val="true"/>
        </w:rPr>
        <w:t>:</w:t>
      </w:r>
      <w:r>
        <w:rPr>
          <w:rtl w:val="true"/>
        </w:rPr>
        <w:t>له علىّ كذا،أو كذا و كذا</w:t>
      </w:r>
      <w:bookmarkEnd w:id="609"/>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إليه التفسير ، 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فسّره بالدرهم، نصباً أو رفعاً كان إقراراً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نصب كان له عشرون، و قد يمكن هذا مع الاطّلاع على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خفض احتمل بعض الدرهم و إليه تفسير البعضيّة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مائة درهم؛ مراعاة لتجنّب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أدري من أين نشأ هذا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 نظر؛ لأنّ تفسير الدراهم للمائة لا یصحّ بحسب الوضع أيضاً، و إنّما هو مجاز بالتأويل،</w:t>
      </w:r>
    </w:p>
    <w:p>
      <w:pPr>
        <w:pStyle w:val="BookText"/>
        <w:rPr/>
      </w:pPr>
      <w:r>
        <w:rPr>
          <w:rFonts w:ascii="Amiri" w:hAnsi="Amiri" w:eastAsia="Amiri" w:cs="Amiri"/>
          <w:color w:val="111111"/>
          <w:sz w:val="28"/>
          <w:sz w:val="28"/>
          <w:szCs w:val="28"/>
          <w:rtl w:val="true"/>
          <w:lang w:bidi="ar-SA"/>
        </w:rPr>
        <w:t>و بالجملة فالاعتماد في جميع ذلك على العرف، و مع الشك يقع الإبهام فيما يقع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درهم و ألف كانت الألف مجهولةً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الدرهم جنس مستقلّ بالتمييز و قد عطف عليه عدد مبهم فلا يكون الدرهم تمييزاً له؛ و لأنّه لو توسّط التمييز لم يتعلّق بالمتأخّر كما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مائة درهم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مع عدم التمييز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الدرهم الواقع ليس تمييزاً و إنّما هو جنس مستقلّ مبيّن بنفسه، و كذا لو عکس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درهمان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بالعكس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كذا، كان إليه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تفسيره بما يقبل به تفسير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فسّره بالدرهم، فإمّا أن يجعل الدرهم منصوباً أو مرفوعاً أو مجروراً أو موقوفاً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الأوّلين يلزمه درهم 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 على التمييز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درهماً، و مرفوعاً بدلاً من الشيء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الثالث يلزمه جزء درهم، و إليه يرجع في تفسير الجزء، و التقدير جزء درهم أو بعض درهم،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وقف احتمل الرفع و الجرّ، فيلزمه أقلّهما؛ لأصالة البراءة من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يقتضيه اللفظ لغةً و عرفاً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 مع النصب عشرون درهماً؛ لأنّ أقل عدد مفرد ينصب مميّزه عشرون؛ إذ فوقه ثلاثون إلى تسعين، فيلزمه الأقلّ؛ لأنّه المتيقّن، و مع الجرّ مائة درهم؛ لأنّه أقلّ عدد مفرد مميّزه مجرور؛ إذ فوقه الألف، فيحمل على الأقل</w:t>
      </w:r>
      <w:r>
        <w:rPr>
          <w:rFonts w:eastAsia="Amiri" w:cs="Amiri" w:ascii="Amiri" w:hAnsi="Amiri"/>
          <w:color w:val="111111"/>
          <w:sz w:val="28"/>
          <w:szCs w:val="28"/>
          <w:rtl w:val="true"/>
          <w:lang w:bidi="ar-SA"/>
        </w:rPr>
        <w:t>»</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الجرّ يحصل بإضافة الجزء كما بيّنّاه، فلا وجه لحمله</w:t>
      </w:r>
    </w:p>
    <w:p>
      <w:pPr>
        <w:pStyle w:val="BookText"/>
        <w:rPr/>
      </w:pPr>
      <w:r>
        <w:rPr>
          <w:rFonts w:ascii="Amiri" w:hAnsi="Amiri" w:eastAsia="Amiri" w:cs="Amiri"/>
          <w:color w:val="111111"/>
          <w:sz w:val="28"/>
          <w:sz w:val="28"/>
          <w:szCs w:val="28"/>
          <w:rtl w:val="true"/>
          <w:lang w:bidi="ar-SA"/>
        </w:rPr>
        <w:t>على الدرهم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لايظهر وجه اشتراط عدم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درهم ،صحيح، لزمه مائة، وإن لم يصفه بالصحّة اكتفي بالجزء؛ لأنّ الوصف بالصحّة يمنع من الحمل على الجزء؛ لأنّه كسر لا صحيح</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ردّ بأنّ الصحيح يقبل التجزئة كما يقبلها غيره، فیصحّ أن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بعض درهم صحيح، بمعنى أنّ بعض الدرهم الصحيح مستحقّ له و باقيه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النعت و إن كان الأصل فيه أن يعود إلى المضاف دون المضاف إليه؛ لأنّه المحدّث عنه، إلّا أنّه مع الجرّ يتعيّن كونه نعتاً للمضاف إليه، و هو سائغ أيضاً مع ظهور قصده</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العلّامة وافق الشيخ في ذلك إذا كان المقرّ من أهل اللسان</w:t>
      </w:r>
      <w:r>
        <w:rPr>
          <w:rStyle w:val="FootnoteAnchor"/>
          <w:rtl w:val="true"/>
        </w:rPr>
        <w:footnoteReference w:id="1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 بأنّ اللسان العربي كما يجوّز موازنة ما ذكره الشيخ يجوّز ما ذكره غيره من القدر القليل</w:t>
      </w:r>
      <w:r>
        <w:rPr>
          <w:rStyle w:val="FootnoteAnchor"/>
          <w:rtl w:val="true"/>
        </w:rPr>
        <w:footnoteReference w:id="1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المبهمات لم توضع لما ذكره لغةً و لا اصطلاحاً، و إنّما هي موازنة اتّفاقيّة لايلزم اتباعها مع إمكان ما هو أقلّ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اقتصر فإليه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أتبعه بالدرهم نصباً أو رفعاً لزمه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نصب لزمه 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هذا القول ضعيف جدّاً، سواء كان المقرّ عارفاً أم لا، إلّا أنّ يقصد ذلك، و لايحصل الاطّلاع على قصده إلّا من قبله وإذا كان كذلك فلا إشكال؛ لأنّه لو أخبر أنّه قصد قدراً معيّناً من غير هذا من الكنايات المبهمة قبل منه من جهة إخباره بقصده ذلك لا من جهة ذلك اللفظ الذى لايدلّ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كذا، فإن اقتصر فإليه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عطف لايقتضي الزيادة كتكرير شيء و إنّما يفيد تأكيد 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يتبعه بالدرهم، و إن أتبعه جاء فيه الحالات الأربع، فإن نصب الدرهم كان مميّزاً،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شيء درهماً، فيلزمه درهم، و كذا إن رفع، فإنّه يكون بدلاً من المؤكّد و يلزمه الدرهم، و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شيء هو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جرّ احتمل إضافة جزء إلى جزء ثمّ أضاف الجزء الأخير إلى الدرهم، فيلزمه جزء جزء من درهم، و جزء الجزء جزء، فيقبل تفسيره بجزء درهم كالسابق؛ لأصالة براءة الذمّة مما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وقف لزمه أقلّ المحتملات في حالتي الرفع و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القول لو 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مع النصب يلزمه أحد عشر درهماً؛ لأنّ أقلّ عدد مركّب مع غيره ينتصب بعده المميّز أحد عشر</w:t>
      </w:r>
      <w:r>
        <w:rPr>
          <w:rFonts w:eastAsia="Amiri" w:cs="Amiri" w:ascii="Amiri" w:hAnsi="Amiri"/>
          <w:color w:val="111111"/>
          <w:sz w:val="28"/>
          <w:szCs w:val="28"/>
          <w:rtl w:val="true"/>
          <w:lang w:bidi="ar-SA"/>
        </w:rPr>
        <w:t>»</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إذ فوقه الاثنا عشر إلى تسعة عشر، فيلزمه الأقلّ، و يضعّف بما مرّ و العلّامة على تفصيله</w:t>
      </w:r>
    </w:p>
    <w:p>
      <w:pPr>
        <w:pStyle w:val="BookText"/>
        <w:rPr/>
      </w:pPr>
      <w:r>
        <w:rPr>
          <w:rFonts w:ascii="Amiri" w:hAnsi="Amiri" w:eastAsia="Amiri" w:cs="Amiri"/>
          <w:color w:val="111111"/>
          <w:sz w:val="28"/>
          <w:sz w:val="28"/>
          <w:szCs w:val="28"/>
          <w:rtl w:val="true"/>
          <w:lang w:bidi="ar-SA"/>
        </w:rPr>
        <w:t>هنا أيضاً</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واحد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 أو رفعاً لزمه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نصبه لزمه أحد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الاقتصار على اليقين إلّا مع العلم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 درهماً، نصباً أو رفعاً لزمه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أتبعهما بالدرهم جاء فيه الحالات أيضاً، فإن نصبه أو رفعه لزمه درهم على وزان ما مرّ؛ لأنّه ذكر شيئين ثمّ أبدل منهما درهماً على تقدير الرفع، و ميّزهما بدرهم على تقدير النصب،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 شيء هما درهم؛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محتملاً لما هو أقلّ من درهم جاز تفسير المتعدّد منه و إن كثر بالدرهم، و الأصل براءة الذمّة ممّا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 مع النصب أحد و عشرون درهماً؛ لأنّه أقلّ عددين عطف أحدهما على الآخر و ميّزا بدرهم منصوب</w:t>
      </w:r>
      <w:r>
        <w:rPr>
          <w:rFonts w:eastAsia="Amiri" w:cs="Amiri" w:ascii="Amiri" w:hAnsi="Amiri"/>
          <w:color w:val="111111"/>
          <w:sz w:val="28"/>
          <w:szCs w:val="28"/>
          <w:rtl w:val="true"/>
          <w:lang w:bidi="ar-SA"/>
        </w:rPr>
        <w:t>»</w:t>
      </w:r>
      <w:r>
        <w:rPr>
          <w:rStyle w:val="FootnoteAnchor"/>
          <w:rtl w:val="true"/>
        </w:rPr>
        <w:footnoteReference w:id="1974"/>
      </w:r>
    </w:p>
    <w:p>
      <w:pPr>
        <w:pStyle w:val="BookText"/>
        <w:rPr/>
      </w:pPr>
      <w:r>
        <w:rPr>
          <w:rFonts w:ascii="Amiri" w:hAnsi="Amiri" w:eastAsia="Amiri" w:cs="Amiri"/>
          <w:color w:val="111111"/>
          <w:sz w:val="28"/>
          <w:sz w:val="28"/>
          <w:szCs w:val="28"/>
          <w:rtl w:val="true"/>
          <w:lang w:bidi="ar-SA"/>
        </w:rPr>
        <w:t>إذ فوقه اثنان و عشرون إلى تسعة و تسعين و فيه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وجه ثالث بلزوم درهمين</w:t>
      </w:r>
      <w:r>
        <w:rPr>
          <w:rStyle w:val="FootnoteAnchor"/>
          <w:rtl w:val="true"/>
        </w:rPr>
        <w:footnoteReference w:id="1975"/>
      </w:r>
      <w:r>
        <w:rPr>
          <w:rFonts w:ascii="Amiri" w:hAnsi="Amiri" w:eastAsia="Amiri" w:cs="Amiri"/>
          <w:color w:val="111111"/>
          <w:sz w:val="28"/>
          <w:sz w:val="28"/>
          <w:szCs w:val="28"/>
          <w:rtl w:val="true"/>
          <w:lang w:bidi="ar-SA"/>
        </w:rPr>
        <w:t>لأنّه ذكر جملتين كلّ واحدة منهما تقع على الدرهم و تكون كنايةً عنه، فيكون الدرهم تفسيرا لكلّ واحدة منهما،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خمسون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يلزمه درهم و زيادة يرجع فيها إليه</w:t>
      </w:r>
      <w:r>
        <w:rPr>
          <w:rStyle w:val="FootnoteAnchor"/>
          <w:rtl w:val="true"/>
        </w:rPr>
        <w:footnoteReference w:id="1976"/>
      </w:r>
      <w:r>
        <w:rPr>
          <w:rFonts w:ascii="Amiri" w:hAnsi="Amiri" w:eastAsia="Amiri" w:cs="Amiri"/>
          <w:color w:val="111111"/>
          <w:sz w:val="28"/>
          <w:sz w:val="28"/>
          <w:szCs w:val="28"/>
          <w:rtl w:val="true"/>
          <w:lang w:bidi="ar-SA"/>
        </w:rPr>
        <w:t>لأنّ الدرهم فسّر الأخير منهما فيبقى الأوّل على إبهامه، فيفسّره بشيء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جرّ الدرهم لزمه جزء درهم و شيء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وجزء درهم</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الحالة قول آخر بلزوم درهم</w:t>
      </w:r>
      <w:r>
        <w:rPr>
          <w:rStyle w:val="FootnoteAnchor"/>
          <w:rtl w:val="true"/>
        </w:rPr>
        <w:footnoteReference w:id="1977"/>
      </w:r>
      <w:r>
        <w:rPr>
          <w:rFonts w:ascii="Amiri" w:hAnsi="Amiri" w:eastAsia="Amiri" w:cs="Amiri"/>
          <w:color w:val="111111"/>
          <w:sz w:val="28"/>
          <w:sz w:val="28"/>
          <w:szCs w:val="28"/>
          <w:rtl w:val="true"/>
          <w:lang w:bidi="ar-SA"/>
        </w:rPr>
        <w:t>حملاً للجرّ على أخويه؛ لأنّه 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 بإمكان تصحيحه بما ذكرناه</w:t>
      </w:r>
      <w:r>
        <w:rPr>
          <w:rFonts w:eastAsia="Amiri" w:cs="Amiri" w:ascii="Amiri" w:hAnsi="Amiri"/>
          <w:color w:val="111111"/>
          <w:sz w:val="28"/>
          <w:szCs w:val="28"/>
          <w:rtl w:val="true"/>
          <w:lang w:bidi="ar-SA"/>
        </w:rPr>
        <w:t xml:space="preserve">. </w:t>
      </w:r>
      <w:bookmarkStart w:id="610" w:name="pg10270_80606"/>
    </w:p>
    <w:p>
      <w:pPr>
        <w:pStyle w:val="Heading5"/>
        <w:numPr>
          <w:ilvl w:val="4"/>
          <w:numId w:val="1"/>
        </w:numPr>
        <w:rPr/>
      </w:pPr>
      <w:bookmarkStart w:id="611" w:name="__RefHeading___Toc3860416_1067777946"/>
      <w:bookmarkStart w:id="612" w:name="_Toc222"/>
      <w:bookmarkEnd w:id="610"/>
      <w:bookmarkEnd w:id="611"/>
      <w:r>
        <w:rPr>
          <w:rtl w:val="true"/>
        </w:rPr>
        <w:t>الإقرار للمجهول</w:t>
      </w:r>
      <w:bookmarkEnd w:id="612"/>
    </w:p>
    <w:p>
      <w:pPr>
        <w:pStyle w:val="BookText"/>
        <w:rPr/>
      </w:pPr>
      <w:r>
        <w:rPr>
          <w:rFonts w:ascii="Amiri" w:hAnsi="Amiri" w:eastAsia="Amiri" w:cs="Amiri"/>
          <w:color w:val="111111"/>
          <w:sz w:val="28"/>
          <w:sz w:val="28"/>
          <w:szCs w:val="28"/>
          <w:rtl w:val="true"/>
          <w:lang w:bidi="ar-SA"/>
        </w:rPr>
        <w:t>السادسة •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الدار لأحد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البيان، فإن عيّن قبل، و لو ادّعاها الآخر كانا خصمين و لو ادّعى على المقرّ العلم، كان له إحلافه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أقرّ للآخر لزمه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إليهما و كانا خصمين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ادّعيا أو أحدهما علمه، كان القول قوله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في موازنة الأعداد على ما نقلناه عنه من الأقسام</w:t>
      </w:r>
      <w:r>
        <w:rPr>
          <w:rStyle w:val="FootnoteAnchor"/>
          <w:rtl w:val="true"/>
        </w:rPr>
        <w:footnoteReference w:id="1978"/>
      </w:r>
      <w:r>
        <w:rPr>
          <w:rFonts w:ascii="Amiri" w:hAnsi="Amiri" w:eastAsia="Amiri" w:cs="Amiri"/>
          <w:color w:val="111111"/>
          <w:sz w:val="28"/>
          <w:sz w:val="28"/>
          <w:szCs w:val="28"/>
          <w:rtl w:val="true"/>
          <w:lang w:bidi="ar-SA"/>
        </w:rPr>
        <w:t>، و لم يذكر الحكم مع باقي أنواع الإعراب، مع أنّها محتملة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اختاره قول لبعض الشافعية</w:t>
      </w:r>
      <w:r>
        <w:rPr>
          <w:rStyle w:val="FootnoteAnchor"/>
          <w:rtl w:val="true"/>
        </w:rPr>
        <w:footnoteReference w:id="1979"/>
      </w:r>
      <w:r>
        <w:rPr>
          <w:rFonts w:ascii="Amiri" w:hAnsi="Amiri" w:eastAsia="Amiri" w:cs="Amiri"/>
          <w:color w:val="111111"/>
          <w:sz w:val="28"/>
          <w:sz w:val="28"/>
          <w:szCs w:val="28"/>
          <w:rtl w:val="true"/>
          <w:lang w:bidi="ar-SA"/>
        </w:rPr>
        <w:t>، و هو عندهم ضعيف أيضاً</w:t>
      </w:r>
      <w:r>
        <w:rPr>
          <w:rStyle w:val="FootnoteAnchor"/>
          <w:rtl w:val="true"/>
        </w:rPr>
        <w:footnoteReference w:id="198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لأحد هذين، ألزم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يسمع الإقرار المجهول كذا يسمع الإقرار للمجهول، ثمّ يطالب بالبيان كما يطالب به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العين لأحد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 انحصر ملكها فيهما وطولب بالتعيين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عيّن أحدهما سلّمت إليه؛ لأنّه ذو يد فينفذ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ادّعاها الآخر كانا خصمين، بمعنى أنّ المقرّ له بها يصير ذا اليد و الآخر خارج، فيأتي في دعواه حكم دعوى الخارج على ذي اليد من قبول قول ذي اليد مع يمينه و مطالبة الخارج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الخارج إحلاف المقرّ على عدم العلم بكونها له و إن ادّعى عليه العلم بأنّها له، و على البتّ إن ادّعى عليه الغصب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توجّه عليه الحلف له؛ لأنّه لو أقرّ له تبعه بالغرم</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أصرّ المقرّ على أنّها لمن عيّن له فذاك، و إن رجع إلى الإقرار له بها لم تنتزع من الأوّل؛ لسبق حقّه، و أغرم للثاني قيمتها أو مثلها إن لم يصدّقه الأوّل؛ لأنّه حال بين الثاني و المقرّ به بإقراره الأوّل فكان كالمتلف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صدّقه الأوّل دفعت إلى الثاني و لا غرم</w:t>
      </w:r>
      <w:r>
        <w:rPr>
          <w:rFonts w:eastAsia="Amiri" w:cs="Amiri" w:ascii="Amiri" w:hAnsi="Amiri"/>
          <w:color w:val="111111"/>
          <w:sz w:val="28"/>
          <w:szCs w:val="28"/>
          <w:rtl w:val="true"/>
          <w:lang w:bidi="ar-SA"/>
        </w:rPr>
        <w:t xml:space="preserve">. </w:t>
      </w:r>
      <w:bookmarkStart w:id="613" w:name="pg10270_80607"/>
    </w:p>
    <w:p>
      <w:pPr>
        <w:pStyle w:val="Heading5"/>
        <w:numPr>
          <w:ilvl w:val="4"/>
          <w:numId w:val="1"/>
        </w:numPr>
        <w:rPr/>
      </w:pPr>
      <w:bookmarkStart w:id="614" w:name="__RefHeading___Toc3860418_1067777946"/>
      <w:bookmarkStart w:id="615" w:name="_Toc223"/>
      <w:bookmarkEnd w:id="613"/>
      <w:bookmarkEnd w:id="614"/>
      <w:r>
        <w:rPr>
          <w:rtl w:val="true"/>
        </w:rPr>
        <w:t>الإقرار بالمجهول</w:t>
      </w:r>
      <w:bookmarkEnd w:id="615"/>
    </w:p>
    <w:p>
      <w:pPr>
        <w:pStyle w:val="BookText"/>
        <w:rPr/>
      </w:pPr>
      <w:r>
        <w:rPr>
          <w:rFonts w:ascii="Amiri" w:hAnsi="Amiri" w:eastAsia="Amiri" w:cs="Amiri"/>
          <w:color w:val="111111"/>
          <w:sz w:val="28"/>
          <w:sz w:val="28"/>
          <w:szCs w:val="28"/>
          <w:rtl w:val="true"/>
          <w:lang w:bidi="ar-SA"/>
        </w:rPr>
        <w:t>السابعة •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الثوب أو هذا العبد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عيّن قبل منه، و إن أنكر المقرّ له كان القول قول المقرّ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للحاكم انتزاع ما أقرّ به، و له إقراره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للمقرّ على تقدير إقراره للثاني و عدم تصديق الأوّل إحلافه؟ وجهان،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على من أنكر</w:t>
      </w:r>
      <w:r>
        <w:rPr>
          <w:rFonts w:eastAsia="Amiri" w:cs="Amiri" w:ascii="Amiri" w:hAnsi="Amiri"/>
          <w:color w:val="111111"/>
          <w:sz w:val="28"/>
          <w:szCs w:val="28"/>
          <w:rtl w:val="true"/>
          <w:lang w:bidi="ar-SA"/>
        </w:rPr>
        <w:t>»</w:t>
      </w:r>
      <w:r>
        <w:rPr>
          <w:rStyle w:val="FootnoteAnchor"/>
          <w:rtl w:val="true"/>
        </w:rPr>
        <w:footnoteReference w:id="1981"/>
      </w:r>
      <w:r>
        <w:rPr>
          <w:rFonts w:ascii="Amiri" w:hAnsi="Amiri" w:eastAsia="Amiri" w:cs="Amiri"/>
          <w:color w:val="111111"/>
          <w:sz w:val="28"/>
          <w:sz w:val="28"/>
          <w:szCs w:val="28"/>
          <w:rtl w:val="true"/>
          <w:lang w:bidi="ar-SA"/>
        </w:rPr>
        <w:t>،و أنّه يدفع بها الغرم عن نفسه، و أنّه لو أقرّ لنفع إقراره، و من أنّ المقرّ مكذِّب نفسه في دعواه أنّها للثانى بإقراره للأوّل، و أنّه لو نكل امتنع الردّ؛ إذ لايحلف لإثبات 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إلّا أن يظهر لإقراره ما يدفع التكذيب كالغلط، فالأوّل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فيستحلفه على نفي العلم بأنّها للثاني؛ لأنّه ربما</w:t>
      </w:r>
      <w:r>
        <w:rPr>
          <w:rStyle w:val="FootnoteAnchor"/>
          <w:rtl w:val="true"/>
        </w:rPr>
        <w:footnoteReference w:id="1982"/>
      </w:r>
      <w:r>
        <w:rPr>
          <w:rFonts w:ascii="Amiri" w:hAnsi="Amiri" w:eastAsia="Amiri" w:cs="Amiri"/>
          <w:color w:val="111111"/>
          <w:sz w:val="28"/>
          <w:sz w:val="28"/>
          <w:szCs w:val="28"/>
          <w:rtl w:val="true"/>
          <w:lang w:bidi="ar-SA"/>
        </w:rPr>
        <w:t>استند في تملّكها إلى الإقرار خاصّةً فلايمكنه الحلف على البتّ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المقرّ بها لأحدهما لمّا طولب بالبيان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إليهما؛ لانحصار الحقّ فيهما، و كانا خصمين فيلزمهما حكم المتداعيين الخارجين عن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صدّقاه على عدم العلم فالحكم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كذّباه أو أحدهما فلهما أو للمكذّب إحلافه على نفي العلم، و لأحدهما إحلاف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في دفعها إليهما على هذا التقدير نظراً؛ لأنّه يستلزم تسليمها لغير المالك؛ لاعترافه بأنّها لأحدهما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رفع الأمر إلى الحاكم ليسلّمها إلى من يثبت</w:t>
      </w:r>
    </w:p>
    <w:p>
      <w:pPr>
        <w:pStyle w:val="BookText"/>
        <w:rPr/>
      </w:pPr>
      <w:r>
        <w:rPr>
          <w:rFonts w:ascii="Amiri" w:hAnsi="Amiri" w:eastAsia="Amiri" w:cs="Amiri"/>
          <w:color w:val="111111"/>
          <w:sz w:val="28"/>
          <w:sz w:val="28"/>
          <w:szCs w:val="28"/>
          <w:rtl w:val="true"/>
          <w:lang w:bidi="ar-SA"/>
        </w:rPr>
        <w:t>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الثوب أو هذا العبد لزيد، فإن عيّن 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الإقرار من ضروب الإبهام في الأعيان و نحوها المقرّ بها مع تعيين المقرّ له عكس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حكمها أن يطالب بالتعيين، فإن عيّن قبل؛ لأنّه ذو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وافقه المقرّ له على ما عيّنه فذاك، و إلّا لم يسلّم إليه لاعترافه أنّه ليس له و له إحلاف المقرّ على أنّ العين الأخرى </w:t>
      </w:r>
      <w:bookmarkStart w:id="616" w:name="pg10270_80608"/>
    </w:p>
    <w:p>
      <w:pPr>
        <w:pStyle w:val="Heading5"/>
        <w:numPr>
          <w:ilvl w:val="4"/>
          <w:numId w:val="1"/>
        </w:numPr>
        <w:rPr/>
      </w:pPr>
      <w:bookmarkStart w:id="617" w:name="__RefHeading___Toc3860420_1067777946"/>
      <w:bookmarkStart w:id="618" w:name="_Toc224"/>
      <w:bookmarkEnd w:id="616"/>
      <w:bookmarkEnd w:id="617"/>
      <w:r>
        <w:rPr>
          <w:rtl w:val="true"/>
        </w:rPr>
        <w:t>إذا أقرّ بمال ثمّ دفع و قال هذه کانت ودیعة</w:t>
      </w:r>
      <w:bookmarkEnd w:id="618"/>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لفلان عليّ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كنت أقررت بها كانت وديعةً، فإن أنكر المقرّ له كان القول قول المقرّ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في ذمّتي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وديعة و هذه 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للمقرّ له، فإذا حلف خلص من دعواه و بقيت العين المقرّ بها مجهولة المالك، فيتخيّر الحاكم بين انتزاعها من المقرّ و حفظها إلى أن يظهر مالكها أو يرجع المقرّ له عن إنكاره، و بين أن يتركها في يد المقرّ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المقرّ</w:t>
      </w:r>
      <w:r>
        <w:rPr>
          <w:rStyle w:val="FootnoteAnchor"/>
          <w:rtl w:val="true"/>
        </w:rPr>
        <w:footnoteReference w:id="1983"/>
      </w:r>
      <w:r>
        <w:rPr>
          <w:rFonts w:ascii="Amiri" w:hAnsi="Amiri" w:eastAsia="Amiri" w:cs="Amiri"/>
          <w:color w:val="111111"/>
          <w:sz w:val="28"/>
          <w:sz w:val="28"/>
          <w:szCs w:val="28"/>
          <w:rtl w:val="true"/>
          <w:lang w:bidi="ar-SA"/>
        </w:rPr>
        <w:t>إلى التصديق سمع؛ لعدم المنازع و إمكان تذكّره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أصرّ المقرّ على عدم التعيين و ادّعى الجهل بالحال أو نسيانه سمع منه، و رجعا إلى الصلح في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قويّاً مع عدم اتّفاقهما على الصلح القرعة بينهما في العين؛ لأنّها</w:t>
      </w:r>
    </w:p>
    <w:p>
      <w:pPr>
        <w:pStyle w:val="BookText"/>
        <w:rPr/>
      </w:pPr>
      <w:r>
        <w:rPr>
          <w:rFonts w:ascii="Amiri" w:hAnsi="Amiri" w:eastAsia="Amiri" w:cs="Amiri"/>
          <w:color w:val="111111"/>
          <w:sz w:val="28"/>
          <w:sz w:val="28"/>
          <w:szCs w:val="28"/>
          <w:rtl w:val="true"/>
          <w:lang w:bidi="ar-SA"/>
        </w:rPr>
        <w:t>لكلّ أمر مشكل</w:t>
      </w:r>
      <w:r>
        <w:rPr>
          <w:rStyle w:val="FootnoteAnchor"/>
          <w:rtl w:val="true"/>
        </w:rPr>
        <w:footnoteReference w:id="1984"/>
      </w:r>
      <w:r>
        <w:rPr>
          <w:rFonts w:ascii="Amiri" w:hAnsi="Amiri" w:eastAsia="Amiri" w:cs="Amiri"/>
          <w:color w:val="111111"/>
          <w:sz w:val="28"/>
          <w:sz w:val="28"/>
          <w:szCs w:val="28"/>
          <w:rtl w:val="true"/>
          <w:lang w:bidi="ar-SA"/>
        </w:rPr>
        <w:t>، خصوصاً فيما هو معيّن عند الله مشتبه عندنا، و الحال هنا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دار الاشتباه بین درهم و درهمین ثبت الأقلّ وط ولب بالجواب عن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ردّد بين ألف و ألفين مطلقين فالظاهر أنّه كذلك، مع احتمال لزوم الأكثر، و لزوم الأقلّ منهما على</w:t>
      </w:r>
    </w:p>
    <w:p>
      <w:pPr>
        <w:pStyle w:val="BookText"/>
        <w:rPr/>
      </w:pPr>
      <w:r>
        <w:rPr>
          <w:rFonts w:ascii="Amiri" w:hAnsi="Amiri" w:eastAsia="Amiri" w:cs="Amiri"/>
          <w:color w:val="111111"/>
          <w:sz w:val="28"/>
          <w:sz w:val="28"/>
          <w:szCs w:val="28"/>
          <w:rtl w:val="true"/>
          <w:lang w:bidi="ar-SA"/>
        </w:rPr>
        <w:t>تقدير البداءة بالأكثر؛ لأنّه كالرجوع عن الإقرار فلايسمع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عليّ ألف، ثمّ دفع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مسائل ثلاث متقاربة الأطراف مختلفة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لفلان عليّ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 إليه ألفاً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التي كنت أقررت بها كانت وديعةً عندي، فقال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وديعة و لي عليك ألف أخرى ديناً و هي التي أردت بإقرارك، ففيه قولان</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قول المقرّ له</w:t>
      </w:r>
      <w:r>
        <w:rPr>
          <w:rStyle w:val="FootnoteAnchor"/>
          <w:rtl w:val="true"/>
        </w:rPr>
        <w:footnoteReference w:id="1985"/>
      </w:r>
      <w:r>
        <w:rPr>
          <w:rFonts w:ascii="Amiri" w:hAnsi="Amiri" w:eastAsia="Amiri" w:cs="Amiri"/>
          <w:color w:val="111111"/>
          <w:sz w:val="28"/>
          <w:sz w:val="28"/>
          <w:szCs w:val="28"/>
          <w:rtl w:val="true"/>
          <w:lang w:bidi="ar-SA"/>
        </w:rPr>
        <w:t xml:space="preserve">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الثبوت في الذمّة و لهذا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على فلان كان ضامناً، و الوديعة لاتثبت في الذمّة فلايجوز التفسير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في ذمّتي ألف، و هذه هي التي أقررت بها كانت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لأنّ ما في الذمّة لايكون وديعة، و ليست كالأُولى و لا كالوسطى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الشيخ و لم يذكر المصنّف غيره و ذهب إليه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قول المقرّ مع يمينه</w:t>
      </w:r>
      <w:r>
        <w:rPr>
          <w:rStyle w:val="FootnoteAnchor"/>
          <w:rtl w:val="true"/>
        </w:rPr>
        <w:footnoteReference w:id="1986"/>
      </w:r>
      <w:r>
        <w:rPr>
          <w:rFonts w:ascii="Amiri" w:hAnsi="Amiri" w:eastAsia="Amiri" w:cs="Amiri"/>
          <w:color w:val="111111"/>
          <w:sz w:val="28"/>
          <w:sz w:val="28"/>
          <w:szCs w:val="28"/>
          <w:rtl w:val="true"/>
          <w:lang w:bidi="ar-SA"/>
        </w:rPr>
        <w:t xml:space="preserve">لأنّ الوديعة يجب حفظها و التخلية بينها و بين المالك، فلعلّه أراد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هذا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أيضاً أنه تعدّى فيها حتى صارت مضمونة عليه، فلذلك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 و أيضاً فقد يستعمل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بذلك</w:t>
      </w:r>
      <w:r>
        <w:rPr>
          <w:rStyle w:val="FootnoteAnchor"/>
          <w:rtl w:val="true"/>
        </w:rPr>
        <w:footnoteReference w:id="1987"/>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عَلَيَّ ذَنبٌ</w:t>
      </w:r>
      <w:r>
        <w:rPr>
          <w:rFonts w:eastAsia="Amiri" w:cs="Amiri" w:ascii="Amiri" w:hAnsi="Amiri"/>
          <w:color w:val="111111"/>
          <w:sz w:val="28"/>
          <w:szCs w:val="28"/>
          <w:rtl w:val="true"/>
          <w:lang w:bidi="ar-SA"/>
        </w:rPr>
        <w:t>»</w:t>
      </w:r>
      <w:r>
        <w:rPr>
          <w:rStyle w:val="FootnoteAnchor"/>
          <w:rtl w:val="true"/>
        </w:rPr>
        <w:footnoteReference w:id="1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أصالة براءة الذمّة من غير ما اعترف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بين تفسيره بذلك على الاتّصال و الانفصال 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حالة</w:t>
      </w:r>
    </w:p>
    <w:p>
      <w:pPr>
        <w:pStyle w:val="BookText"/>
        <w:rPr/>
      </w:pPr>
      <w:r>
        <w:rPr>
          <w:rFonts w:ascii="Amiri" w:hAnsi="Amiri" w:eastAsia="Amiri" w:cs="Amiri"/>
          <w:color w:val="111111"/>
          <w:sz w:val="28"/>
          <w:sz w:val="28"/>
          <w:szCs w:val="28"/>
          <w:rtl w:val="true"/>
          <w:lang w:bidi="ar-SA"/>
        </w:rPr>
        <w:t>الانفصال لتدلّ على الأُخرى بطريق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في ذمّتي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بألف و فسّر بما ذكر في الأُولى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التي أقررت بها و قد كانت وديعة و تلفت و هذه بدلها، فإن لم يقبل في الصورة الأُولى فهاهنا أُولى، و إن قبلنا قوله فوجهان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قطع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القبول؛ لجواز أن يريد له ألف في ذمّتي إن تلفت الوديعة؛ لأنّي تعدّيت فيها، أو يريد كونها وديعة في الأصل و أنّها تلفت و وجب بدلها في الذمّة، و غايته إرادة المجاز و هو كون الشيء في الذمّة وديعة باعتبار أنّ سببها كان في الذمّة، و المجاز يصار إليه بالقرينة</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لأنّ العين لاتثبت في الذمّة، و الأصل في الكلام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كثير من الدعاوي المجازيّة في الإقرار</w:t>
      </w:r>
      <w:r>
        <w:rPr>
          <w:rStyle w:val="FootnoteAnchor"/>
          <w:rtl w:val="true"/>
        </w:rPr>
        <w:footnoteReference w:id="1989"/>
      </w:r>
      <w:r>
        <w:rPr>
          <w:rFonts w:ascii="Amiri" w:hAnsi="Amiri" w:eastAsia="Amiri" w:cs="Amiri"/>
          <w:color w:val="111111"/>
          <w:sz w:val="28"/>
          <w:sz w:val="28"/>
          <w:szCs w:val="28"/>
          <w:rtl w:val="true"/>
          <w:lang w:bidi="ar-SA"/>
        </w:rPr>
        <w:t>، و لم يلتفت إليها، فلا وجه لتخصيص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لايخلو من قوّة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وديعةً و كنت أظنّها باقية فبانت</w:t>
      </w:r>
    </w:p>
    <w:p>
      <w:pPr>
        <w:pStyle w:val="BookText"/>
        <w:rPr/>
      </w:pPr>
      <w:r>
        <w:rPr>
          <w:rFonts w:ascii="Amiri" w:hAnsi="Amiri" w:eastAsia="Amiri" w:cs="Amiri"/>
          <w:color w:val="111111"/>
          <w:sz w:val="28"/>
          <w:sz w:val="28"/>
          <w:szCs w:val="28"/>
          <w:rtl w:val="true"/>
          <w:lang w:bidi="ar-SA"/>
        </w:rPr>
        <w:t>تالفةً، لم يُقبل؛ لأنّه مكذّب 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ادّعى تلفها بعد الإقرار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في ذمّتي ألف و هذه هي التي أقررت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وديعة حين الإقرار لم يُقبل و يلزمه ألف أخرى؛ لأنّ ما في الذمّة لايكون وديعة؛ فإنّ الوديعة هي العين المستناب في حفظها و ما في الذمّة لايكون عيناً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الفرق بين هذه المسألة و بين المسألتين السابقتين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الأُولى؛ فلانّه لم يصرّح فيها يكون المقرّ به في الذمّة فلاينافي كونه وديعة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الثانیّة؛ فلأنّه و إن صرّح بكونها في الذمّة المنافي لكونها وديعةً إلّا أنّه ادّعى أنّ الذي أحضره بدلها لا عينها، فرفع التنافي بتأويله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الثالثة فقد جمع فيها بين وصفها بكونها في الذمّة و كونها وديعةً من غير تأويل فلهذا لم تُسمع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المجاز و إن كان ممكناً هنا بأن يكون قد تلفت بعد الإقرار و الذي أحضره بدلها و أطلق عليه الوديعة باعتبار كونه عوضاً و مسبّباً عنها، إلّا أنّه لما لم يدع المجاز لم يكن عن الحقيقة صارف، و لو صرف عنها بمجرد تمحّل</w:t>
      </w:r>
      <w:r>
        <w:rPr>
          <w:rStyle w:val="FootnoteAnchor"/>
          <w:rtl w:val="true"/>
        </w:rPr>
        <w:footnoteReference w:id="1990"/>
      </w:r>
      <w:r>
        <w:rPr>
          <w:rFonts w:ascii="Amiri" w:hAnsi="Amiri" w:eastAsia="Amiri" w:cs="Amiri"/>
          <w:color w:val="111111"/>
          <w:sz w:val="28"/>
          <w:sz w:val="28"/>
          <w:szCs w:val="28"/>
          <w:rtl w:val="true"/>
          <w:lang w:bidi="ar-SA"/>
        </w:rPr>
        <w:t>المجاز من غير أن يدّعى لم يحكم بشيء من الحقائق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قيل هنا من توجيه القبول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المجاز</w:t>
      </w:r>
      <w:r>
        <w:rPr>
          <w:rStyle w:val="FootnoteAnchor"/>
          <w:rtl w:val="true"/>
        </w:rPr>
        <w:footnoteReference w:id="1991"/>
      </w:r>
      <w:r>
        <w:rPr>
          <w:rFonts w:ascii="Amiri" w:hAnsi="Amiri" w:eastAsia="Amiri" w:cs="Amiri"/>
          <w:color w:val="111111"/>
          <w:sz w:val="28"/>
          <w:sz w:val="28"/>
          <w:szCs w:val="28"/>
          <w:rtl w:val="true"/>
          <w:lang w:bidi="ar-SA"/>
        </w:rPr>
        <w:t>واهٍ جدّاً كما لایخفى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محلّ الشبهة ما إذا مضى زمان يمكن فيه تلفها بين الكلامين، فلو لم يمض</w:t>
      </w:r>
    </w:p>
    <w:p>
      <w:pPr>
        <w:pStyle w:val="BookText"/>
        <w:rPr/>
      </w:pPr>
      <w:r>
        <w:rPr>
          <w:rFonts w:ascii="Amiri" w:hAnsi="Amiri" w:eastAsia="Amiri" w:cs="Amiri"/>
          <w:color w:val="111111"/>
          <w:sz w:val="28"/>
          <w:sz w:val="28"/>
          <w:szCs w:val="28"/>
          <w:rtl w:val="true"/>
          <w:lang w:bidi="ar-SA"/>
        </w:rPr>
        <w:t>مقدار ذلك لم يقبل قوله بغير إشكال؛ لظهور كذبه في أحد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ألف، و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مسألة رابعة للإقرار بالوديعة و محصّلها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أقرّ بأنّ له عليه ألفاً و أطلق، ثمّ دفع الألف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الألف التي أقررت بأنّها عليّ وديعة، و كنت أظنّها باقيةً قبل الإقرار فبانت تالفة قبله بغير تفريط فلايلزمني ضمانها، فإنّه لايقبل منه تفسير الثاني؛ لأنّه مكذّب </w:t>
      </w:r>
      <w:bookmarkStart w:id="619" w:name="pg10270_80611"/>
    </w:p>
    <w:p>
      <w:pPr>
        <w:pStyle w:val="Heading5"/>
        <w:numPr>
          <w:ilvl w:val="4"/>
          <w:numId w:val="1"/>
        </w:numPr>
        <w:rPr/>
      </w:pPr>
      <w:bookmarkStart w:id="620" w:name="__RefHeading___Toc3860422_1067777946"/>
      <w:bookmarkStart w:id="621" w:name="_Toc225"/>
      <w:bookmarkEnd w:id="619"/>
      <w:bookmarkEnd w:id="620"/>
      <w:r>
        <w:rPr>
          <w:rtl w:val="true"/>
        </w:rPr>
        <w:t>إذا قال</w:t>
      </w:r>
      <w:r>
        <w:rPr>
          <w:rtl w:val="true"/>
        </w:rPr>
        <w:t>:</w:t>
      </w:r>
      <w:r>
        <w:rPr>
          <w:rtl w:val="true"/>
        </w:rPr>
        <w:t>له في هذه الدار مائة</w:t>
      </w:r>
      <w:bookmarkEnd w:id="621"/>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هذه الدار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 رجع في تفسير الكيفيّة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أنكر المقرّ له شيئاً من تفسيره كان القول قول المقرّ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لإقراره الأوّل؛ إذ تلف الوديعة على وجه لايضمن لايجامع كونها عليه؛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صيرورتها مضمونة عليه لتعدّيه، فتفسيره بتلفها قبل الإقرار على وجه لايوجب الضمان مناقض لذلك</w:t>
      </w:r>
      <w:r>
        <w:rPr>
          <w:rStyle w:val="FootnoteAnchor"/>
          <w:rtl w:val="true"/>
        </w:rPr>
        <w:footnoteReference w:id="1992"/>
      </w:r>
      <w:r>
        <w:rPr>
          <w:rFonts w:ascii="Amiri" w:hAnsi="Amiri" w:eastAsia="Amiri" w:cs="Amiri"/>
          <w:color w:val="111111"/>
          <w:sz w:val="28"/>
          <w:sz w:val="28"/>
          <w:szCs w:val="28"/>
          <w:rtl w:val="true"/>
          <w:lang w:bidi="ar-SA"/>
        </w:rPr>
        <w:t>فلا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فسرنا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فبانت تالفةً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التلف قبل الإقرار مع كونه أعمّ بقرينة قسيمه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ادّعى تلفها بعد الإقرار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لعدم المنافاة، فتكون دعوى مستأنفة، و يكون التلف على وجه غير مضمون؛ إذ لو كان مضموناً لم يكن مكذّباً لإقراره؛ لأنّه تصير حينئذٍ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فيه الشيخ</w:t>
      </w:r>
      <w:r>
        <w:rPr>
          <w:rStyle w:val="FootnoteAnchor"/>
          <w:rtl w:val="true"/>
        </w:rPr>
        <w:footnoteReference w:id="1993"/>
      </w:r>
      <w:r>
        <w:rPr>
          <w:rFonts w:ascii="IRNazanin" w:hAnsi="IRNazanin" w:eastAsia="IRNazanin"/>
          <w:color w:val="111111"/>
          <w:sz w:val="28"/>
          <w:sz w:val="28"/>
          <w:szCs w:val="28"/>
          <w:rtl w:val="true"/>
          <w:lang w:bidi="fa-IR"/>
        </w:rPr>
        <w:t>، و لا دخل للدفع في الحكم؛ لأنّه لو ادّعى ذلك من غير دفع ليدفع عنه الغرم كان أظهر في الدعوى، و الحكم فيه كما ذكر؛ لتحقّق التناقض بين كلاميه على التقديرين، بل مع دفعها لايبقى للدعوى الثانیّة فائدة؛ إذ ليس البحث في هذه المسألة إلّا عن ألف واحدة، بخلاف ما سبق، و كأنّهم جروا على الدفع السابق فإنّ له مدخلاً في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قيل بقبول قوله في هذه المسألة أيضاً كما قيل في السابقة كان وجهاً، بل هنا أولى؛ لأنّ قوله كان مبنيّاً على الظاهر من أنّها موجودة يجب عليه حفظها و كونها عنده كما سبق و إنّما ظهر بعد الإقرار تلفها قبله، فلا منافاة بين كلاميه إلّا على تقدير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إطلاقهم ذلك بناءً على 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المعنى لا مجرّد وجوب الحفظ، و ذلك المعنى لو سلّم كونه مجازاً فقد سمع منه دعوى المجاز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هذه الدار مائة،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كانت المائة ليست من جنس الدار فالإقرار مجمل يحتمل وجوهاً من التأويل،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فيرجع إليه في بيانه فإن فسّره بجزء منها قيمته مائة قبل و صار المقرّ له شريكاً بذلك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إن فسّر ذلك بجزء تقصر قيمته عن مائة و أراد أنّه اشتراه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دفع في ثمنها مائة و هو المشتري لها لنفسه كانت قرضاً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المقرّ له نقد في ثمنها لنفسه مائة، سئل ثانياً عن مجموع ثمنه، و هل وزن هو شيئاً أم لا؟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مائة و لم أزن فيه شيئاً، كان إقراراً له بالدار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وزّن أيضاً في الثمن، سئل عن كيفيّة الشراء هل كان دفعةً أو على التعاقب؟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وقع دفعةً و أخبر أنّه وزّن مائة أيضاً، فهي بينهما نصفان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وزّن مائتين فللمقرّ له ثلثها، و على هذا، سواء كانت القيمة مطابقة لذلك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أخبر أنّهما اشترياها بعقدين</w:t>
      </w:r>
      <w:r>
        <w:rPr>
          <w:rStyle w:val="FootnoteAnchor"/>
          <w:rtl w:val="true"/>
        </w:rPr>
        <w:footnoteReference w:id="1994"/>
      </w:r>
      <w:r>
        <w:rPr>
          <w:rFonts w:ascii="Amiri" w:hAnsi="Amiri" w:eastAsia="Amiri" w:cs="Amiri"/>
          <w:color w:val="111111"/>
          <w:sz w:val="28"/>
          <w:sz w:val="28"/>
          <w:szCs w:val="28"/>
          <w:rtl w:val="true"/>
          <w:lang w:bidi="ar-SA"/>
        </w:rPr>
        <w:t>رجع إليه في مقدار كلّ جزء و قبل ما يفسّره، حتّى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اشترى تسعة أعشارها بمائة و المقرّ له اشترى عشرها بمائة، قبل؛ لأنّه محتمل، سواء وافق ذلك القيمة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أنّه أُوصي له بمائة من ثمنها قُبل و بيعت، و دفع إليه من ثمنها المائة، حتّى لو أراد أن يعطيه المائة من غير ثمنها لم يكن له ذلك إلّا برضى المقرّ له؛ لأنّه استحقّ المائة من ثمنها فوجب البيع في حقّه إلّا أن يرضى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فسّره بأنّه دفع إليه مائة ليشتريها له ففعل، فهو إقرار له بها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فسّره بأنّها رهن عنده على المائة، ففى قبوله وجهان، من أنّ ظاهر الإقرار كون الدار محلّاً للمائة و محلّ الدين الذمّة لا المرهون و إنّما المرهون وثيقة له، ومن أنّ له تعلّقاً ظاهراً بالمرهون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إذا لم يكذّبه المقرّ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خالفه و أنكر شيئاً من تفسيره كان القول قول المقرّ مع يمينه حيث يكون التفسير محتملاً من اللفظ؛ لأنّه أعلم بما أراد، و لأصالة براءة ذمّته ممّا</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سوى ذلك</w:t>
      </w:r>
      <w:r>
        <w:rPr>
          <w:rFonts w:eastAsia="Amiri" w:cs="Amiri" w:ascii="Amiri" w:hAnsi="Amiri"/>
          <w:color w:val="111111"/>
          <w:sz w:val="28"/>
          <w:szCs w:val="28"/>
          <w:rtl w:val="true"/>
          <w:lang w:bidi="ar-SA"/>
        </w:rPr>
        <w:t xml:space="preserve">. </w:t>
      </w:r>
      <w:bookmarkStart w:id="622" w:name="pg10270_80613"/>
    </w:p>
    <w:p>
      <w:pPr>
        <w:pStyle w:val="Heading5"/>
        <w:numPr>
          <w:ilvl w:val="4"/>
          <w:numId w:val="1"/>
        </w:numPr>
        <w:rPr/>
      </w:pPr>
      <w:bookmarkStart w:id="623" w:name="__RefHeading___Toc3860424_1067777946"/>
      <w:bookmarkStart w:id="624" w:name="_Toc226"/>
      <w:bookmarkEnd w:id="622"/>
      <w:bookmarkEnd w:id="623"/>
      <w:r>
        <w:rPr>
          <w:rtl w:val="true"/>
        </w:rPr>
        <w:t>إذا قال</w:t>
      </w:r>
      <w:r>
        <w:rPr>
          <w:rtl w:val="true"/>
        </w:rPr>
        <w:t>:</w:t>
      </w:r>
      <w:r>
        <w:rPr>
          <w:rtl w:val="true"/>
        </w:rPr>
        <w:t>له في ميراث أبي مائة</w:t>
      </w:r>
      <w:bookmarkEnd w:id="624"/>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ميراث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ميراث أبي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ميراثي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ميراثي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إقراراً، و كان كالوعد بالهبة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من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 مالي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بعض الدار لايسمّى داراً، و بعض المال يسمّى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في هذه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بسبب صحيح، أو ما جرى مجراه، صحّ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ميراث أبي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ميراث أبي مائة، كان إقراراً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في</w:t>
      </w:r>
    </w:p>
    <w:p>
      <w:pPr>
        <w:pStyle w:val="BookText"/>
        <w:rPr/>
      </w:pP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كان الإقرار إخباراً عن حقّ سابق للمقرّ له لا إنشاء ملك له من حين الإقرار لم یصحّ الجمع بين كون المقرّ به ملكاً للمقرّ حين الإقرار و بين صحّة الإقرار به لغيره؛ لحصول التناقض، و مِن ثَمَّ كان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في ميراث أبي أو من ميراث أبي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إقراراً و لم يكن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في ميراثي من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إقراراً؛ لأنّ المراد بميراث أبيه ما خلّفه سواء انتقل إلى المقرّ أم لا، بخلاف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ميراثي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أضاف الميراث إلى نفسه و حكم بانتقاله إليه فلا يجامع كونه ملكاً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فيقبل في الأوّل دون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المشهور بين الأصحاب و غيرهم، و ذهب إلى ذلك الشيخ</w:t>
      </w:r>
      <w:r>
        <w:rPr>
          <w:rStyle w:val="FootnoteAnchor"/>
          <w:rtl w:val="true"/>
        </w:rPr>
        <w:footnoteReference w:id="1995"/>
      </w:r>
      <w:r>
        <w:rPr>
          <w:rFonts w:ascii="IRNazanin" w:hAnsi="IRNazanin" w:eastAsia="IRNazanin"/>
          <w:color w:val="111111"/>
          <w:sz w:val="28"/>
          <w:sz w:val="28"/>
          <w:szCs w:val="28"/>
          <w:rtl w:val="true"/>
          <w:lang w:bidi="fa-IR"/>
        </w:rPr>
        <w:t>و أتباعه</w:t>
      </w:r>
      <w:r>
        <w:rPr>
          <w:rStyle w:val="FootnoteAnchor"/>
          <w:rtl w:val="true"/>
        </w:rPr>
        <w:footnoteReference w:id="1996"/>
      </w:r>
      <w:r>
        <w:rPr>
          <w:rFonts w:ascii="Amiri" w:hAnsi="Amiri" w:eastAsia="Amiri" w:cs="Amiri"/>
          <w:color w:val="111111"/>
          <w:sz w:val="28"/>
          <w:sz w:val="28"/>
          <w:szCs w:val="28"/>
          <w:rtl w:val="true"/>
          <w:lang w:bidi="ar-SA"/>
        </w:rPr>
        <w:t>، و وافقه ابن إدريس</w:t>
      </w:r>
      <w:r>
        <w:rPr>
          <w:rStyle w:val="FootnoteAnchor"/>
          <w:rtl w:val="true"/>
        </w:rPr>
        <w:footnoteReference w:id="1997"/>
      </w:r>
      <w:r>
        <w:rPr>
          <w:rFonts w:ascii="Amiri" w:hAnsi="Amiri" w:eastAsia="Amiri" w:cs="Amiri"/>
          <w:color w:val="111111"/>
          <w:sz w:val="28"/>
          <w:sz w:val="28"/>
          <w:szCs w:val="28"/>
          <w:rtl w:val="true"/>
          <w:lang w:bidi="ar-SA"/>
        </w:rPr>
        <w:t>و المصنّف وأكثر المتأخرين</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 أن تمنع التناقض بين إضافة الميراث إلى نفسه و بين تعلّق دين الغير به، فإنّ تركة كلّ مديون مملوكة لورثته على الأصحّ، و الدين متعلّق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فالإضافة إلى نفسه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الميراث و الدار و غيرهما مبنيّة على الظاهر؛ و لهذا اشترط في صحّة الإقرار كون المقرّبه تحت يده،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ميراثي المحكوم به لي بحسب الظاهر، و داري المنسوبة إلىّ كذلك لفلان في نفس الأمر، و لاتناقض في ذلك، بل هو مؤيّد لصحّة الإقرار، و أيضاً فالإضافة تصدق بأدنى ملابسة،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المطلقات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بُيُوتِهِنَّ</w:t>
      </w:r>
      <w:r>
        <w:rPr>
          <w:rFonts w:eastAsia="Amiri" w:cs="Amiri" w:ascii="Amiri" w:hAnsi="Amiri"/>
          <w:color w:val="111111"/>
          <w:sz w:val="28"/>
          <w:szCs w:val="28"/>
          <w:rtl w:val="true"/>
          <w:lang w:bidi="ar-SA"/>
        </w:rPr>
        <w:t>»</w:t>
      </w:r>
      <w:r>
        <w:rPr>
          <w:rStyle w:val="FootnoteAnchor"/>
          <w:rtl w:val="true"/>
        </w:rPr>
        <w:footnoteReference w:id="1998"/>
      </w:r>
      <w:r>
        <w:rPr>
          <w:rFonts w:ascii="Amiri" w:hAnsi="Amiri" w:eastAsia="Amiri" w:cs="Amiri"/>
          <w:color w:val="111111"/>
          <w:sz w:val="28"/>
          <w:sz w:val="28"/>
          <w:szCs w:val="28"/>
          <w:rtl w:val="true"/>
          <w:lang w:bidi="ar-SA"/>
        </w:rPr>
        <w:t>، و المراد بيوت الأزواج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نَكْتُمُ شَهَادَةَ اللَّهِ</w:t>
      </w:r>
      <w:r>
        <w:rPr>
          <w:rFonts w:eastAsia="Amiri" w:cs="Amiri" w:ascii="Amiri" w:hAnsi="Amiri"/>
          <w:color w:val="111111"/>
          <w:sz w:val="28"/>
          <w:szCs w:val="28"/>
          <w:rtl w:val="true"/>
          <w:lang w:bidi="ar-SA"/>
        </w:rPr>
        <w:t>»</w:t>
      </w:r>
      <w:r>
        <w:rPr>
          <w:rStyle w:val="FootnoteAnchor"/>
          <w:rtl w:val="true"/>
        </w:rPr>
        <w:footnoteReference w:id="1999"/>
      </w:r>
      <w:r>
        <w:rPr>
          <w:rFonts w:ascii="Amiri" w:hAnsi="Amiri" w:eastAsia="Amiri" w:cs="Amiri"/>
          <w:color w:val="111111"/>
          <w:sz w:val="28"/>
          <w:sz w:val="28"/>
          <w:szCs w:val="28"/>
          <w:rtl w:val="true"/>
          <w:lang w:bidi="ar-SA"/>
        </w:rPr>
        <w:t>وكقوله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كوكب الخرقاء لاح بسحرة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أذاعت غزلها في الغرائب</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 xml:space="preserve">و قول أحد حاملي الخشبة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طرفك ، و غير ذلك من الاستعمالات الشائعة في اللغة</w:t>
      </w:r>
    </w:p>
    <w:p>
      <w:pPr>
        <w:pStyle w:val="BookText"/>
        <w:rPr/>
      </w:pP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أنّه مجاز لكنّه مشهور في الاستعمال يندفع به التنافي، مؤيّداً بما ذكر من الجهات المصحّحة، و من ثَمَّ ذهب جماعة من المتأخّرين إلى قبول الإقرار كذلك مطلقاً</w:t>
      </w:r>
      <w:r>
        <w:rPr>
          <w:rStyle w:val="FootnoteAnchor"/>
          <w:rtl w:val="true"/>
        </w:rPr>
        <w:footnoteReference w:id="2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العلّامة في المختلف</w:t>
      </w:r>
      <w:r>
        <w:rPr>
          <w:rStyle w:val="FootnoteAnchor"/>
          <w:rtl w:val="true"/>
        </w:rPr>
        <w:footnoteReference w:id="2002"/>
      </w:r>
      <w:r>
        <w:rPr>
          <w:rFonts w:ascii="Amiri" w:hAnsi="Amiri" w:eastAsia="Amiri" w:cs="Amiri"/>
          <w:color w:val="111111"/>
          <w:sz w:val="28"/>
          <w:sz w:val="28"/>
          <w:szCs w:val="28"/>
          <w:rtl w:val="true"/>
          <w:lang w:bidi="ar-SA"/>
        </w:rPr>
        <w:t>و الشهيد</w:t>
      </w:r>
      <w:r>
        <w:rPr>
          <w:rStyle w:val="FootnoteAnchor"/>
          <w:rtl w:val="true"/>
        </w:rPr>
        <w:footnoteReference w:id="2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اعتراف المانع بأنّه لو قال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واجب أو سبب صحيح صحّ</w:t>
      </w:r>
      <w:r>
        <w:rPr>
          <w:rStyle w:val="FootnoteAnchor"/>
          <w:rtl w:val="true"/>
        </w:rPr>
        <w:footnoteReference w:id="2004"/>
      </w:r>
      <w:r>
        <w:rPr>
          <w:rFonts w:ascii="Amiri" w:hAnsi="Amiri" w:eastAsia="Amiri" w:cs="Amiri"/>
          <w:color w:val="111111"/>
          <w:sz w:val="28"/>
          <w:sz w:val="28"/>
          <w:szCs w:val="28"/>
          <w:rtl w:val="true"/>
          <w:lang w:bidi="ar-SA"/>
        </w:rPr>
        <w:t>، فإنّه لولا صلاحية اللفظ للإقرار لما صحّ مع هذه الإضافة</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الفارق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القائلين بعدم صحّة الإقرار مع الإضافة</w:t>
      </w:r>
      <w:r>
        <w:rPr>
          <w:rStyle w:val="FootnoteAnchor"/>
          <w:rtl w:val="true"/>
        </w:rPr>
        <w:footnoteReference w:id="2005"/>
      </w:r>
      <w:r>
        <w:rPr>
          <w:rFonts w:ascii="Amiri" w:hAnsi="Amiri" w:eastAsia="Amiri" w:cs="Amiri"/>
          <w:color w:val="111111"/>
          <w:sz w:val="28"/>
          <w:sz w:val="28"/>
          <w:szCs w:val="28"/>
          <w:rtl w:val="true"/>
          <w:lang w:bidi="ar-SA"/>
        </w:rPr>
        <w:t>ينظر إلى أنّ الدار لايطلق إلّا على المجموع، 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بعض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 لأنّ </w:t>
      </w:r>
      <w:bookmarkStart w:id="625" w:name="pg10270_80615"/>
    </w:p>
    <w:p>
      <w:pPr>
        <w:pStyle w:val="Heading4"/>
        <w:numPr>
          <w:ilvl w:val="3"/>
          <w:numId w:val="1"/>
        </w:numPr>
        <w:rPr/>
      </w:pPr>
      <w:bookmarkStart w:id="626" w:name="__RefHeading___Toc3860426_1067777946"/>
      <w:bookmarkStart w:id="627" w:name="_Toc227"/>
      <w:bookmarkEnd w:id="625"/>
      <w:bookmarkEnd w:id="626"/>
      <w:r>
        <w:rPr>
          <w:rtl w:val="true"/>
        </w:rPr>
        <w:t>المقصد الثالث في الإقرار المستفاد من الجواب</w:t>
      </w:r>
      <w:r>
        <w:rPr>
          <w:rtl w:val="true"/>
        </w:rPr>
        <w:t>.</w:t>
      </w:r>
      <w:bookmarkEnd w:id="627"/>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عليك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رددتها أو قبضتها كان إقراراً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الباقي على ملكه لايسمّى داراً، بخلاف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مالي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الفاضل منه عن المائة يطلق عليه اسم المال، و كأنّه أطلق عليه الظرفيّة باعتبار كون المائة ممتزجة به أو البعضيّة</w:t>
      </w:r>
    </w:p>
    <w:p>
      <w:pPr>
        <w:pStyle w:val="BookText"/>
        <w:rPr/>
      </w:pPr>
      <w:r>
        <w:rPr>
          <w:rFonts w:ascii="Amiri" w:hAnsi="Amiri" w:eastAsia="Amiri" w:cs="Amiri"/>
          <w:color w:val="111111"/>
          <w:sz w:val="28"/>
          <w:sz w:val="28"/>
          <w:szCs w:val="28"/>
          <w:rtl w:val="true"/>
          <w:lang w:bidi="ar-SA"/>
        </w:rPr>
        <w:t>باعتبار الشركة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هذا الفرق يظهر أنّه لافرق عند هذا القائل بين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استغرق بالإقرار الجميع، فلم يبق مع الإقرار ما یصحّح الإضافة إلى نفسه فيهما، وإنّما</w:t>
      </w:r>
    </w:p>
    <w:p>
      <w:pPr>
        <w:pStyle w:val="BookText"/>
        <w:rPr/>
      </w:pPr>
      <w:r>
        <w:rPr>
          <w:rFonts w:ascii="Amiri" w:hAnsi="Amiri" w:eastAsia="Amiri" w:cs="Amiri"/>
          <w:color w:val="111111"/>
          <w:sz w:val="28"/>
          <w:sz w:val="28"/>
          <w:szCs w:val="28"/>
          <w:rtl w:val="true"/>
          <w:lang w:bidi="ar-SA"/>
        </w:rPr>
        <w:t>يفرّق بينهما حيث يقرّ ببعض الدار 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فهذا الفرق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نبّه بالجمع بين المثالين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ميراث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ميراث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بعضهم حيث فرّق بينهما 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إقراراً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محتجّاً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كون مال المقرّ ظرفاً لمال المقرّ له،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الفصل و التبعيض</w:t>
      </w:r>
      <w:r>
        <w:rPr>
          <w:rStyle w:val="FootnoteAnchor"/>
          <w:rtl w:val="true"/>
        </w:rPr>
        <w:footnoteReference w:id="2006"/>
      </w:r>
      <w:r>
        <w:rPr>
          <w:rFonts w:ascii="Amiri" w:hAnsi="Amiri" w:eastAsia="Amiri" w:cs="Amiri"/>
          <w:color w:val="111111"/>
          <w:sz w:val="28"/>
          <w:sz w:val="28"/>
          <w:szCs w:val="28"/>
          <w:rtl w:val="true"/>
          <w:lang w:bidi="ar-SA"/>
        </w:rPr>
        <w:t>، و هو ظاهر في الوعد بأنّه يقطع شيئاً من ماله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فرق 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ردّ المسألة إلى القولين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الإقرار بالمضاف إلى المقرّ مالاً و ميراثاً و غيرهما، و صحّته مطلقاً، و ما عداهما فتكلّف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قال لى عليك 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رددتها أو قبضتها كان إقراراً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فلاعترافه بوصولها إليه و دعواه ردّها، فيسمع الإقرار دون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فلأنّه لم يوجد منه صيغة التزام، و قد يذكر مثل ذلك من يستهزئ و يبالغ في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هميانك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ء ميزانك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من الألفاظ المستعملة عرفاً في التهكّم و الاستهزاء في جواب الدعوى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لم يلزمه؛ لتطرّق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بعض الألفاظ قد يكون صريحاً في التصديق، و تنضمّ إليه قرائن تصرفه عن موضوعه إلى الاستهزاء و التكذيب، من جملتها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تحريك الرأس الدالّ على شدة التعجّب و الإنكار، و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عليك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عليّ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الاستهزاء، فإنّه لايكون إقراراً بواسطة انضمام القرائن الدالّة على إرادة خلاف ظاهر اللفظ بحيث صار المتبادر ذلك فاُلحق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 أنّ القرائن المذكورة صرفته عن الحقيقة الظاهرة من مدلوله الأصلي إلى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 المجاب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عليك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خبراً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حرف تصديق، و إن كان استفهاماً محذوف الأداة فهي بعده للإثبات و الإعلام؛ لأنّ الاستفهام عن الماضي إثباته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 إن كانت لإبطال النفي إلّا أنّ الاستعمال العرفي جوّز وقوعها في جواب الخبر المثبت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الإقرار جار عليه لا على دقائق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قدّر كون القول السابق استفهاماً فقد وقع استعمالها في جوابه لغةً و إن قلّ، ومنه قول النبي صلّى الله عليه و آله و سلّم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ترضون أن تكونوا ربع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Style w:val="FootnoteAnchor"/>
          <w:rtl w:val="true"/>
        </w:rPr>
        <w:footnoteReference w:id="2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استعمالها في العرف كذلك واضح، فإنّ هذه الحروف الثلاثة تستعمل للتصديق و الموافقة من غير تفصيل</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لم يلزمه؛ لتطرّق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في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عليك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إقرار؛ لظهوره في المراد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بأنّه و إن كان ظاهراً في الإقرار به إلّا أنّه غير ظاهر في الإقرار به للمخاطب، لجواز أن يريد الإقرار به لغيره، فلايزول هذا الاحتمال إلّا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مقرّ 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قوّى في الدروس أنّه ليس بإقرار حتى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و أجيب</w:t>
      </w:r>
      <w:r>
        <w:rPr>
          <w:rStyle w:val="FootnoteAnchor"/>
          <w:rtl w:val="true"/>
        </w:rPr>
        <w:footnoteReference w:id="2009"/>
      </w:r>
      <w:r>
        <w:rPr>
          <w:rFonts w:ascii="Amiri" w:hAnsi="Amiri" w:eastAsia="Amiri" w:cs="Amiri"/>
          <w:color w:val="111111"/>
          <w:sz w:val="28"/>
          <w:sz w:val="28"/>
          <w:szCs w:val="28"/>
          <w:rtl w:val="true"/>
          <w:lang w:bidi="ar-SA"/>
        </w:rPr>
        <w:t>بأنّ المتبادر عود الضمير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ذكره المقرّ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الضمير إنّما يعود إلى الشيء المدّعى و هو الألف في المثال لا إلى نفس</w:t>
      </w:r>
    </w:p>
    <w:p>
      <w:pPr>
        <w:pStyle w:val="BookText"/>
        <w:rPr/>
      </w:pPr>
      <w:r>
        <w:rPr>
          <w:rFonts w:ascii="Amiri" w:hAnsi="Amiri" w:eastAsia="Amiri" w:cs="Amiri"/>
          <w:color w:val="111111"/>
          <w:sz w:val="28"/>
          <w:sz w:val="28"/>
          <w:szCs w:val="28"/>
          <w:rtl w:val="true"/>
          <w:lang w:bidi="ar-SA"/>
        </w:rPr>
        <w:t>الدعوى والإقرار بالمال المدّعى لاينحصر في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فيحتمل الاستقبال، فيكون وعداً،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p>
    <w:p>
      <w:pPr>
        <w:pStyle w:val="BookText"/>
        <w:rPr/>
      </w:pPr>
      <w:r>
        <w:rPr>
          <w:rFonts w:ascii="Amiri" w:hAnsi="Amiri" w:eastAsia="Amiri" w:cs="Amiri"/>
          <w:color w:val="111111"/>
          <w:sz w:val="28"/>
          <w:sz w:val="28"/>
          <w:szCs w:val="28"/>
          <w:rtl w:val="true"/>
          <w:lang w:bidi="ar-SA"/>
        </w:rPr>
        <w:t>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فلايكون إقراراً من هذا الوجه و إن ضمّ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أنّ العرف لايفهم منه إلّا الإقرار و إن احتمل ذلك من حيث اللغة، مع أنّه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أقرّ 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أيضاً</w:t>
      </w:r>
      <w:r>
        <w:rPr>
          <w:rStyle w:val="FootnoteAnchor"/>
          <w:rtl w:val="true"/>
        </w:rPr>
        <w:footnoteReference w:id="2011"/>
      </w:r>
      <w:r>
        <w:rPr>
          <w:rFonts w:ascii="Amiri" w:hAnsi="Amiri" w:eastAsia="Amiri" w:cs="Amiri"/>
          <w:color w:val="111111"/>
          <w:sz w:val="28"/>
          <w:sz w:val="28"/>
          <w:szCs w:val="28"/>
          <w:rtl w:val="true"/>
          <w:lang w:bidi="ar-SA"/>
        </w:rPr>
        <w:t>لأنّ قرينة الخصومة و توجّه الطلب يشعر بالتنجيز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أنكر ما تدّعيه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منكراً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بالعرف، و إن كان عدم الإنكار أعمّ من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اقتصر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إقراراً؛ لأنّ المقرّ به غير مذكور، فيحتمل كونه المدّعى به، و غيره بل ما ينافيه بأن يريد الإقرار ببطلان دعواه، أو يريد الإقرار بأنّ الله تعالى واحد، مضافاً إلى أصالة البراءة</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عدّه إقراراً بقرينة صدوره عقيب الدعوى، و استعماله لغةً كذلك،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أَأَقْرَرْتُمْ وَأَخَذْتُمْ عَلَى ذَلِكُمْ إِصْرِي قَالُوا أَقْرَرْنَا</w:t>
      </w:r>
      <w:r>
        <w:rPr>
          <w:rFonts w:eastAsia="Amiri" w:cs="Amiri" w:ascii="Amiri" w:hAnsi="Amiri"/>
          <w:color w:val="111111"/>
          <w:sz w:val="28"/>
          <w:szCs w:val="28"/>
          <w:rtl w:val="true"/>
          <w:lang w:bidi="ar-SA"/>
        </w:rPr>
        <w:t>»</w:t>
      </w:r>
      <w:r>
        <w:rPr>
          <w:rStyle w:val="FootnoteAnchor"/>
          <w:rtl w:val="true"/>
        </w:rPr>
        <w:footnoteReference w:id="2012"/>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فَاشْهَدُوا</w:t>
      </w:r>
      <w:r>
        <w:rPr>
          <w:rFonts w:eastAsia="Amiri" w:cs="Amiri" w:ascii="Amiri" w:hAnsi="Amiri"/>
          <w:color w:val="111111"/>
          <w:sz w:val="28"/>
          <w:szCs w:val="28"/>
          <w:rtl w:val="true"/>
          <w:lang w:bidi="ar-SA"/>
        </w:rPr>
        <w:t>»</w:t>
      </w:r>
      <w:r>
        <w:rPr>
          <w:rStyle w:val="FootnoteAnchor"/>
          <w:rtl w:val="true"/>
        </w:rPr>
        <w:footnoteReference w:id="2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لولاه لكان هذراً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بمنع القرينة مطلقاً، بل يقع كثيراً بخلافها، بل مع 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وجودها في الآية مضافاً إلى نفي احتمال الاستهزاء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لايلزم من انتفاء الإقرار انتفاء الفائدة؛ لأنّ الاستهزاء و نحوه من المقاصد فائدة مقصودة في المحاورات للعقلاء و مستعملة عرفاً، و مجرّد قيام الاحتمال يمنع لزوم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منّي أو استوهبت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فهو 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يقتضيه صدر المسألة حيث عقدها لأن يكون الإقرار مستفاداً من الجواب أن 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إقراراً للمخاطب بسبق الملك و إن كان المقرّ الآن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في المطالبة بالثمن، و فيما لو اشتمل البيع على خيار، أو ظهر بطلانه بعد ذلك بوجه آخر، أو كانت الهبة ممّا يجوز الرجوع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المصنّف المسألة كما فرضها غيره</w:t>
      </w:r>
      <w:r>
        <w:rPr>
          <w:rStyle w:val="FootnoteAnchor"/>
          <w:rtl w:val="true"/>
        </w:rPr>
        <w:footnoteReference w:id="2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إقرار يعني من المجيب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للآمر بالبيع أو الهبة كان أقعد؛</w:t>
      </w:r>
      <w:r>
        <w:rPr>
          <w:rStyle w:val="FootnoteAnchor"/>
          <w:rtl w:val="true"/>
        </w:rPr>
        <w:footnoteReference w:id="2015"/>
      </w:r>
      <w:r>
        <w:rPr>
          <w:rFonts w:ascii="Amiri" w:hAnsi="Amiri" w:eastAsia="Amiri" w:cs="Amiri"/>
          <w:color w:val="111111"/>
          <w:sz w:val="28"/>
          <w:sz w:val="28"/>
          <w:szCs w:val="28"/>
          <w:rtl w:val="true"/>
          <w:lang w:bidi="ar-SA"/>
        </w:rPr>
        <w:t>لظهور فائدة الإقرار هاهنا و ندوره فيما فرضه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في التذكرة توقّف في كون ذلك إقراراً للمخاطب بالملك، من حيث إنّه يحتمل</w:t>
      </w:r>
    </w:p>
    <w:p>
      <w:pPr>
        <w:pStyle w:val="BookText"/>
        <w:rPr/>
      </w:pPr>
      <w:r>
        <w:rPr>
          <w:rFonts w:ascii="Amiri" w:hAnsi="Amiri" w:eastAsia="Amiri" w:cs="Amiri"/>
          <w:color w:val="111111"/>
          <w:sz w:val="28"/>
          <w:sz w:val="28"/>
          <w:szCs w:val="28"/>
          <w:rtl w:val="true"/>
          <w:lang w:bidi="ar-SA"/>
        </w:rPr>
        <w:t>كونه وكيلاً في البيع و الهبة</w:t>
      </w:r>
      <w:r>
        <w:rPr>
          <w:rStyle w:val="FootnoteAnchor"/>
          <w:rtl w:val="true"/>
        </w:rPr>
        <w:footnoteReference w:id="2016"/>
      </w:r>
      <w:r>
        <w:rPr>
          <w:rFonts w:ascii="Amiri" w:hAnsi="Amiri" w:eastAsia="Amiri" w:cs="Amiri"/>
          <w:color w:val="111111"/>
          <w:sz w:val="28"/>
          <w:sz w:val="28"/>
          <w:szCs w:val="28"/>
          <w:rtl w:val="true"/>
          <w:lang w:bidi="ar-SA"/>
        </w:rPr>
        <w:t>، فالإقرار له بذلك أعمّ من كونه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 إقراره له بذلك يقتضي إقراره له باليد و هي تقتضي الملكيّة، فيكون إقراره</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بالملكية بواسطة اليد</w:t>
      </w:r>
      <w:r>
        <w:rPr>
          <w:rStyle w:val="FootnoteAnchor"/>
          <w:rtl w:val="true"/>
        </w:rPr>
        <w:footnoteReference w:id="2017"/>
      </w:r>
      <w:r>
        <w:rPr>
          <w:rFonts w:ascii="Amiri" w:hAnsi="Amiri" w:eastAsia="Amiri" w:cs="Amiri"/>
          <w:color w:val="111111"/>
          <w:sz w:val="28"/>
          <w:sz w:val="28"/>
          <w:szCs w:val="28"/>
          <w:rtl w:val="true"/>
          <w:lang w:bidi="ar-SA"/>
        </w:rPr>
        <w:t>، و ذلك كافٍ في إفادته الملك في الجملة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لي 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كان إقراراً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يكن إقراراً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تردّد، من حيث يستعمل الأمران استعمالاً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لي عليك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 إقراراً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مفيدة للإقرار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مختصّة بالنفي، و مفيدة لإبطاله، سواء كان مجرّداً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الَّذِينَ كَفَرُوا أَن لَّن يُبْعَثُوا قُلْ بَلَى وَ رَبِّي</w:t>
      </w:r>
      <w:r>
        <w:rPr>
          <w:rFonts w:eastAsia="Amiri" w:cs="Amiri" w:ascii="Amiri" w:hAnsi="Amiri"/>
          <w:color w:val="111111"/>
          <w:sz w:val="28"/>
          <w:szCs w:val="28"/>
          <w:rtl w:val="true"/>
          <w:lang w:bidi="ar-SA"/>
        </w:rPr>
        <w:t>»</w:t>
      </w:r>
      <w:r>
        <w:rPr>
          <w:rStyle w:val="FootnoteAnchor"/>
          <w:rtl w:val="true"/>
        </w:rPr>
        <w:footnoteReference w:id="2018"/>
      </w:r>
      <w:r>
        <w:rPr>
          <w:rFonts w:ascii="Amiri" w:hAnsi="Amiri" w:eastAsia="Amiri" w:cs="Amiri"/>
          <w:color w:val="111111"/>
          <w:sz w:val="28"/>
          <w:sz w:val="28"/>
          <w:szCs w:val="28"/>
          <w:rtl w:val="true"/>
          <w:lang w:bidi="ar-SA"/>
        </w:rPr>
        <w:t>أم مقروناً بالاستفهام حقيقيّاً كان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زيد 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تقريرياً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يَأْتِكُمْ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 قَالُوا بَلَى</w:t>
      </w:r>
      <w:r>
        <w:rPr>
          <w:rFonts w:eastAsia="Amiri" w:cs="Amiri" w:ascii="Amiri" w:hAnsi="Amiri"/>
          <w:color w:val="111111"/>
          <w:sz w:val="28"/>
          <w:szCs w:val="28"/>
          <w:rtl w:val="true"/>
          <w:lang w:bidi="ar-SA"/>
        </w:rPr>
        <w:t>»</w:t>
      </w:r>
      <w:r>
        <w:rPr>
          <w:rStyle w:val="FootnoteAnchor"/>
          <w:rtl w:val="true"/>
        </w:rPr>
        <w:footnoteReference w:id="20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w:t>
      </w:r>
      <w:r>
        <w:rPr>
          <w:rStyle w:val="FootnoteAnchor"/>
          <w:rtl w:val="true"/>
        </w:rPr>
        <w:footnoteReference w:id="2020"/>
      </w:r>
      <w:r>
        <w:rPr>
          <w:rFonts w:ascii="IRNazanin" w:hAnsi="IRNazanin" w:eastAsia="IRNazanin"/>
          <w:color w:val="111111"/>
          <w:sz w:val="28"/>
          <w:sz w:val="28"/>
          <w:szCs w:val="28"/>
          <w:rtl w:val="true"/>
          <w:lang w:bidi="fa-IR"/>
        </w:rPr>
        <w:t>، أجروا النفي مع التقرير مجرى النفي المجرّد في رده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كفروا</w:t>
      </w:r>
      <w:r>
        <w:rPr>
          <w:rStyle w:val="FootnoteAnchor"/>
          <w:rtl w:val="true"/>
        </w:rPr>
        <w:footnoteReference w:id="2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للمخبر بنفى أو إيجاب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تردّد في عدم إفادة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من حيث استعمالها في العرف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مقدّم على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جماعة من أهل العربيّة منهم ابن هشام أثبت ورودها كذلك لغةً، و نقله في المغني عن سيبويه،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نازع السهيلي و غيره في المحكيّ عن ابن عبّاس و غيره في الآية متمسّكين بأنّ الاستفهام التقريري خبر موجب، و لذلك منع سيبويه من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متّصلةً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أَنَا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لا تقع بعد الإيجاب، و إذا ثبت أنّها إيجاب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الإيجاب تصديق له</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استشهد على ورودها لغةً في جواب الاستفهام التقريري بقول الأنصار للنبيّ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ترون لهم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 xml:space="preserve">. </w:t>
      </w:r>
      <w:bookmarkStart w:id="628" w:name="pg10270_80620"/>
    </w:p>
    <w:p>
      <w:pPr>
        <w:pStyle w:val="Heading4"/>
        <w:numPr>
          <w:ilvl w:val="3"/>
          <w:numId w:val="1"/>
        </w:numPr>
        <w:rPr/>
      </w:pPr>
      <w:bookmarkStart w:id="629" w:name="__RefHeading___Toc3860428_1067777946"/>
      <w:bookmarkStart w:id="630" w:name="_Toc228"/>
      <w:bookmarkEnd w:id="628"/>
      <w:bookmarkEnd w:id="629"/>
      <w:r>
        <w:rPr>
          <w:rtl w:val="true"/>
        </w:rPr>
        <w:t>المقصد الرابع في صيغ الاستثناء</w:t>
      </w:r>
      <w:bookmarkEnd w:id="630"/>
    </w:p>
    <w:p>
      <w:pPr>
        <w:pStyle w:val="Heading5"/>
        <w:numPr>
          <w:ilvl w:val="4"/>
          <w:numId w:val="1"/>
        </w:numPr>
        <w:rPr/>
      </w:pPr>
      <w:bookmarkStart w:id="631" w:name="__RefHeading___Toc3860430_1067777946"/>
      <w:bookmarkStart w:id="632" w:name="_Toc229"/>
      <w:bookmarkEnd w:id="631"/>
      <w:r>
        <w:rPr>
          <w:rtl w:val="true"/>
        </w:rPr>
        <w:t>قواعد الاستثناء</w:t>
      </w:r>
      <w:bookmarkEnd w:id="632"/>
    </w:p>
    <w:p>
      <w:pPr>
        <w:pStyle w:val="Heading6"/>
        <w:numPr>
          <w:ilvl w:val="5"/>
          <w:numId w:val="1"/>
        </w:numPr>
        <w:rPr/>
      </w:pPr>
      <w:bookmarkStart w:id="633" w:name="__RefHeading___Toc3860432_1067777946"/>
      <w:bookmarkStart w:id="634" w:name="_Toc230"/>
      <w:bookmarkEnd w:id="633"/>
      <w:r>
        <w:rPr>
          <w:rtl w:val="true"/>
        </w:rPr>
        <w:t>اشارة</w:t>
      </w:r>
      <w:bookmarkEnd w:id="634"/>
    </w:p>
    <w:p>
      <w:pPr>
        <w:pStyle w:val="BookText"/>
        <w:rPr/>
      </w:pPr>
      <w:r>
        <w:rPr>
          <w:rFonts w:ascii="IRNazanin" w:hAnsi="IRNazanin" w:eastAsia="IRNazanin"/>
          <w:color w:val="111111"/>
          <w:sz w:val="28"/>
          <w:sz w:val="28"/>
          <w:szCs w:val="28"/>
          <w:rtl w:val="true"/>
          <w:lang w:bidi="fa-IR"/>
        </w:rPr>
        <w:t>و قواعده ثلاث</w:t>
      </w:r>
      <w:r>
        <w:rPr>
          <w:rFonts w:eastAsia="IRNazanin" w:cs="IRNazanin"/>
          <w:color w:val="111111"/>
          <w:sz w:val="28"/>
          <w:szCs w:val="28"/>
          <w:rtl w:val="true"/>
          <w:lang w:bidi="fa-IR"/>
        </w:rPr>
        <w:t>:</w:t>
      </w:r>
    </w:p>
    <w:p>
      <w:pPr>
        <w:pStyle w:val="Heading6"/>
        <w:numPr>
          <w:ilvl w:val="5"/>
          <w:numId w:val="1"/>
        </w:numPr>
        <w:rPr/>
      </w:pPr>
      <w:bookmarkStart w:id="635" w:name="__RefHeading___Toc3860434_1067777946"/>
      <w:bookmarkStart w:id="636" w:name="_Toc231"/>
      <w:bookmarkEnd w:id="635"/>
      <w:r>
        <w:rPr>
          <w:rtl w:val="true"/>
        </w:rPr>
        <w:t>الأولى</w:t>
      </w:r>
      <w:r>
        <w:rPr>
          <w:rtl w:val="true"/>
        </w:rPr>
        <w:t xml:space="preserve">: </w:t>
      </w:r>
      <w:r>
        <w:rPr>
          <w:rtl w:val="true"/>
        </w:rPr>
        <w:t>الاستثناء من الإثبات نفي و من النفي إثبات</w:t>
      </w:r>
      <w:bookmarkEnd w:id="636"/>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من الإثبات نفي، و من النفي إثبات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جحدر</w:t>
      </w:r>
    </w:p>
    <w:p>
      <w:pPr>
        <w:pStyle w:val="BookText"/>
        <w:rPr/>
      </w:pPr>
      <w:r>
        <w:rPr>
          <w:rFonts w:ascii="Amiri" w:hAnsi="Amiri" w:eastAsia="Amiri" w:cs="Amiri"/>
          <w:color w:val="111111"/>
          <w:sz w:val="28"/>
          <w:sz w:val="28"/>
          <w:szCs w:val="28"/>
          <w:rtl w:val="true"/>
          <w:lang w:bidi="ar-SA"/>
        </w:rPr>
        <w:t>أليس الليل يجمع أُمّ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إيّانا فذاك بنا تداني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أرى الهلال كما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يعلوها النهار كما علاني</w:t>
      </w:r>
      <w:r>
        <w:rPr>
          <w:rFonts w:eastAsia="Amiri" w:cs="Amiri" w:ascii="Amiri" w:hAnsi="Amiri"/>
          <w:color w:val="111111"/>
          <w:sz w:val="28"/>
          <w:szCs w:val="28"/>
          <w:rtl w:val="true"/>
          <w:lang w:bidi="ar-SA"/>
        </w:rPr>
        <w:t>***</w:t>
      </w:r>
      <w:r>
        <w:rPr>
          <w:rStyle w:val="FootnoteAnchor"/>
          <w:rtl w:val="true"/>
        </w:rPr>
        <w:footnoteReference w:id="2024"/>
      </w:r>
    </w:p>
    <w:p>
      <w:pPr>
        <w:pStyle w:val="BookText"/>
        <w:rPr/>
      </w:pPr>
      <w:r>
        <w:rPr>
          <w:rFonts w:ascii="Amiri" w:hAnsi="Amiri" w:eastAsia="Amiri" w:cs="Amiri"/>
          <w:color w:val="111111"/>
          <w:sz w:val="28"/>
          <w:sz w:val="28"/>
          <w:szCs w:val="28"/>
          <w:rtl w:val="true"/>
          <w:lang w:bidi="ar-SA"/>
        </w:rPr>
        <w:t>و إذا ورد ذلك لغةً و استعمل عرفاً استعمالاً شائعاً فالحكم بصحّة الإقرار به قويّ، و عليه</w:t>
      </w:r>
    </w:p>
    <w:p>
      <w:pPr>
        <w:pStyle w:val="BookText"/>
        <w:rPr/>
      </w:pPr>
      <w:r>
        <w:rPr>
          <w:rFonts w:ascii="Amiri" w:hAnsi="Amiri" w:eastAsia="Amiri" w:cs="Amiri"/>
          <w:color w:val="111111"/>
          <w:sz w:val="28"/>
          <w:sz w:val="28"/>
          <w:szCs w:val="28"/>
          <w:rtl w:val="true"/>
          <w:lang w:bidi="ar-SA"/>
        </w:rPr>
        <w:t>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 من الإثبات نفي، و من النفي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موضع وفاق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فهو أصحّ القولين للأصوليّين</w:t>
      </w:r>
      <w:r>
        <w:rPr>
          <w:rStyle w:val="FootnoteAnchor"/>
          <w:rtl w:val="true"/>
        </w:rPr>
        <w:footnoteReference w:id="2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فيه بعضهم استناداً إلى أن بين النفي و الإثبات واسطة، فلايلزم من  انتفاء النفي  إثبات الإثبات؛ لجواز التوقّف</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أجيب</w:t>
      </w:r>
      <w:r>
        <w:rPr>
          <w:rStyle w:val="FootnoteAnchor"/>
          <w:rtl w:val="true"/>
        </w:rPr>
        <w:footnoteReference w:id="2027"/>
      </w:r>
      <w:r>
        <w:rPr>
          <w:rFonts w:ascii="Amiri" w:hAnsi="Amiri" w:eastAsia="Amiri" w:cs="Amiri"/>
          <w:color w:val="111111"/>
          <w:sz w:val="28"/>
          <w:sz w:val="28"/>
          <w:szCs w:val="28"/>
          <w:rtl w:val="true"/>
          <w:lang w:bidi="ar-SA"/>
        </w:rPr>
        <w:t>، بأنّه لو كان كذلك لما أفاد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التوحيد، مع الإجماع على الاكتفاء به فيه، و قبوله في إقرار الكافر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بالمعارضة بالاستثناء من الإثبات، فإنّ دليلهم وارد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المسألة و ما بعدها في الأصول</w:t>
      </w:r>
      <w:r>
        <w:rPr>
          <w:rFonts w:eastAsia="Amiri" w:cs="Amiri" w:ascii="Amiri" w:hAnsi="Amiri"/>
          <w:color w:val="111111"/>
          <w:sz w:val="28"/>
          <w:szCs w:val="28"/>
          <w:rtl w:val="true"/>
          <w:lang w:bidi="ar-SA"/>
        </w:rPr>
        <w:t xml:space="preserve">. </w:t>
      </w:r>
      <w:bookmarkStart w:id="637" w:name="pg10270_80621"/>
    </w:p>
    <w:p>
      <w:pPr>
        <w:pStyle w:val="Heading6"/>
        <w:numPr>
          <w:ilvl w:val="5"/>
          <w:numId w:val="1"/>
        </w:numPr>
        <w:rPr/>
      </w:pPr>
      <w:bookmarkStart w:id="638" w:name="__RefHeading___Toc3860436_1067777946"/>
      <w:bookmarkStart w:id="639" w:name="_Toc232"/>
      <w:bookmarkEnd w:id="637"/>
      <w:bookmarkEnd w:id="638"/>
      <w:r>
        <w:rPr>
          <w:rtl w:val="true"/>
        </w:rPr>
        <w:t>الثانیّة</w:t>
      </w:r>
      <w:r>
        <w:rPr>
          <w:rtl w:val="true"/>
        </w:rPr>
        <w:t xml:space="preserve">: </w:t>
      </w:r>
      <w:r>
        <w:rPr>
          <w:rtl w:val="true"/>
        </w:rPr>
        <w:t>الاستثناء من الجنس جائز</w:t>
      </w:r>
      <w:bookmarkEnd w:id="639"/>
    </w:p>
    <w:p>
      <w:pPr>
        <w:pStyle w:val="BookText"/>
        <w:rPr/>
      </w:pPr>
      <w:r>
        <w:rPr>
          <w:rFonts w:ascii="IRNazanin" w:hAnsi="IRNazanin" w:eastAsia="IRNazanin"/>
          <w:color w:val="111111"/>
          <w:sz w:val="28"/>
          <w:sz w:val="28"/>
          <w:szCs w:val="28"/>
          <w:rtl w:val="true"/>
          <w:lang w:bidi="fa-IR"/>
        </w:rPr>
        <w:t>الثانیّة • الاستثناء من الجنس جائز، و من غير الجنس على 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الاستثناء من الجنس جائز، ومن غير الجنس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العلماء جواز الاستثناء من الجنس و غيره، و وقوعه في القرآن و فصيح اللغة كثير،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فِيهَا لَغْوًا إِلَّا سَلَامًا</w:t>
      </w:r>
      <w:r>
        <w:rPr>
          <w:rFonts w:eastAsia="Amiri" w:cs="Amiri" w:ascii="Amiri" w:hAnsi="Amiri"/>
          <w:color w:val="111111"/>
          <w:sz w:val="28"/>
          <w:szCs w:val="28"/>
          <w:rtl w:val="true"/>
          <w:lang w:bidi="ar-SA"/>
        </w:rPr>
        <w:t>»</w:t>
      </w:r>
      <w:r>
        <w:rPr>
          <w:rStyle w:val="FootnoteAnchor"/>
          <w:rtl w:val="true"/>
        </w:rPr>
        <w:footnoteReference w:id="202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بَيْنَكُمْ بِالْبَاطِلِ إِلَّا أَنْ تَكُونَ تِجَارَةً عَنْ تَرَاضٍ مِنْكُمْ</w:t>
      </w:r>
      <w:r>
        <w:rPr>
          <w:rFonts w:eastAsia="Amiri" w:cs="Amiri" w:ascii="Amiri" w:hAnsi="Amiri"/>
          <w:color w:val="111111"/>
          <w:sz w:val="28"/>
          <w:szCs w:val="28"/>
          <w:rtl w:val="true"/>
          <w:lang w:bidi="ar-SA"/>
        </w:rPr>
        <w:t>»</w:t>
      </w:r>
      <w:r>
        <w:rPr>
          <w:rStyle w:val="FootnoteAnchor"/>
          <w:rtl w:val="true"/>
        </w:rPr>
        <w:footnoteReference w:id="202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 إِلَّا إبليس</w:t>
      </w:r>
      <w:r>
        <w:rPr>
          <w:rFonts w:eastAsia="Amiri" w:cs="Amiri" w:ascii="Amiri" w:hAnsi="Amiri"/>
          <w:color w:val="111111"/>
          <w:sz w:val="28"/>
          <w:szCs w:val="28"/>
          <w:rtl w:val="true"/>
          <w:lang w:bidi="ar-SA"/>
        </w:rPr>
        <w:t>»</w:t>
      </w:r>
      <w:r>
        <w:rPr>
          <w:rStyle w:val="FootnoteAnchor"/>
          <w:rtl w:val="true"/>
        </w:rPr>
        <w:footnoteReference w:id="2030"/>
      </w:r>
      <w:r>
        <w:rPr>
          <w:rFonts w:ascii="Amiri" w:hAnsi="Amiri" w:eastAsia="Amiri" w:cs="Amiri"/>
          <w:color w:val="111111"/>
          <w:sz w:val="28"/>
          <w:sz w:val="28"/>
          <w:szCs w:val="28"/>
          <w:rtl w:val="true"/>
          <w:lang w:bidi="ar-SA"/>
        </w:rPr>
        <w:t>و غير ذلك</w:t>
      </w:r>
      <w:r>
        <w:rPr>
          <w:rStyle w:val="FootnoteAnchor"/>
          <w:rtl w:val="true"/>
        </w:rPr>
        <w:footnoteReference w:id="2031"/>
      </w:r>
    </w:p>
    <w:p>
      <w:pPr>
        <w:pStyle w:val="BookText"/>
        <w:rPr/>
      </w:pPr>
      <w:r>
        <w:rPr>
          <w:rFonts w:ascii="Amiri" w:hAnsi="Amiri" w:eastAsia="Amiri" w:cs="Amiri"/>
          <w:color w:val="111111"/>
          <w:sz w:val="28"/>
          <w:sz w:val="28"/>
          <w:szCs w:val="28"/>
          <w:rtl w:val="true"/>
          <w:lang w:bidi="ar-SA"/>
        </w:rPr>
        <w:t>و اختلفوا في كونه حقيقة أو مجازاً، و المحقّقون منهم</w:t>
      </w:r>
      <w:r>
        <w:rPr>
          <w:rStyle w:val="FootnoteAnchor"/>
          <w:rtl w:val="true"/>
        </w:rPr>
        <w:footnoteReference w:id="2032"/>
      </w:r>
      <w:r>
        <w:rPr>
          <w:rFonts w:ascii="Amiri" w:hAnsi="Amiri" w:eastAsia="Amiri" w:cs="Amiri"/>
          <w:color w:val="111111"/>
          <w:sz w:val="28"/>
          <w:sz w:val="28"/>
          <w:szCs w:val="28"/>
          <w:rtl w:val="true"/>
          <w:lang w:bidi="ar-SA"/>
        </w:rPr>
        <w:t>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في أنّ إطلاقه محمول على الجنس إلّا مع قيام قرينة على خلافه،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ألف إلا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بعضهم إلى أنّ 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من غير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أيضاً</w:t>
      </w:r>
      <w:r>
        <w:rPr>
          <w:rStyle w:val="FootnoteAnchor"/>
          <w:rtl w:val="true"/>
        </w:rPr>
        <w:footnoteReference w:id="2033"/>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بينهما</w:t>
      </w:r>
      <w:r>
        <w:rPr>
          <w:rStyle w:val="FootnoteAnchor"/>
          <w:rtl w:val="true"/>
        </w:rPr>
        <w:footnoteReference w:id="2034"/>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المسألة قول ثالث نادر أنّه غير جائز لا حقيقةً و لا مجازاً</w:t>
      </w:r>
      <w:r>
        <w:rPr>
          <w:rStyle w:val="FootnoteAnchor"/>
          <w:rtl w:val="true"/>
        </w:rPr>
        <w:footnoteReference w:id="2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تردّد فيه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هو الأوّل</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إطلاق الاستثناء المنقطع على كونه من غير الجنس لايخلو من مناقشة مشهورة؛ لأنّ مثل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بنوك إلّا بني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مع أن الاستثناء من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المسألة في الأصول</w:t>
      </w:r>
      <w:r>
        <w:rPr>
          <w:rFonts w:eastAsia="Amiri" w:cs="Amiri" w:ascii="Amiri" w:hAnsi="Amiri"/>
          <w:color w:val="111111"/>
          <w:sz w:val="28"/>
          <w:szCs w:val="28"/>
          <w:rtl w:val="true"/>
          <w:lang w:bidi="ar-SA"/>
        </w:rPr>
        <w:t xml:space="preserve">. </w:t>
      </w:r>
      <w:bookmarkStart w:id="640" w:name="pg10270_80622"/>
    </w:p>
    <w:p>
      <w:pPr>
        <w:pStyle w:val="Heading6"/>
        <w:numPr>
          <w:ilvl w:val="5"/>
          <w:numId w:val="1"/>
        </w:numPr>
        <w:rPr/>
      </w:pPr>
      <w:bookmarkStart w:id="641" w:name="__RefHeading___Toc3860438_1067777946"/>
      <w:bookmarkStart w:id="642" w:name="_Toc233"/>
      <w:bookmarkEnd w:id="640"/>
      <w:bookmarkEnd w:id="641"/>
      <w:r>
        <w:rPr>
          <w:rtl w:val="true"/>
        </w:rPr>
        <w:t>الثالثة</w:t>
      </w:r>
      <w:r>
        <w:rPr>
          <w:rtl w:val="true"/>
        </w:rPr>
        <w:t>:</w:t>
      </w:r>
      <w:r>
        <w:rPr>
          <w:rtl w:val="true"/>
        </w:rPr>
        <w:t>يكفي في صحّة الاستثناء بقاء بقيّة بعده</w:t>
      </w:r>
      <w:bookmarkEnd w:id="642"/>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صحّة الاستثناء أن يبقى بعد الاستثناء بقيّة، سواء كانت أقلّ أو أكثر</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3860440_1067777946"/>
      <w:bookmarkStart w:id="644" w:name="_Toc234"/>
      <w:bookmarkEnd w:id="643"/>
      <w:r>
        <w:rPr>
          <w:rtl w:val="true"/>
        </w:rPr>
        <w:t>التفريع على القاعدة الأُولى</w:t>
      </w:r>
      <w:bookmarkEnd w:id="644"/>
    </w:p>
    <w:p>
      <w:pPr>
        <w:pStyle w:val="BookText"/>
        <w:rPr/>
      </w:pPr>
      <w:r>
        <w:rPr>
          <w:rFonts w:ascii="Amiri" w:hAnsi="Amiri" w:eastAsia="Amiri" w:cs="Amiri"/>
          <w:color w:val="111111"/>
          <w:sz w:val="28"/>
          <w:sz w:val="28"/>
          <w:szCs w:val="28"/>
          <w:rtl w:val="true"/>
          <w:lang w:bidi="ar-SA"/>
        </w:rPr>
        <w:t>التفريع على القاعدة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علىّ عشرة إلّا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 بتسعة، و نفياً للدرهم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 بالعشرة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صحّة الاستثناء أن يبقى بعد الاستثناء بقيّة، سواء كانت أقلّ أو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اختاره المصنّف مذهب المحقّقين من الأصوليّين و الأكثر؛ لورود ذلك کلّه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قول بمنع استثناء النصف</w:t>
      </w:r>
      <w:r>
        <w:rPr>
          <w:rStyle w:val="FootnoteAnchor"/>
          <w:rtl w:val="true"/>
        </w:rPr>
        <w:footnoteReference w:id="2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 بمنع ما زاد عليه</w:t>
      </w:r>
      <w:r>
        <w:rPr>
          <w:rStyle w:val="FootnoteAnchor"/>
          <w:rtl w:val="true"/>
        </w:rPr>
        <w:footnoteReference w:id="2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 باشتراط بقاء كثرة تقرب</w:t>
      </w:r>
      <w:r>
        <w:rPr>
          <w:rStyle w:val="FootnoteAnchor"/>
          <w:rtl w:val="true"/>
        </w:rPr>
        <w:footnoteReference w:id="2038"/>
      </w:r>
      <w:r>
        <w:rPr>
          <w:rFonts w:ascii="IRNazanin" w:hAnsi="IRNazanin" w:eastAsia="IRNazanin"/>
          <w:color w:val="111111"/>
          <w:sz w:val="28"/>
          <w:sz w:val="28"/>
          <w:szCs w:val="28"/>
          <w:rtl w:val="true"/>
          <w:lang w:bidi="fa-IR"/>
        </w:rPr>
        <w:t>من مدلول اللفظ</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الأصحّ الجواز مطلقاً؛ لأنّ المستثنى و المستثنى منه كالشيء الواحد، فلايتفاوت الحال</w:t>
      </w:r>
    </w:p>
    <w:p>
      <w:pPr>
        <w:pStyle w:val="BookText"/>
        <w:rPr/>
      </w:pPr>
      <w:r>
        <w:rPr>
          <w:rFonts w:ascii="Amiri" w:hAnsi="Amiri" w:eastAsia="Amiri" w:cs="Amiri"/>
          <w:color w:val="111111"/>
          <w:sz w:val="28"/>
          <w:sz w:val="28"/>
          <w:szCs w:val="28"/>
          <w:rtl w:val="true"/>
          <w:lang w:bidi="ar-SA"/>
        </w:rPr>
        <w:t>فى الجواز بقلّته وكثرته، و قد وقع استثناء الأكثر في القرآن</w:t>
      </w:r>
      <w:r>
        <w:rPr>
          <w:rStyle w:val="FootnoteAnchor"/>
          <w:rtl w:val="true"/>
        </w:rPr>
        <w:footnoteReference w:id="2040"/>
      </w:r>
      <w:r>
        <w:rPr>
          <w:rFonts w:ascii="Amiri" w:hAnsi="Amiri" w:eastAsia="Amiri" w:cs="Amiri"/>
          <w:color w:val="111111"/>
          <w:sz w:val="28"/>
          <w:sz w:val="28"/>
          <w:szCs w:val="28"/>
          <w:rtl w:val="true"/>
          <w:lang w:bidi="ar-SA"/>
        </w:rPr>
        <w:t>و فصيح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درهماً، كان إقراراً بتسعة، و نفياً للدرهم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p>
    <w:p>
      <w:pPr>
        <w:pStyle w:val="BookText"/>
        <w:rPr/>
      </w:pPr>
      <w:r>
        <w:rPr>
          <w:rFonts w:ascii="Amiri" w:hAnsi="Amiri" w:eastAsia="Amiri" w:cs="Amiri"/>
          <w:color w:val="111111"/>
          <w:sz w:val="28"/>
          <w:sz w:val="28"/>
          <w:szCs w:val="28"/>
          <w:rtl w:val="true"/>
          <w:lang w:bidi="ar-SA"/>
        </w:rPr>
        <w:t>درهم كان إقراراً بالعشرة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 أنّ الاستثناء إخراج، و هو من الإثبات نفي، فقد أثبت العشرة ثمّ نفى منها الدرهم فبقي المقرّ به تسعة، و نصب المستثنى من الواجب التامّ دليل على إرادة الاستثناء</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الثاني أنّه مع الرفع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للاستثناء و إلّا لانتصب ما بعدها، </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عندي شيء إلّا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عندي عشرة إلّا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 بدرهم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إقراراً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بها و بما بعدها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العشرة مرفوعةً بالابتداء كان الدرهم صفةً للمرفوع فارتفع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عشرة موصوفة بأنّها غير درهم، فقد وصف المقرّ به و لم يستثن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صفة مؤكّدة صالحة للإسقاط؛ لأنّ كلّ عشرة فهي موصوفة بكونها غير درهم، مثلها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نَفْخَةٌ وَاحِدَةٌ</w:t>
      </w:r>
      <w:r>
        <w:rPr>
          <w:rFonts w:eastAsia="Amiri" w:cs="Amiri" w:ascii="Amiri" w:hAnsi="Amiri"/>
          <w:color w:val="111111"/>
          <w:sz w:val="28"/>
          <w:szCs w:val="28"/>
          <w:rtl w:val="true"/>
          <w:lang w:bidi="ar-SA"/>
        </w:rPr>
        <w:t>»</w:t>
      </w:r>
      <w:r>
        <w:rPr>
          <w:rStyle w:val="FootnoteAnchor"/>
          <w:rtl w:val="true"/>
        </w:rPr>
        <w:footnoteReference w:id="2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هذه المسألة تتفرّع على القاعدة الثانیّة أيضاً؛ لأنّ العشرة غير مبيّنة الجنس، لكنّه لمّا استثنى الدرهم منها، و الاستثناء إخراج ما لولاه لدخل، و كان الأصل في الاستثناء كونه من الجنس دلّ على أنّ العشرة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المنقطع حقيقة لم يكن إقراراً بتسعة، بل إن فسّر العشرة بالدراهم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عندي شيء إلّا درهم، كان إقراراً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الاستثناء من النفي إثباتاً،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عندي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ثبوت شيء في ذمّته له البتّة، 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أقرّ بالدرهم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عشرة إلّا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المستثنى من المنفيّ التامّ أن يكون مرفوعاً، كما أنّه من الموجب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رفعه دلّ على كون العشرة منفيّة، و الدرهم مستثنى منها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نصبه دلّ على كون المستثنى منه 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الصورة هنا كونه منفيّاً حمل على وجه يوجب الإيجاب، بجعل النفي داخلاً على مجموع المستثنى و المستثنى منه،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الذي هو عشرة إلّا درهماً ليس له علىّ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علىّ تسعة؛ لأنّ العشرة إلّا درهماً في قوّة تسعة، فقد نفى ثبوت التسعة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وجّهه جماعة</w:t>
      </w:r>
      <w:r>
        <w:rPr>
          <w:rStyle w:val="FootnoteAnchor"/>
          <w:rtl w:val="true"/>
        </w:rPr>
        <w:footnoteReference w:id="2042"/>
      </w:r>
      <w:r>
        <w:rPr>
          <w:rFonts w:ascii="Amiri" w:hAnsi="Amiri" w:eastAsia="Amiri" w:cs="Amiri"/>
          <w:color w:val="111111"/>
          <w:sz w:val="28"/>
          <w:sz w:val="28"/>
          <w:szCs w:val="28"/>
          <w:rtl w:val="true"/>
          <w:lang w:bidi="ar-SA"/>
        </w:rPr>
        <w:t>منهم الشهيد في شرح الإرشاد</w:t>
      </w:r>
      <w:r>
        <w:rPr>
          <w:rStyle w:val="FootnoteAnchor"/>
          <w:rtl w:val="true"/>
        </w:rPr>
        <w:footnoteReference w:id="2043"/>
      </w:r>
      <w:r>
        <w:rPr>
          <w:rFonts w:ascii="Amiri" w:hAnsi="Amiri" w:eastAsia="Amiri" w:cs="Amiri"/>
          <w:color w:val="111111"/>
          <w:sz w:val="28"/>
          <w:sz w:val="28"/>
          <w:szCs w:val="28"/>
          <w:rtl w:val="true"/>
          <w:lang w:bidi="ar-SA"/>
        </w:rPr>
        <w:t>و الشيخ عليّ في شرحه</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 بيّن؛ لأنّ المستثنى من المنفيّ التامّ يجوز رفعه و نصبه باتّفاق النحاة، و إن كان الرفع أكثر، و قد قرئ بالنصب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يَلْتَفِتْ مِنكُمْ أَحَدٌ إِلَّا أَمْرَأَتَكَ</w:t>
      </w:r>
      <w:r>
        <w:rPr>
          <w:rFonts w:eastAsia="Amiri" w:cs="Amiri" w:ascii="Amiri" w:hAnsi="Amiri"/>
          <w:color w:val="111111"/>
          <w:sz w:val="28"/>
          <w:szCs w:val="28"/>
          <w:rtl w:val="true"/>
          <w:lang w:bidi="ar-SA"/>
        </w:rPr>
        <w:t>»</w:t>
      </w:r>
      <w:r>
        <w:rPr>
          <w:rStyle w:val="FootnoteAnchor"/>
          <w:rtl w:val="true"/>
        </w:rPr>
        <w:footnoteReference w:id="2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فَعَلُوهُ إِلَّا قَلِيلٌ مِّنْهُم</w:t>
      </w:r>
      <w:r>
        <w:rPr>
          <w:rFonts w:eastAsia="Amiri" w:cs="Amiri" w:ascii="Amiri" w:hAnsi="Amiri"/>
          <w:color w:val="111111"/>
          <w:sz w:val="28"/>
          <w:szCs w:val="28"/>
          <w:rtl w:val="true"/>
          <w:lang w:bidi="ar-SA"/>
        </w:rPr>
        <w:t>»</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السديد في توجيه كونه مع الرفع إقراراً دون النصب أنّه مع الرفع يتعيّن كونه استثناء من منفيّ؛ إذ لو كان المستثنى منه موجباً لتعيّن النصب، فتعيّن أن 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النصب فيجوز كونه استثناء من منفيّ و من موجب، و تقديرهما هنا معاً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يجعله استثناءً من 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 فيكون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يجعله استثناء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النفيّ، ثمّ إدخال النفي على مجموع المستثنى والمستثنى منه، 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عليّ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احتمل اللفظ الأمرين لم يتعيّن أحدهما، و الأصل براءة الذمّة من لزوم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على هذا أن يلزمه درهم؛ لأنّ المتبادر من صيغ الاستثناء هو الأوّل، و أنّ الاستثناء من النفي إثبات، و الثاني يحتاج فهمه إلى تكلّف، خصوصاً من غير العارف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الأشهر عدم اللزوم؛ لقيام الاحتمال، و أصالة البراءة</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يجري في كلّ استثناء يكون فيه المستثنى منصوباً و المستثنى منه منفيّاً،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عليّ عشرة إلّا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المشهور لايكون إقراراً؛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 إلّا خمسة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خمسة إلّا اثنين و إلّا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إقراراً باثنين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عشرة إلّا خمسة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إقراراً بثمانیّة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الاستثناء الأخير بقدر الأوّل، رجعا جميعاً إلى المستثنى منه،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عشرة إلّا واحداً إلّا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فيسقطان من الجملة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خمسة، فيحتمل أن 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عليّ خمسة، و يحتمل لزوم خمسة؛ لأنّ الاستثناء من النفي 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وقف على الخمسة و لم يظهر فيها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رفعها فلا إشكال في لزوم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نصبها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استثناء الدرهم، فإنّ إعرابه يظهر وإن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خمسة إلّا اثنين و إلّا واحداً، كان إقراراً باثنين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في هذه المسائل و نظائرها أنّه مع تعدّد الاستثناء إن كان متعاطفاً، أو الثاني مستغرقاً لما قبله سواء ساواه أم زاد عنه، رجع الجميع إلى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الثاني أقلّ من سابقة و لم يكن معطوفاً عليه، عاد التالي إلى متلوّه لا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خمسة إلّا اثنتين و إلّا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المستثنى ثلاثة و هي منفيّة؛ لأنّ المستثنى منه مثبت، فيكون الإقرار باثنين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الثاني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عشرة إلّا واحداً إلّا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استثناءً من العشرة المثبتة، فيكون الإقرار بثمانیّة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إلّا ثلاثة إلّا أربعة فيكون الإقرار بثلاثة؛ لأنّها الباقية بعد السبعة المستثناة بالأمرين</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لم يحصل بالاستثناء المتعدّد استغراق المستثنى منه، و إلّا بطل ما يحصل به الاستغراق، كما لو قال في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عليّ عشرة إلّا ستة و إلّا أربعة، فيبطل استثناء الأخير خاصّةً؛ لأنّه يستغرق و يثبت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في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عشرة إلّا خمسة إلّا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فيبطل استثناء الخمسة الثانیّة و يكون إقراراً بخمسة وكذا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عشرة إلّا ثلاثة إلّا سبعة، فيكون إقراراً بسبعة؛ لبطلان استثناء السبعة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تعدّد و لم يتعاطف و لا استغرق التالي رجع كلّ تال إلى متلوّه، سواء كان قد ابتدأ بالنفي أم بالإثبات، و صار الاستثناء الأوّل مضادّاً للمستثنى منه في النفي و الإثبات، و ما بعده مضادّاً له،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عليّ عشرة إلّا خمسة إلّا ثلاثة فهو إقرار بثمانیّة؛ لأنّ العشرة مثبتة و الخمسة منفيّة فيبقى خمسة و الثلاثة مثبتة فتضاف إلى الخمسة الباقية يصير المقرّ به ثمانیّة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ابتدأ بالنفي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عليّ عشرة إلّا خمسة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فالإقرار باثنين؛ لأنّ الخمسة مثبتة من المنفيّ  و الثلاثة منفيّة من الخمسة فيبقى من المقرّ به اثنان و قس على هذا ما يرد عليك من الفروض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عشرة إلّا تسعة إلّا ثمانیّة إلّا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إلى الواحد لزمه خمسة؛ لأنّ</w:t>
      </w:r>
    </w:p>
    <w:p>
      <w:pPr>
        <w:pStyle w:val="BookText"/>
        <w:rPr/>
      </w:pPr>
      <w:r>
        <w:rPr>
          <w:rFonts w:ascii="IRNazanin" w:hAnsi="IRNazanin" w:eastAsia="IRNazanin"/>
          <w:color w:val="111111"/>
          <w:sz w:val="28"/>
          <w:sz w:val="28"/>
          <w:szCs w:val="28"/>
          <w:rtl w:val="true"/>
          <w:lang w:bidi="fa-IR"/>
        </w:rPr>
        <w:t>العشرة مثبتة فإذا استثنى منها تسعة كانت منفيّة فبقي من العشرة واحد، فبالاستثناء الثاني صار المثبت تسعة؛ لأنّ الثمانیّة مثبتة، و بالثالث بقي من المستثنى منه اثنان لازمان و بالرابع صار ثمانیّة، و بالخامس بقي ثلاثة، و بالسادس صار سبعة، و بالسابع بقي أربعة، و بالثامن صار ستّة، و بالتاسع بقي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الضابط أن يسقط المستثنى الأوّل من المستثنى منه، و يجبر الباقي بالثاني، و يسقط الثالث و يجبر بالرابع، و 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 طريق آخر هو أن تسقط مجموع الأفراد من مجموع الأزواج فالمقرّ به الباقي، و ذلك لأنّ الأزواج فى هذا الفرض كلّها مثبتة و الأفراد منفيّة، فيكون بمنزلة من أقرّ بمجموع الأزواج و استثنى منه مجموع الأفراد، فيكون الإقرار بما بقي من الأزواج و هو خمسة؛ لأنّ المجتمع منها ثلاثون و من الأفراد خمسة وعشرون</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 طريق ثالث، و هو أن تحطّ الأخير ممّا يليه، ثمّ باقيه ممّا يليه، و هكذا إلى الأوّل، فالمقرّ به 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أسقطت واحداً من اثنين بقي واحد، أسقطته من ثلاثة يبقى اثنان، أسقطتهما من أربعة يبقى اثنان أسقطتهما من خمسة تبقى ثلاثة، أسقطتها من ستّة تبقى ثلاثة، أسقطتها من سبعة تبقى أربعة، أسقطتها من ثمانیّة تبقى أربعة، أسقطتها من تسعة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تبقى خمسة أسقطتها من عشرة تبقى خمسة، فهو المقرّ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هنا فرضان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ذكرهما الشهيد في الشرح</w:t>
      </w:r>
      <w:r>
        <w:rPr>
          <w:rStyle w:val="FootnoteAnchor"/>
          <w:rtl w:val="true"/>
        </w:rPr>
        <w:footnoteReference w:id="2047"/>
      </w:r>
      <w:r>
        <w:rPr>
          <w:rFonts w:ascii="IRNazanin" w:hAnsi="IRNazanin" w:eastAsia="IRNazanin"/>
          <w:color w:val="111111"/>
          <w:sz w:val="28"/>
          <w:sz w:val="28"/>
          <w:szCs w:val="28"/>
          <w:rtl w:val="true"/>
          <w:lang w:bidi="fa-IR"/>
        </w:rPr>
        <w:t>و الدروس</w:t>
      </w:r>
      <w:r>
        <w:rPr>
          <w:rStyle w:val="FootnoteAnchor"/>
          <w:rtl w:val="true"/>
        </w:rPr>
        <w:footnoteReference w:id="2048"/>
      </w:r>
      <w:r>
        <w:rPr>
          <w:rFonts w:ascii="Amiri" w:hAnsi="Amiri" w:eastAsia="Amiri" w:cs="Amiri"/>
          <w:color w:val="111111"/>
          <w:sz w:val="28"/>
          <w:sz w:val="28"/>
          <w:szCs w:val="28"/>
          <w:rtl w:val="true"/>
          <w:lang w:bidi="ar-SA"/>
        </w:rPr>
        <w:t xml:space="preserve">و لايخلو حكمهما من إشكال بالنظر إلى تطبيقهما على القواعد السابقة المشهورة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تعكس الفرض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عشرة إلّا واحداً إلا اثنين إلّا ثلاثة إلّا أربعة إلى التسعة،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بالأوّل لزمه تسعة و بالثاني سبعة و بالثالث أربعة؛ لأنّ هذه الثلاثة كلّها منفيات؛ إذ ليس التالي</w:t>
      </w:r>
      <w:r>
        <w:rPr>
          <w:rStyle w:val="FootnoteAnchor"/>
          <w:rtl w:val="true"/>
        </w:rPr>
        <w:footnoteReference w:id="2049"/>
      </w:r>
      <w:r>
        <w:rPr>
          <w:rFonts w:ascii="IRNazanin" w:hAnsi="IRNazanin" w:eastAsia="IRNazanin"/>
          <w:color w:val="111111"/>
          <w:sz w:val="28"/>
          <w:sz w:val="28"/>
          <w:szCs w:val="28"/>
          <w:rtl w:val="true"/>
          <w:lang w:bidi="fa-IR"/>
        </w:rPr>
        <w:t>منها أنقص من الأوّل فصارت كجملة واحدة، فبالرابع أُثبت منها أربعة فصار المقرّ به ثمانیّة،و بالخامس بقي ثلاثة و بالسادس صار تسعة، و بالسابع بقي اثنان و بالثامن كمل عشرة، و بالتاسع</w:t>
      </w:r>
    </w:p>
    <w:p>
      <w:pPr>
        <w:pStyle w:val="BookText"/>
        <w:rPr/>
      </w:pPr>
      <w:r>
        <w:rPr>
          <w:rFonts w:ascii="Amiri" w:hAnsi="Amiri" w:eastAsia="Amiri" w:cs="Amiri"/>
          <w:color w:val="111111"/>
          <w:sz w:val="28"/>
          <w:sz w:val="28"/>
          <w:szCs w:val="28"/>
          <w:rtl w:val="true"/>
          <w:lang w:bidi="ar-SA"/>
        </w:rPr>
        <w:t>بقي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الإشكال فيه أنّ الاستثناء المستغرق لما قبله يرجع معه إلى المستثنى منه كما مرّ، و هو قاعدة متّفق عليها، و المستثنيات في هذا الفرض</w:t>
      </w:r>
      <w:r>
        <w:rPr>
          <w:rStyle w:val="FootnoteAnchor"/>
          <w:rtl w:val="true"/>
        </w:rPr>
        <w:footnoteReference w:id="2050"/>
      </w:r>
      <w:r>
        <w:rPr>
          <w:rFonts w:ascii="Amiri" w:hAnsi="Amiri" w:eastAsia="Amiri" w:cs="Amiri"/>
          <w:color w:val="111111"/>
          <w:sz w:val="28"/>
          <w:sz w:val="28"/>
          <w:szCs w:val="28"/>
          <w:rtl w:val="true"/>
          <w:lang w:bidi="ar-SA"/>
        </w:rPr>
        <w:t>كلّها على هذا النهج، و بالرابع منها و ما بعده يحصل استغراق المستثنى منه، و ذلك يقتضي بطلان الرابع و 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بجمع الثلاثة الأوّل من حيث اتّفاقها في الحكم و جعلها كاستثناء واحد، و معه یصحّ ما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إثبات ذلك لايخلو من إشكال</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طريقه على الضابط الأوّل أن يسقط المستثنى منه الأوّل و هو الثلاثة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مجموعها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المستثنى منه، و يجبر الباقي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بالرابع يصير ثمانیّة، و يسقط منها الخامس و يجبر الباقي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بالسادس يصير تسعةً ، و يسقط منها السابع و يجبر الباقي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بالثامن يصير عشرةً، يسقط منها التاسع يبقى واحد و هو المقرّ به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الثاني تسقط الأعداد المنفيّة و هي سبعة و 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الأفراد، و يضاف إليها الاثنان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المثبتة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الأزواج بإسقاطهما، و ذلك ثمانیّة و 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يبقى واحد هو المقرّ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الطريقة الثالثة فلا تأتي هنا؛ إذ لايمكن إسقاط الأخير مما يليه؛ لأنّه يزيد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الثاني بالأوّل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عشرة إلّا تسعة ، إلى الواحد ، فلمّا انتهى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اثنين إلّا ثلاثة إلى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فيه واحد أيضاً، و التقريب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ضابطه أن تضمّ الأزواج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الاثنان و الأربعة إلى الثمانیّة، و جملتها 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الثلاثين السابقة، و تجمع الأفراد إلى الأفراد تبلغ تسعاً و أربعين، فإذا أسقطتها من الخمسين بقي واحد</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هذا إنّما يتمّ إذا جعلنا جميع الأزواج مثبتة و الأفراد منفيّة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بأنّه لمّا بلغ إلى الواحد كان منفيّاً من الستّة المتخلّفة، فلمّا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مستغرقاً لما قبله و مقتضى القاعدة رجوعهما معاً إلى السابق، بل الثالث أيضاً؛ لأنّه إن استثني من الثاني أو المجتمع منه و من الأوّل استغرق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يتمّ ما ذكره إذا جعلنا جملة الأزواج مثبتة مستثنى منها، وجملة الأفراد منفيّة مستثناة،و يكون جملة الكلام بمنزلة إقرار واحد بخمسين استثنى منه تسعةً و أربعين، كما أشرنا إليه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يصير جملة الكلام في قوّة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يخرج منها تسعة، و يضمّ إليها ثمانیّة، و يخرج منها سبعة، و يضمّ إليها ستّة، إلى آخره، من غير نظر إلى استغراق التالي لمتلوّه</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لايتمشّى على القواعد المقرّرة في تعدّد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ينافي أيضاً تقريره فيما </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لفلان هذا الثوب إلّا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الدار إلّا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 إلّا هذا الفصّ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كان كالاستثناء، بل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الدار لفلان و البيت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 و الفصّ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اتّصل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بدأ الاستثناء بالواحد و ختمه بالتسعة، فإنّه جعل الثلاثة الأُولى منفيّة من حيث إنّ كلّ</w:t>
      </w:r>
    </w:p>
    <w:p>
      <w:pPr>
        <w:pStyle w:val="BookText"/>
        <w:rPr/>
      </w:pPr>
      <w:r>
        <w:rPr>
          <w:rFonts w:ascii="IRNazanin" w:hAnsi="IRNazanin" w:eastAsia="IRNazanin"/>
          <w:color w:val="111111"/>
          <w:sz w:val="28"/>
          <w:sz w:val="28"/>
          <w:szCs w:val="28"/>
          <w:rtl w:val="true"/>
          <w:lang w:bidi="fa-IR"/>
        </w:rPr>
        <w:t>واحد منها مستغرق لما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محصّل العذر في ذلك أنّ الاستثناءات المتعدّدة إذا اجتمعت من جنس واحد يضمّ بعضها إلى بعض و يخرج ما بعدها منها جمع، فإن تمّ ذلك و ما ذكرناه من مراعاة المجموع مع المجموع صحّت الفروض و نظائرها،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هذا الثوب إلّا ثلثه أو هذه الدار إلّا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الاستثناء في هذه الأشياء من الأعيان، وهو عندنا صحيح كالاستثناء من الأعداد الکلّيّة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الزيد هذه الدار إلّا هذا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القميص إلّا 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الدراهم إلّا هذا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القطيع إلّا هذه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ذلك صحّ الاستثناء؛ لوجود المقتضي، و لأنّ الکلّام كالجملة الواحدة لايتمّ إلّا بآخره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خالف في ذلك بعض الشافعيّة فمنع منه؛ استناداً إلى أنّ الاستثناء المعهود هو الاستثناء من الأعداد المطلقة دون المعيّنة</w:t>
      </w:r>
      <w:r>
        <w:rPr>
          <w:rStyle w:val="FootnoteAnchor"/>
          <w:rtl w:val="true"/>
        </w:rPr>
        <w:footnoteReference w:id="2052"/>
      </w:r>
      <w:r>
        <w:rPr>
          <w:rFonts w:ascii="Amiri" w:hAnsi="Amiri" w:eastAsia="Amiri" w:cs="Amiri"/>
          <w:color w:val="111111"/>
          <w:sz w:val="28"/>
          <w:sz w:val="28"/>
          <w:szCs w:val="28"/>
          <w:rtl w:val="true"/>
          <w:lang w:bidi="ar-SA"/>
        </w:rPr>
        <w:t>، و لأنّه إذا أقرّ بالمعيّن كان ناصّاً على ثبوت الملك فيه فيكون الاستثناء بعده رجوعاً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 تعريف الاستثناء يتناول المتنازع و النصّ على ملك المجموع ممنوع؛ لأنّ</w:t>
      </w:r>
    </w:p>
    <w:p>
      <w:pPr>
        <w:pStyle w:val="BookText"/>
        <w:rPr/>
      </w:pPr>
      <w:r>
        <w:rPr>
          <w:rFonts w:ascii="Amiri" w:hAnsi="Amiri" w:eastAsia="Amiri" w:cs="Amiri"/>
          <w:color w:val="111111"/>
          <w:sz w:val="28"/>
          <w:sz w:val="28"/>
          <w:szCs w:val="28"/>
          <w:rtl w:val="true"/>
          <w:lang w:bidi="ar-SA"/>
        </w:rPr>
        <w:t>المطلوب هو ما بعد الاستثناء، مع أنّ ما ذكره وارد في غير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لفلان و البيت لي أو الخاتم و الفصّ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إلحاق هذه الأمثلة و نظائرها بالاستثناء حقيقة أو حكماً مبنيّ على تعريف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العبيد لزيد إلّا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البيان، فإن عيّن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أنكر المقرّ له كان القول قول المقرّ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مات أحدهم و عيّن الميّت 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المنازعة، فالقول قول المقرّ مع يمينه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الاستثناء، فمن</w:t>
      </w:r>
      <w:r>
        <w:rPr>
          <w:rStyle w:val="FootnoteAnchor"/>
          <w:rtl w:val="true"/>
        </w:rPr>
        <w:footnoteReference w:id="2053"/>
      </w:r>
      <w:r>
        <w:rPr>
          <w:rFonts w:ascii="Amiri" w:hAnsi="Amiri" w:eastAsia="Amiri" w:cs="Amiri"/>
          <w:color w:val="111111"/>
          <w:sz w:val="28"/>
          <w:sz w:val="28"/>
          <w:szCs w:val="28"/>
          <w:rtl w:val="true"/>
          <w:lang w:bidi="ar-SA"/>
        </w:rPr>
        <w:t>عرّفه بأنّه إخراج ما لولاه لدخل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أخواتها فما ذكر ليس باستثناء؛ إذ لم يخرج ما أريد إخراجه بشيء من أدواته، لكنّه في حكم الاستثناء من حيث إنّ الكلام لايتمّ إلّا بآخره، و المقرّ به هو ما عدا البيت من الدار و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الأصوليّين عرّفه بأنّه الإخراج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بما كان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الإخراج؛ لتدخل فيه هذه الأمثلة و نظائرها</w:t>
      </w:r>
      <w:r>
        <w:rPr>
          <w:rStyle w:val="FootnoteAnchor"/>
          <w:rtl w:val="true"/>
        </w:rPr>
        <w:footnoteReference w:id="2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ألف و أحطّ منها مائة أو استثنيته و نحو ذلك، فيكون ذلك كلّه من أفراد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قبول الإخراج على التقديرين، إنّما الكلام في مدركه هل هو الاستثناء أو أمر آخر؟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العبيد لزيد إلّا واحداً كُلِّف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من فروع الاستثناء من المعيّن مع كون المستثنى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صحيح أيضاً، للعموم</w:t>
      </w:r>
      <w:r>
        <w:rPr>
          <w:rFonts w:eastAsia="Amiri" w:cs="Amiri" w:ascii="Amiri" w:hAnsi="Amiri"/>
          <w:color w:val="111111"/>
          <w:sz w:val="28"/>
          <w:szCs w:val="28"/>
          <w:rtl w:val="true"/>
          <w:lang w:bidi="ar-SA"/>
        </w:rPr>
        <w:t>.</w:t>
      </w:r>
      <w:r>
        <w:rPr>
          <w:rStyle w:val="FootnoteAnchor"/>
          <w:rtl w:val="true"/>
        </w:rPr>
        <w:footnoteReference w:id="2055"/>
      </w:r>
      <w:r>
        <w:rPr>
          <w:rFonts w:ascii="Amiri" w:hAnsi="Amiri" w:eastAsia="Amiri" w:cs="Amiri"/>
          <w:color w:val="111111"/>
          <w:sz w:val="28"/>
          <w:sz w:val="28"/>
          <w:szCs w:val="28"/>
          <w:rtl w:val="true"/>
          <w:lang w:bidi="ar-SA"/>
        </w:rPr>
        <w:t>و يرجع إليه في تعيين مبهم المستثنى كما يرجع إليه في مبهم الإقرار، فإذا فسّره قُبل؛ لأصالة البراءة ممّا زاد عليه، سواء عيّن الحيّ منهم أم الميّت؛ لأنّ الميّت كان داخلاً في آحادهم حين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ادّعى المقرّ له خلاف ما عيّنه فليس له سوى إحلافه على أنّ المستحقّ هو ما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 لبعض العامّة أنّه لّايقبل تفسيره بالميّت؛ للتهمة</w:t>
      </w:r>
      <w:r>
        <w:rPr>
          <w:rStyle w:val="FootnoteAnchor"/>
          <w:rtl w:val="true"/>
        </w:rPr>
        <w:footnoteReference w:id="2056"/>
      </w:r>
      <w:r>
        <w:rPr>
          <w:rFonts w:ascii="Amiri" w:hAnsi="Amiri" w:eastAsia="Amiri" w:cs="Amiri"/>
          <w:color w:val="111111"/>
          <w:sz w:val="28"/>
          <w:sz w:val="28"/>
          <w:szCs w:val="28"/>
          <w:rtl w:val="true"/>
          <w:lang w:bidi="ar-SA"/>
        </w:rPr>
        <w:t>، و ندرة هذا الاتّفاق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التفريع على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ألف إلّا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منعنا الاستثناء من غير الجنس فهو إقرار بتسعمائة و تسعة و تسعين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أجزناه كان تفسير الألف إليه، فإن فسّرها بشيء یصحّ وضع قيمة الدرهم منه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يستوعبه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يبطل الاستثناء؛ لأنّه عقّب الإقرار بما يبطله فیصحّ الإقرار و يبطل المبطل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لايبطل و يكلّف تفسيره بما يبقى منه بقيّة بعد إخراج قيمة الدراهم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ألف إلّا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إخراج قيمة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ألف إلّا درهماً، فإن منعنا من الاستثناء من غير الجنس أو قلنا إنّه مجاز لا حقيقة، وجب حمل الألف على الدراهم؛ لأنّ إخراج الدرهم منها دالّ على كونها من جنسه؛ لأنّه على هذا التقدير إخراج ما لولاه لدخل في اللفظ، فدلّ على أن الدرهم كان من أفراد الألف لولا إخراجه بالاستثناء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إنّ الاستثناء من غير الجنس حقيقة، سواء جعلناه متواطئاً أم مشتركاً، كانت بقيّة الألف محتملة؛ لكونها دراهم و غيرها، فيرجع إليه في تعيينها؛ لعدم دليل يدلّ على إرادة بعض أفراد المشترك أو المتواطئ ؛ لأنّه مشترك اشتراكاً 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فسّر بقيّة الألف بشيء كالجوز نظر في قيمتها عند الإقرار لا عند التفسير و وضع منها الدرهم المستثنى، فإن بقي من قيمته بقيّة متموّلة ليتوجّه الإقرار إليها صحّ، و إن استوعب الدرهم قيمته كان الاستثناء مستغرقاً فلايُسمع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يبطل الاستثناء حينئذٍ و يثبت الألف من ذلك الجنس الذي عيّنه، أم يبطل التفسير خاصّةً و يكلّف تفسير الألف بشيء آخر و يعتبر بما اعتبر به الأوّل؟ قولان</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 xml:space="preserve">و القول ببطلان الاستثناء لفخر المحقّقين في إيضاح الفوائد،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و الشهيد في الدروس الشرعيّة،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موسوعة الشهيد الأوّل،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والمحقّق الكركي في جامع المقاصد،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منشؤهما أنّ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ألف درهم إلّا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اعتبرنا الجنس بطل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نعتبره كلّفنا المقرّ بيان قيمة الثوب، فإن بقي بعد قيمته شيء من الألف صحّ، و إلّا كان فيه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الإقرار فى نفسه صحيح وإنّما طرأ عليه المبطل بالتفسير الذي ذكره؛ فيلغو و يبقى الإقرار مع الاستثناء موقوفاً؛ لعدم المانع من نفوذه، و أصالة صحّة إقرار العقلاء على أنفسهم</w:t>
      </w:r>
      <w:r>
        <w:rPr>
          <w:rStyle w:val="FootnoteAnchor"/>
          <w:rtl w:val="true"/>
        </w:rPr>
        <w:footnoteReference w:id="2058"/>
      </w:r>
      <w:r>
        <w:rPr>
          <w:rFonts w:ascii="Amiri" w:hAnsi="Amiri" w:eastAsia="Amiri" w:cs="Amiri"/>
          <w:color w:val="111111"/>
          <w:sz w:val="28"/>
          <w:sz w:val="28"/>
          <w:szCs w:val="28"/>
          <w:rtl w:val="true"/>
          <w:lang w:bidi="ar-SA"/>
        </w:rPr>
        <w:t>، فيرجع الأمر فيه إلى أوّله و يطالب بتفسير آخر، و هلمّ 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أنّ التفسير بيان للألف التي أقرّ بها أوّلاً مبهمةً و وقع الإقرار بها صحيحاً، فکان التفسير لها بمنزلتها، فهو وإن كان متأخّراً إلّا أنّه في قوّة المتقدّم؛ لأنّه كشف عن حقيقة ما أقرّ به أوّلاً ، لا أحدث أمراً جديداً لم يكن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متأخّر فيلغو، وإنّما المتأخّر الاستثناء و قد وقع مستغرقاً فيبطل، ويلزمه الألف المفسّرة غير مستثنى منها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يظهر أنّ بطلان الاستثناء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 له ألف درهم إلّا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ألف درهم إلّا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بالاستثناء المنقطع، فإن قلنا إنّه باطل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القول النادر</w:t>
      </w:r>
      <w:r>
        <w:rPr>
          <w:rStyle w:val="FootnoteAnchor"/>
          <w:rtl w:val="true"/>
        </w:rPr>
        <w:footnoteReference w:id="2059"/>
      </w:r>
      <w:r>
        <w:rPr>
          <w:rFonts w:ascii="Amiri" w:hAnsi="Amiri" w:eastAsia="Amiri" w:cs="Amiri"/>
          <w:color w:val="111111"/>
          <w:sz w:val="28"/>
          <w:sz w:val="28"/>
          <w:szCs w:val="28"/>
          <w:rtl w:val="true"/>
          <w:lang w:bidi="ar-SA"/>
        </w:rPr>
        <w:t>لغا الاستثناء و لزمه الألف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بأنّه جائز على وجه الحقيقة صحّ الاستثناء، و رجع إليه في بيان قيمة الثوب، و اعتبر فيها عدم الاستغراق للمستثنى منه على قاعدة الاستثناء، فإن بقي منها شيء صحّ، و إلّا ففي بطلان الاستثناء أو التفسير للقيمة الوجهان السابقان</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المنقطع مجاز فقد صرّح بإرادة المجاز، فلا إشكال في صحّته من هذا الوجه، و رجع إليه أيضاً في بيان قيمة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هل يعتبر فيها عدم استغراق الألف؟ ظاهر كلام المصنّف و كثير ذلك؛ لأنّهم بنوه على القول بصحّة الاستثناء الشامل للحقيقة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المجاز، بل هو في الثاني أظهر؛ لأنّه القول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 الاستثناء المنقطع لايقتضى الإخراج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صرّحوا به في فنّه</w:t>
      </w:r>
      <w:r>
        <w:rPr>
          <w:rStyle w:val="FootnoteAnchor"/>
          <w:rtl w:val="true"/>
        </w:rPr>
        <w:footnoteReference w:id="2060"/>
      </w:r>
      <w:r>
        <w:rPr>
          <w:rFonts w:ascii="Amiri" w:hAnsi="Amiri" w:eastAsia="Amiri" w:cs="Amiri"/>
          <w:color w:val="111111"/>
          <w:sz w:val="28"/>
          <w:sz w:val="28"/>
          <w:szCs w:val="28"/>
          <w:rtl w:val="true"/>
          <w:lang w:bidi="ar-SA"/>
        </w:rPr>
        <w:t>، فلا مانع حينئذٍ من استغراقه و يكون بمنزلة جملتين إحداهما إقرار و الأخرى إثبات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عدم ثبوت الزائد منه عن</w:t>
      </w:r>
      <w:r>
        <w:rPr>
          <w:rStyle w:val="FootnoteAnchor"/>
          <w:rtl w:val="true"/>
        </w:rPr>
        <w:footnoteReference w:id="2061"/>
      </w:r>
      <w:r>
        <w:rPr>
          <w:rFonts w:ascii="Amiri" w:hAnsi="Amiri" w:eastAsia="Amiri" w:cs="Amiri"/>
          <w:color w:val="111111"/>
          <w:sz w:val="28"/>
          <w:sz w:val="28"/>
          <w:szCs w:val="28"/>
          <w:rtl w:val="true"/>
          <w:lang w:bidi="ar-SA"/>
        </w:rPr>
        <w:t>المستثنى منه؛ لأنّ الزائد محض دعوى، و إنّما الكلام في المساوي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 ذلك يشكل باستلزامه مع الاستغراق إلغاء الإقرار، بل قد ذكر بعض الأُصوليّين و الفقهاء أنّ الاستثناء في المثال المذكور متّصل و أنّ المراد منه قيمة الثوب، فكأنّه استثنى من ألف درهم دراهم بقدر القيمة، فاعتبر فيه عدم الاستغراق كالمتّصل</w:t>
      </w:r>
      <w:r>
        <w:rPr>
          <w:rStyle w:val="FootnoteAnchor"/>
          <w:rtl w:val="true"/>
        </w:rPr>
        <w:footnoteReference w:id="2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جماعة من الأُصوليّين صرّحوا باتّفاق علماء الأمصار على صحّة الإقرار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ألف درهم إلّا ثوباً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جعلوه دليلاً على صحّة الاستثناء المنقطع</w:t>
      </w:r>
      <w:r>
        <w:rPr>
          <w:rStyle w:val="FootnoteAnchor"/>
          <w:rtl w:val="true"/>
        </w:rPr>
        <w:footnoteReference w:id="2063"/>
      </w:r>
      <w:r>
        <w:rPr>
          <w:rFonts w:ascii="Amiri" w:hAnsi="Amiri" w:eastAsia="Amiri" w:cs="Amiri"/>
          <w:color w:val="111111"/>
          <w:sz w:val="28"/>
          <w:sz w:val="28"/>
          <w:szCs w:val="28"/>
          <w:rtl w:val="true"/>
          <w:lang w:bidi="ar-SA"/>
        </w:rPr>
        <w:t xml:space="preserve">، و مقتضى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تلميذه العلّامة</w:t>
      </w:r>
      <w:r>
        <w:rPr>
          <w:rStyle w:val="FootnoteAnchor"/>
          <w:rtl w:val="true"/>
        </w:rPr>
        <w:footnoteReference w:id="2064"/>
      </w:r>
      <w:r>
        <w:rPr>
          <w:rFonts w:ascii="Amiri" w:hAnsi="Amiri" w:eastAsia="Amiri" w:cs="Amiri"/>
          <w:color w:val="111111"/>
          <w:sz w:val="28"/>
          <w:sz w:val="28"/>
          <w:szCs w:val="28"/>
          <w:rtl w:val="true"/>
          <w:lang w:bidi="ar-SA"/>
        </w:rPr>
        <w:t>بناء الجواز على الخلاف المذكور و أنّ المانع من الاستثناء المنقطع 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لايتمّ الاستدلال المذكور؛ لأنّه عين المتنازع</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أيضاً أنّه يتصوّر صحّة الإقرار بألف يستثنى منه ثوب شرعاً، بأن يكون للمقرّ له على المقرّ ألف فيدفع إليه ثوباً قضاءً و لايحاسبه عليه، فيكون قد خرج عن ذمّته من الألف مقدار قيمة الثوب، فيقرّ على هذه الصورة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كانا مجهولين كقوله له ألف إلا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تفسيرهما، وكان النظر فيهما</w:t>
      </w:r>
    </w:p>
    <w:p>
      <w:pPr>
        <w:pStyle w:val="BookText"/>
        <w:rPr/>
      </w:pPr>
      <w:r>
        <w:rPr>
          <w:rFonts w:ascii="Amiri" w:hAnsi="Amiri" w:eastAsia="Amiri" w:cs="Amiri"/>
          <w:color w:val="111111"/>
          <w:sz w:val="28"/>
          <w:sz w:val="28"/>
          <w:szCs w:val="28"/>
          <w:rtl w:val="true"/>
          <w:lang w:bidi="ar-SA"/>
        </w:rPr>
        <w:t>كما قلناه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كانا مجهولين 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ألف إلّا شيئاً، کلّف تفسيرهما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یصحّ الإقرار بالمجهول و استثناء المجهول، یصحّ الجمع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فسّرهما بجنس واحد بأن ادّعى كون الألف دراهم و الشيء عشرة منها مثلاً، فلا إشكال في القبول؛ لأنّ کلّاً</w:t>
      </w:r>
    </w:p>
    <w:p>
      <w:pPr>
        <w:pStyle w:val="BookText"/>
        <w:rPr/>
      </w:pPr>
      <w:r>
        <w:rPr>
          <w:rFonts w:ascii="Amiri" w:hAnsi="Amiri" w:eastAsia="Amiri" w:cs="Amiri"/>
          <w:color w:val="111111"/>
          <w:sz w:val="28"/>
          <w:sz w:val="28"/>
          <w:szCs w:val="28"/>
          <w:rtl w:val="true"/>
          <w:lang w:bidi="ar-SA"/>
        </w:rPr>
        <w:t>منهما مجمل يرجع إليه في بيانه، و قد أقرّ بما يقتضي كون الاستثناء متّصلاً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فسّرهما بمختلفين، بأن جعل الألف جوزاً و الشيء درهماً، بني على صحّة الاستثناء المنقطع و عدمه، فإن أبطلناه صحّ تفسير الألف، و جاء في بطلان الاستثناء أو التفسير الوجهان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صحّحناه على وجه الحقيقة صحّا معاً، و اعتبر في الدرهم عدم الاستغراق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صحّحناه على وجه المجاز احتمل قبول تفسيره به كما یصحّ لو صرّح بهما مختلفين ابتداء؛ لأنّ التفسير بيان للواقع أوّلاً لا إحداث حكم 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أنّه مع التصريح بإرادة المنفصل يقبل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يحتمل العدم؛ لأنّ الإطلاق الأوّل منزّل على الحقيقة، و إنّما يرجع إليه في تفسير المجمل بما يوافق الحقيقة لا بما يخالفها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ذهب جماعة</w:t>
      </w:r>
      <w:r>
        <w:rPr>
          <w:rStyle w:val="FootnoteAnchor"/>
          <w:rtl w:val="true"/>
        </w:rPr>
        <w:footnoteReference w:id="2065"/>
      </w:r>
      <w:r>
        <w:rPr>
          <w:rFonts w:ascii="Amiri" w:hAnsi="Amiri" w:eastAsia="Amiri" w:cs="Amiri"/>
          <w:color w:val="111111"/>
          <w:sz w:val="28"/>
          <w:sz w:val="28"/>
          <w:szCs w:val="28"/>
          <w:rtl w:val="true"/>
          <w:lang w:bidi="ar-SA"/>
        </w:rPr>
        <w:t>منهم الشهيد في الدروس</w:t>
      </w:r>
      <w:r>
        <w:rPr>
          <w:rStyle w:val="FootnoteAnchor"/>
          <w:rtl w:val="true"/>
        </w:rPr>
        <w:footnoteReference w:id="2066"/>
      </w:r>
      <w:r>
        <w:rPr>
          <w:rFonts w:ascii="Amiri" w:hAnsi="Amiri" w:eastAsia="Amiri" w:cs="Amiri"/>
          <w:color w:val="111111"/>
          <w:sz w:val="28"/>
          <w:sz w:val="28"/>
          <w:szCs w:val="28"/>
          <w:rtl w:val="true"/>
          <w:lang w:bidi="ar-SA"/>
        </w:rPr>
        <w:t>و العلّامة</w:t>
      </w:r>
      <w:r>
        <w:rPr>
          <w:rStyle w:val="FootnoteAnchor"/>
          <w:rtl w:val="true"/>
        </w:rPr>
        <w:footnoteReference w:id="2067"/>
      </w:r>
      <w:r>
        <w:rPr>
          <w:rFonts w:ascii="Amiri" w:hAnsi="Amiri" w:eastAsia="Amiri" w:cs="Amiri"/>
          <w:color w:val="111111"/>
          <w:sz w:val="28"/>
          <w:sz w:val="28"/>
          <w:szCs w:val="28"/>
          <w:rtl w:val="true"/>
          <w:lang w:bidi="ar-SA"/>
        </w:rPr>
        <w:t>إلى قبول تفسيره بالمنقطع مطلقاً مع حكمهم بأنّه مجاز، حتّى حكموا 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ألف درهم إلّا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فسّر الألف بالجوز قُبِل</w:t>
      </w:r>
      <w:r>
        <w:rPr>
          <w:rStyle w:val="FootnoteAnchor"/>
          <w:rtl w:val="true"/>
        </w:rPr>
        <w:footnoteReference w:id="2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لايخلو من نظر</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اقتصر في مسألتنا على تفسير أحدهما، فإن أبطلنا المنفصل أو جعلناه مجازاً تبعه الآخر في التفسير حملاً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أخبر بإرادة المنفصل ففي قبوله 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التفريع على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درهم إلّا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و درهم إلّا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يرجع إلى الجملتين كان إقراراً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 بدرهمين و بطل الاستثناء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لوكانا مجهولين من کلّ وجه، بأن لايذكر العدد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شيء إلّا شيئاً أو مال إلّا مالاً، رجع إليه في تفسيرهما أيضاً، و روعي في الاستغراق و الاتّصال ما قرّرناه في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اعتبر مع ذلك في الأوّل زيادته عن أقلّ متموّل ليستثني منه أقلّ متموّل تبقى منه بقية تكون متموّلة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الاستثناء مستوعب نظراً إلى صورة لفظه، فيبطل الاستثناء و يجب أقلّ متموّل</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بذاك؛ لأنّ كلّاً من المستثنى و المستثنى منه صالح للقليل و الكثير، فجاز كون الأوّل مساوياً للثاني و غير مساو، فالاستغراق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مع اتّفاقهما في الحكم بقبول أقلّ متموّل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قولنا يحتاج إلى تفسير الأمرين، و يتفرّع عليهما الجنس و الاستغراق و عدمهما، و على قوله يقتصر على تفسير الأوّل من غير نظر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 له درهم إلّا درهماً، لم يُقبل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مستغرق فيثبت الدرهم و يبطل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ادّعى الغلط و أراد استثناء غيره لم يسمع منه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درهم و درهم إلّا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الأُصوليّون في الاستثناء الواقع بعد جمل متعدّدة هل يرجع إلى الأخيرة أو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الجميع؟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أجودها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عوده إلى الأخيرة</w:t>
      </w:r>
      <w:r>
        <w:rPr>
          <w:rStyle w:val="FootnoteAnchor"/>
          <w:rtl w:val="true"/>
        </w:rPr>
        <w:footnoteReference w:id="2070"/>
      </w:r>
      <w:r>
        <w:rPr>
          <w:rFonts w:ascii="IRNazanin" w:hAnsi="IRNazanin" w:eastAsia="IRNazanin"/>
          <w:color w:val="111111"/>
          <w:sz w:val="28"/>
          <w:sz w:val="28"/>
          <w:szCs w:val="28"/>
          <w:rtl w:val="true"/>
          <w:lang w:bidi="fa-IR"/>
        </w:rPr>
        <w:t>اقتصاراً فيما خالف الأصل على موضع الضرورة، و لأنّ الظاهر أنّه لم ينتقل عن الجملة حتّى يتمّ غرضه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ينبغي تقييده بما إذا لم تدلّ القرينة على عوده إلى الجميع، كما لو كان اسم الأُولى أو حكمها مضمراً في الثانیّة، 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الفقهاء و اخلع عليهم إلّا الفسقة، أو أكرم الفقهاء و الزهاد إلّا المبتدعة، فيعود إلى الجميع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الجميع مطلقاً إلّا مع قرينة تدلّ على اختصاصه بالأخيرة؛ لاقتضاء العطف المشاركة في الحكم</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فرّع المصنّف على الخلاف ما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درهم و درهم إلّا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برجوع الاستثناء إلى الجميع صحّ و لزمه درهم؛ لأنّه حينئذٍ في قوّة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درهمان إلّا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فلايكون الاستثناء مستغرقاً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قلنا بعوده إلى الأخيرة كما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الاستثناء لاستغراقه، و لزمه درهمان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ذلك ذهب جماعة من الأصحاب منهم الشيخ</w:t>
      </w:r>
      <w:r>
        <w:rPr>
          <w:rStyle w:val="FootnoteAnchor"/>
          <w:rtl w:val="true"/>
        </w:rPr>
        <w:footnoteReference w:id="2072"/>
      </w:r>
      <w:r>
        <w:rPr>
          <w:rFonts w:ascii="Amiri" w:hAnsi="Amiri" w:eastAsia="Amiri" w:cs="Amiri"/>
          <w:color w:val="111111"/>
          <w:sz w:val="28"/>
          <w:sz w:val="28"/>
          <w:szCs w:val="28"/>
          <w:rtl w:val="true"/>
          <w:lang w:bidi="ar-SA"/>
        </w:rPr>
        <w:t>و ابن إدريس</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العلّامة في المختلف و التذكرة</w:t>
      </w:r>
      <w:r>
        <w:rPr>
          <w:rStyle w:val="FootnoteAnchor"/>
          <w:rtl w:val="true"/>
        </w:rPr>
        <w:footnoteReference w:id="2074"/>
      </w:r>
      <w:r>
        <w:rPr>
          <w:rFonts w:ascii="Amiri" w:hAnsi="Amiri" w:eastAsia="Amiri" w:cs="Amiri"/>
          <w:color w:val="111111"/>
          <w:sz w:val="28"/>
          <w:sz w:val="28"/>
          <w:szCs w:val="28"/>
          <w:rtl w:val="true"/>
          <w:lang w:bidi="ar-SA"/>
        </w:rPr>
        <w:t xml:space="preserve">إلى بطلان الاستثناء، سواء قلنا بعوده إلى الجميع أم إلى الأخيرة؛ محتجّاً بأن صحّة الاستثناء هنا تستلزم التناقض و الرجوع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الاعتراف؛ لورود الإقرار على الدرهم بلفظ يفيد النصوصيّة، فلم یصحّ إخراج أحدهما بعد أن نصّ على ثبوته، كما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زيد المسلم و عمرو المسلم و خالد المسلم إلّا زيداً، بخلاف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در همان إلّا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يكون قد تجوّز في الدرهمين فلا يكون نقضاً، كما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المسلمون إلّا زيداً؛ لأنّ لفظ الجمع و التثنیّة صالح لما عدا بعض الأفراد فجاز الاستثناء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أجيب</w:t>
      </w:r>
      <w:r>
        <w:rPr>
          <w:rStyle w:val="FootnoteAnchor"/>
          <w:rtl w:val="true"/>
        </w:rPr>
        <w:footnoteReference w:id="2075"/>
      </w:r>
      <w:r>
        <w:rPr>
          <w:rFonts w:ascii="IRNazanin" w:hAnsi="IRNazanin" w:eastAsia="IRNazanin"/>
          <w:color w:val="111111"/>
          <w:sz w:val="28"/>
          <w:sz w:val="28"/>
          <w:szCs w:val="28"/>
          <w:rtl w:val="true"/>
          <w:lang w:bidi="fa-IR"/>
        </w:rPr>
        <w:t>بأن التجوّز عن نصف الدرهم بدرهم صحيح لصحّة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درهم إلّا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فكأنّه استثنى من كلّ درهم نصفه، و نصفا درهم درهم؛ و ذلك ؛ لأنّ دلالة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مسمّاه ليست كدلالة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على مسمّاه؛ إذ لايمكن أن يراد بالاسم بعض مسمّاه، بخلاف إرادة البعض من الجميع؛ لصحّة إطلاق اسم الكلّ على الجزء مجازاً شائعاً، فلا يلزم النقض، بل غايته التجوّز في إطلاق كلّ من الدرهمين على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 بمثابة ألف التثنیّة عند النحاة و الأصوليّين، فكأنّه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در همان إلّا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الاستثناء من العين صحيح عنده مع قيام احتمال التناقض فيه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هذا الدرهم إلّا نصفه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قيل بصحّة الاستثناء المذكور و إن قلنا بعود الاستثناء إلى الجملة الأخيرة؛ لأنّ الاستثناء إنّما يختص بالأخيرة إذا لم يستغرق، و أمّا معه فيجب عوده إلى الجميع، كما يجب عوده إلى المستثنى منه لو كان مستغرقاً للاستثناء؛ نظراً إلى القرينة التي أشرنا إلى تقييد القول بعوده إلى الأخيرة بعدمها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القرينة أنّ إلغاء الاستثناء و مخالفة قوله أشدّ مخالفة للأصل من عوده إلى الجميع، فيجب صونه عن الهذريّة</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بتقييد عوده إلى الأخيرة بالقرينة إثباتاً أو نفياً قول آخر غير ما أطلقه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فالوجه صحّة الاستثناء في هذه الصورة</w:t>
      </w:r>
      <w:r>
        <w:rPr>
          <w:rFonts w:eastAsia="Amiri" w:cs="Amiri" w:ascii="Amiri" w:hAnsi="Amiri"/>
          <w:color w:val="111111"/>
          <w:sz w:val="28"/>
          <w:szCs w:val="28"/>
          <w:rtl w:val="true"/>
          <w:lang w:bidi="ar-SA"/>
        </w:rPr>
        <w:t xml:space="preserve">. </w:t>
      </w:r>
      <w:bookmarkStart w:id="645" w:name="pg10270_80638"/>
    </w:p>
    <w:p>
      <w:pPr>
        <w:pStyle w:val="Heading3"/>
        <w:numPr>
          <w:ilvl w:val="2"/>
          <w:numId w:val="1"/>
        </w:numPr>
        <w:rPr/>
      </w:pPr>
      <w:bookmarkStart w:id="646" w:name="__RefHeading___Toc3860442_1067777946"/>
      <w:bookmarkStart w:id="647" w:name="_Toc235"/>
      <w:bookmarkEnd w:id="645"/>
      <w:bookmarkEnd w:id="646"/>
      <w:r>
        <w:rPr>
          <w:rtl w:val="true"/>
        </w:rPr>
        <w:t>النظر الثاني في المقرّ</w:t>
      </w:r>
      <w:bookmarkEnd w:id="647"/>
    </w:p>
    <w:p>
      <w:pPr>
        <w:pStyle w:val="Heading4"/>
        <w:numPr>
          <w:ilvl w:val="3"/>
          <w:numId w:val="1"/>
        </w:numPr>
        <w:rPr/>
      </w:pPr>
      <w:bookmarkStart w:id="648" w:name="__RefHeading___Toc3860444_1067777946"/>
      <w:bookmarkStart w:id="649" w:name="_Toc236"/>
      <w:bookmarkEnd w:id="648"/>
      <w:r>
        <w:rPr>
          <w:rtl w:val="true"/>
        </w:rPr>
        <w:t>شروط المقرّ</w:t>
      </w:r>
      <w:bookmarkEnd w:id="649"/>
    </w:p>
    <w:p>
      <w:pPr>
        <w:pStyle w:val="BookText"/>
        <w:rPr/>
      </w:pPr>
      <w:r>
        <w:rPr>
          <w:rFonts w:ascii="Amiri" w:hAnsi="Amiri" w:eastAsia="Amiri" w:cs="Amiri"/>
          <w:color w:val="111111"/>
          <w:sz w:val="28"/>
          <w:sz w:val="28"/>
          <w:szCs w:val="28"/>
          <w:rtl w:val="true"/>
          <w:lang w:bidi="ar-SA"/>
        </w:rPr>
        <w:t xml:space="preserve">و لابدّ أن يكون مکلّفاً، حرّاً، مختاراً، جائز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لاتعتبر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فالصبيّ لايقبل إقراره و لو كان بإذن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أقرّ بما له أن يفعله كالوصيّة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3860446_1067777946"/>
      <w:bookmarkStart w:id="651" w:name="_Toc237"/>
      <w:bookmarkEnd w:id="650"/>
      <w:r>
        <w:rPr>
          <w:rtl w:val="true"/>
        </w:rPr>
        <w:t>إقرار المجنون و المكرَه و السكران و المحجور عليه للسفه</w:t>
      </w:r>
      <w:bookmarkEnd w:id="6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أقرّ المجنون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المكره و السكران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لاتعتبر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بذلك على خلاف الشيخ حيث حكم بالحجر على غير العدل في التصرّفات الماليّة المقتضي لعدم نفوذ إقراره بها</w:t>
      </w:r>
      <w:r>
        <w:rPr>
          <w:rStyle w:val="FootnoteAnchor"/>
          <w:rtl w:val="true"/>
        </w:rPr>
        <w:footnoteReference w:id="2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البحث فيه في بابه</w:t>
      </w:r>
      <w:r>
        <w:rPr>
          <w:rStyle w:val="FootnoteAnchor"/>
          <w:rtl w:val="true"/>
        </w:rPr>
        <w:footnoteReference w:id="2078"/>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فالصبيّ لايقبل إقراره و لو كان بإذن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أقرّ بما له أن يفعله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بإذن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بعض العامّة حيث ذهب إلى نفوذ إقراره بإذن</w:t>
      </w:r>
    </w:p>
    <w:p>
      <w:pPr>
        <w:pStyle w:val="BookText"/>
        <w:rPr/>
      </w:pPr>
      <w:r>
        <w:rPr>
          <w:rFonts w:ascii="Amiri" w:hAnsi="Amiri" w:eastAsia="Amiri" w:cs="Amiri"/>
          <w:color w:val="111111"/>
          <w:sz w:val="28"/>
          <w:sz w:val="28"/>
          <w:szCs w:val="28"/>
          <w:rtl w:val="true"/>
          <w:lang w:bidi="ar-SA"/>
        </w:rPr>
        <w:t>الوليّ</w:t>
      </w:r>
      <w:r>
        <w:rPr>
          <w:rStyle w:val="FootnoteAnchor"/>
          <w:rtl w:val="true"/>
        </w:rPr>
        <w:footnoteReference w:id="2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جوّزنا وصيّته في المعروف جوّزنا إقراره بها؛ لأنّ من ملك شيئاً ملك الإقرار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الإقرار بالوصيّة في معنى الوصيّة به ثانياً فينفذ</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أقرّ المجنون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المكره و السكران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المحجور عليه للسفه فإن أقرّ بمال لم يُقبل، و يقبل فيما عداه كالخلع و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أقرّ بسرقة قُبل في الحدّ لا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المجنون بين كونه مطلقاً أو يأخذه أدواراً في وقت 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 السكران، سواء شرب المسكر مختاراً أم لا، خلافاً لابن الجنيد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سكره إن كان من شرب محرّم اختار شربه أُلزم بإقراره، كما يلزم بقضاء الصلاة</w:t>
      </w:r>
      <w:r>
        <w:rPr>
          <w:rStyle w:val="FootnoteAnchor"/>
          <w:rtl w:val="true"/>
        </w:rPr>
        <w:footnoteReference w:id="2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القضاء و نفوذ الإقرار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فرق في المكره بين من ضرب حتّى اُلجئ إلى الإقرار، و بين من هُدِّد عليه بإيقاع</w:t>
      </w:r>
    </w:p>
    <w:p>
      <w:pPr>
        <w:pStyle w:val="BookText"/>
        <w:rPr/>
      </w:pPr>
      <w:r>
        <w:rPr>
          <w:rFonts w:ascii="IRNazanin" w:hAnsi="IRNazanin" w:eastAsia="IRNazanin"/>
          <w:color w:val="111111"/>
          <w:sz w:val="28"/>
          <w:sz w:val="28"/>
          <w:szCs w:val="28"/>
          <w:rtl w:val="true"/>
          <w:lang w:bidi="fa-IR"/>
        </w:rPr>
        <w:t>مکروه به لا يليق بمثله تحمّله عادةً من ضرب و شتم و أخذ مال و 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المحجور عليه للسفه فإن أقرّ بمال 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السفيه محجور عليه في المال خاصّةً، فلاينفذ إقراره فيه، و ينفذ في غيره كالحدّ و القصاص؛ لانتفاء التهمة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فكّ الحجر عنه لايلزمه ما أقرّ به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بحسب الباطن فيما بينه و بين الله تعالى فيلزمه التخلّص ممّا لزمه منه، كما لو كان قد لزمه بغير اختيار صاحبه بأن أتلف عليه ما يضمن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قد حصل في يده باختيار صاحبه حال الحجر كالقرض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لايلزمه؛ لأنّ الحجر منع من معاملته فصار كالصبيّ</w:t>
      </w:r>
      <w:r>
        <w:rPr>
          <w:rStyle w:val="FootnoteAnchor"/>
          <w:rtl w:val="true"/>
        </w:rPr>
        <w:footnoteReference w:id="2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الضمان إن باشر إتلافه كالصبيّ</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إقراره حال الحجر مشتملاً على أمرين يلزمه أحدهما دون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الحدّ دون المال؛ لوجود المقتضي للنفوذ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لايقدح تبعّض الإقرار؛ إذ لا ملازمة بين الحدّ و ضمان المال، فقد يجتمعان و قد يوجد ضمان المال دون الحدّ كما لو شهد به رجل و امرأتان أو أقرّ به مرّةً واحدةً، و قد ينعكس كما هنا</w:t>
      </w:r>
      <w:r>
        <w:rPr>
          <w:rFonts w:eastAsia="Amiri" w:cs="Amiri" w:ascii="Amiri" w:hAnsi="Amiri"/>
          <w:color w:val="111111"/>
          <w:sz w:val="28"/>
          <w:szCs w:val="28"/>
          <w:rtl w:val="true"/>
          <w:lang w:bidi="ar-SA"/>
        </w:rPr>
        <w:t xml:space="preserve">. </w:t>
      </w:r>
      <w:bookmarkStart w:id="652" w:name="pg10270_80640"/>
    </w:p>
    <w:p>
      <w:pPr>
        <w:pStyle w:val="Heading4"/>
        <w:numPr>
          <w:ilvl w:val="3"/>
          <w:numId w:val="1"/>
        </w:numPr>
        <w:rPr/>
      </w:pPr>
      <w:bookmarkStart w:id="653" w:name="__RefHeading___Toc3860448_1067777946"/>
      <w:bookmarkStart w:id="654" w:name="_Toc238"/>
      <w:bookmarkEnd w:id="652"/>
      <w:bookmarkEnd w:id="653"/>
      <w:r>
        <w:rPr>
          <w:rtl w:val="true"/>
        </w:rPr>
        <w:t>إقرار المملوك</w:t>
      </w:r>
      <w:bookmarkEnd w:id="6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يُقبل إقرار المملوك بمال و لا حدٍّ و لا جنايةٍ توجب أرشاً أو قصاصاً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أقرّ بمالٍ تُبعَ به إذا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لايقبل إقرار المملوك بمال و لا حدٍّ و لا 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بين علمائنا في عدم قبول إقرار العبد بمال و لا بغيره و إن كان بالغاً عاقلاً؛ لأنّه مال لغيره، فإقراره على نفسه إقرار على مولاه، و هو غيره، و إقرار الشخص على غيره غير 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في ذلك بعض العامّة، فقيل إقراره بالحدّ و القصاص في النفس و الطرف دون</w:t>
      </w:r>
    </w:p>
    <w:p>
      <w:pPr>
        <w:pStyle w:val="BookText"/>
        <w:rPr/>
      </w:pPr>
      <w:r>
        <w:rPr>
          <w:rFonts w:ascii="IRNazanin" w:hAnsi="IRNazanin" w:eastAsia="IRNazanin"/>
          <w:color w:val="111111"/>
          <w:sz w:val="28"/>
          <w:sz w:val="28"/>
          <w:szCs w:val="28"/>
          <w:rtl w:val="true"/>
          <w:lang w:bidi="fa-IR"/>
        </w:rPr>
        <w:t>المال</w:t>
      </w:r>
      <w:r>
        <w:rPr>
          <w:rStyle w:val="FootnoteAnchor"/>
          <w:rtl w:val="true"/>
        </w:rPr>
        <w:footnoteReference w:id="2082"/>
      </w:r>
      <w:r>
        <w:rPr>
          <w:rFonts w:ascii="IRNazanin" w:hAnsi="IRNazanin" w:eastAsia="IRNazanin"/>
          <w:color w:val="111111"/>
          <w:sz w:val="28"/>
          <w:sz w:val="28"/>
          <w:szCs w:val="28"/>
          <w:rtl w:val="true"/>
          <w:lang w:bidi="fa-IR"/>
        </w:rPr>
        <w:t>استناداً إلى أن عليّاً علیه السلام قطع عبداً بإقراره</w:t>
      </w:r>
      <w:r>
        <w:rPr>
          <w:rStyle w:val="FootnoteAnchor"/>
          <w:rtl w:val="true"/>
        </w:rPr>
        <w:footnoteReference w:id="2083"/>
      </w:r>
      <w:r>
        <w:rPr>
          <w:rFonts w:ascii="Amiri" w:hAnsi="Amiri" w:eastAsia="Amiri" w:cs="Amiri"/>
          <w:color w:val="111111"/>
          <w:sz w:val="28"/>
          <w:sz w:val="28"/>
          <w:szCs w:val="28"/>
          <w:rtl w:val="true"/>
          <w:lang w:bidi="ar-SA"/>
        </w:rPr>
        <w:t>، و لقبول البيّنة عليه فالإقرار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بمنع استناد القطع إلى إقراره، فجاز أن يكون اقترن بتصديق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الإقرار و البيّنة ما أشرنا إليه من تعلّق الإقرار بغيره المانع من نفوذه، بخلاف البيّنة</w:t>
      </w:r>
      <w:r>
        <w:rPr>
          <w:rStyle w:val="FootnoteAnchor"/>
          <w:rtl w:val="true"/>
        </w:rPr>
        <w:footnoteReference w:id="2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نفوذ إقراره مع تصديق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أقرّ بمال، فإن صدّقه المولى و كان عين المال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كالسرقة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إلى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تالفة أو لم يصدّق المولى أو كانت مستندة إلى جناية أو إتلاف مال، تعلّق بذمّته يتبع به بعد العتق؛ لأنّ ما يفعله العبد بدون إذن المولى لايلزم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لايقبل إقرار المملوك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نفوذه</w:t>
      </w:r>
      <w:r>
        <w:rPr>
          <w:rStyle w:val="FootnoteAnchor"/>
          <w:rtl w:val="true"/>
        </w:rPr>
        <w:footnoteReference w:id="2085"/>
      </w:r>
      <w:r>
        <w:rPr>
          <w:rFonts w:ascii="Amiri" w:hAnsi="Amiri" w:eastAsia="Amiri" w:cs="Amiri"/>
          <w:color w:val="111111"/>
          <w:sz w:val="28"/>
          <w:sz w:val="28"/>
          <w:szCs w:val="28"/>
          <w:rtl w:val="true"/>
          <w:lang w:bidi="ar-SA"/>
        </w:rPr>
        <w:t xml:space="preserve">معجّلاً لا عدمه مطلقاً؛ لئلا ينافي 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 به إذا أُعتق</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المملوك و المحجور عليه للسفه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نفذ بعد العتق و لم يقع لاغياً بخلاف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المملوك كامل في نفسه معتبر القول لبلوغه و رشده، و إنّما منع من نفوذ إقراره حقّ المولى، فإذا زال المانع عمل السبب عمله، بخلاف السفيه، فإن عبارته في المال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مأذوناً في التجارة فأقرّ بما يتعلّق بها قُبِل؛ لأنّه يملك التصرّف فيملك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يؤخذ ما أقرّ به ممّا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أكثر لم يضمنه مولاه، و تُبعَ به إذا اعتق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مسلوبة شرعاً بالأصل؛ لقصوره كالصبيّ و المجنون، فلاينفذ في ثاني الحال كما لاينفذ إقرارهما بعد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مأذوناً في التجارة فأقرّ بما يتعلّق بها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قبل إقرار المأذون في التجارة؛ لأنّ تصرّفه نافذ فيما أذن له فيه منها، فينفذ إقراره بما يتعلّق بها؛ لأنّ من ملك شيئاً ملك الإقرار به، و لأنّه لولاه لزم الإضرار و انصراف الناس عن مداينة العبيد فيختلّ نظام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التذكرة استشكل القبول</w:t>
      </w:r>
      <w:r>
        <w:rPr>
          <w:rStyle w:val="FootnoteAnchor"/>
          <w:rtl w:val="true"/>
        </w:rPr>
        <w:footnoteReference w:id="2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عذره واضح؛ لعموم الحجر على المملوك</w:t>
      </w:r>
      <w:r>
        <w:rPr>
          <w:rStyle w:val="FootnoteAnchor"/>
          <w:rtl w:val="true"/>
        </w:rPr>
        <w:footnoteReference w:id="2087"/>
      </w:r>
      <w:r>
        <w:rPr>
          <w:rFonts w:ascii="Amiri" w:hAnsi="Amiri" w:eastAsia="Amiri" w:cs="Amiri"/>
          <w:color w:val="111111"/>
          <w:sz w:val="28"/>
          <w:sz w:val="28"/>
          <w:szCs w:val="28"/>
          <w:rtl w:val="true"/>
          <w:lang w:bidi="ar-SA"/>
        </w:rPr>
        <w:t>إلّا ما دلّ عليه الإذن وهو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الاستدانة من لوازمها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افتقارها إليها في بعض الموارد فلايدلّ على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سلّمت فاللزوم</w:t>
      </w:r>
      <w:r>
        <w:rPr>
          <w:rStyle w:val="FootnoteAnchor"/>
          <w:rtl w:val="true"/>
        </w:rPr>
        <w:footnoteReference w:id="2088"/>
      </w:r>
      <w:r>
        <w:rPr>
          <w:rFonts w:ascii="Amiri" w:hAnsi="Amiri" w:eastAsia="Amiri" w:cs="Amiri"/>
          <w:color w:val="111111"/>
          <w:sz w:val="28"/>
          <w:sz w:val="28"/>
          <w:szCs w:val="28"/>
          <w:rtl w:val="true"/>
          <w:lang w:bidi="ar-SA"/>
        </w:rPr>
        <w:t>غير بيّن، فلايدلّ الإذن فيها على الإذن فيها بالالتزام، و ظاهر انتفاء دلالتي المطابقة و التضمّن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المشهور من نفوذ إقراره فيها إنّما ينفذ في مقدار ما بيده، فلو كان أكثر لم يضمنه المولى، و تبع به بعد العتق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احترز بإقراره بما يتعلّق بها عمّا لو أقرّ المأذون بغصب أو إتلاف أو دين لايتعلّق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فيه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في نفوذه وقوع الإقرار حالة الإذن، أم ينفذ فيه و إن وقع الإقرار بعد زواله؟</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أظهرهما الأوّل، كما لو أقرّ الوليّ بتصرّف في مال المولّى عليه بعد زوال الولاية</w:t>
      </w:r>
      <w:r>
        <w:rPr>
          <w:rFonts w:eastAsia="Amiri" w:cs="Amiri" w:ascii="Amiri" w:hAnsi="Amiri"/>
          <w:color w:val="111111"/>
          <w:sz w:val="28"/>
          <w:szCs w:val="28"/>
          <w:rtl w:val="true"/>
          <w:lang w:bidi="ar-SA"/>
        </w:rPr>
        <w:t xml:space="preserve">. </w:t>
      </w:r>
      <w:bookmarkStart w:id="655" w:name="pg10270_80642"/>
    </w:p>
    <w:p>
      <w:pPr>
        <w:pStyle w:val="Heading4"/>
        <w:numPr>
          <w:ilvl w:val="3"/>
          <w:numId w:val="1"/>
        </w:numPr>
        <w:rPr/>
      </w:pPr>
      <w:bookmarkStart w:id="656" w:name="__RefHeading___Toc3860450_1067777946"/>
      <w:bookmarkStart w:id="657" w:name="_Toc239"/>
      <w:bookmarkEnd w:id="655"/>
      <w:bookmarkEnd w:id="656"/>
      <w:r>
        <w:rPr>
          <w:rtl w:val="true"/>
        </w:rPr>
        <w:t>إقرار المفلَّس</w:t>
      </w:r>
      <w:bookmarkEnd w:id="6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يُقبل إقرار المفلَّس و هل يشارك المقرّر له الغرماء أو يأخذ حقّه من الفاضل ؟ فيه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 وصيّة المريض فى الثلث و إن لم يجز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إقراره للوارث و الأجنبيّ مع التهمة، على أظهر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المأذون بالدين و لم يبيّن سببه لم ينفذ، إلّا أن يسنده إلى الوجه الموجب لقبول إقراره عملاً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يقبل إقرار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إقرار المفلّس إمّا أن يكون بدين سابق على الفلس أو بعده، أو بعين من أعيان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لاإشكال في نفوذ إقراره في الجملة؛ 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2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الإقرار كالإنشاء؛ لأنّ المقصود من الحجر إلغاء التصرّف، و الإنشاء تصرّف جديد بخلاف الإقرار فإنّه إخبار عن تصرّفات سابقة، فإذا أخبر بسبقها على الحجر لم يكن متعلّقا بها، و إن كانت بعده لم ينفذ، فهي نافذة في الجملة، بمعنى أنّ الإقرار لايقع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يشارك المقرّ له الغرماء أو يقدّم عليهم لو كان الإقرار بعين؟ فيه خلاف، منشؤه سبق تعلّق حقّهم بماله، فصار إقراره كإقرار الراهن بتعلّق حقّ الغير بالعين المرهونة، و من أنّ الإقرار كالبيّنة، و هي توجب تقديم حقّ من أُقيمت له بعين و مشاركته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عدم النفوذ في حقّ الغرماء مطلقاً، بل إن كان الإقرار بدين و فضل عن الغرماء شيء من ماله أُخذ منه، و إلّا انتظر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بعين، فإن فضلت دفعت إلى المقرّ له، وإلّا لزمه مثلها أو قيمتها لأدائها عن دينه بأمر الشارع، فيلزمه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البحث في هذه المسألة مستوفى في باب الفلس</w:t>
      </w:r>
      <w:r>
        <w:rPr>
          <w:rStyle w:val="FootnoteAnchor"/>
          <w:rtl w:val="true"/>
        </w:rPr>
        <w:footnoteReference w:id="2090"/>
      </w:r>
      <w:r>
        <w:rPr>
          <w:rFonts w:ascii="Amiri" w:hAnsi="Amiri" w:eastAsia="Amiri" w:cs="Amiri"/>
          <w:color w:val="111111"/>
          <w:sz w:val="28"/>
          <w:sz w:val="28"/>
          <w:szCs w:val="28"/>
          <w:rtl w:val="true"/>
          <w:lang w:bidi="ar-SA"/>
        </w:rPr>
        <w:t>، ولكنّه أعادها لمناسبة المقام</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3860452_1067777946"/>
      <w:bookmarkStart w:id="659" w:name="_Toc240"/>
      <w:bookmarkEnd w:id="658"/>
      <w:r>
        <w:rPr>
          <w:rtl w:val="true"/>
        </w:rPr>
        <w:t>إقرار المریض بالوصيّة</w:t>
      </w:r>
      <w:bookmarkEnd w:id="659"/>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تقبل وصيّة المريض في الثلث وإن لم يجز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تقدّم البحث في أن وصيّة المريض من الثلث</w:t>
      </w:r>
      <w:r>
        <w:rPr>
          <w:rStyle w:val="FootnoteAnchor"/>
          <w:rtl w:val="true"/>
        </w:rPr>
        <w:footnoteReference w:id="2091"/>
      </w:r>
      <w:r>
        <w:rPr>
          <w:rFonts w:ascii="Amiri" w:hAnsi="Amiri" w:eastAsia="Amiri" w:cs="Amiri"/>
          <w:color w:val="111111"/>
          <w:sz w:val="28"/>
          <w:sz w:val="28"/>
          <w:szCs w:val="28"/>
          <w:rtl w:val="true"/>
          <w:lang w:bidi="ar-SA"/>
        </w:rPr>
        <w:t>، و لا دخل له بهذا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إقراره إذا مات في مرضه، و قد اختلف الأصحاب فيه بسبب اختلاف الأخبار ظاهراً،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ينفذ من الأصل مطلقاً</w:t>
      </w:r>
      <w:r>
        <w:rPr>
          <w:rStyle w:val="FootnoteAnchor"/>
          <w:rtl w:val="true"/>
        </w:rPr>
        <w:footnoteReference w:id="2092"/>
      </w: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w:t>
      </w:r>
      <w:r>
        <w:rPr>
          <w:rStyle w:val="FootnoteAnchor"/>
          <w:rtl w:val="true"/>
        </w:rPr>
        <w:footnoteReference w:id="2093"/>
      </w:r>
      <w:r>
        <w:rPr>
          <w:rFonts w:ascii="Amiri" w:hAnsi="Amiri" w:eastAsia="Amiri" w:cs="Amiri"/>
          <w:color w:val="111111"/>
          <w:sz w:val="28"/>
          <w:sz w:val="28"/>
          <w:szCs w:val="28"/>
          <w:rtl w:val="true"/>
          <w:lang w:bidi="ar-SA"/>
        </w:rPr>
        <w:t>، و لأنّه لم يفوّت الوارث شيئاً في المرض، وإنّما أخبر بما هو حقّ عليه في حال الصحّة؛ لأنّ هذا هو الفرض، إذ لو أقرّ بفعل ما يتوقّف على الثلث فى المرض كالهبة فلا إشكال في كونه من الثلث، و لأنّ المريض قد يريد إبراء ذمّته من حقّ الوارث و الأجنبي فلايمكن التوصّل إليه إلّا بالإقرار، فلو لم يقبل منه بقيت ذمّته مشغولةً، و بقى المقرّ له ممنوعاً من حقّه و كلاهما مفسدة فاقتضت الحكمة قبول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وقيّده جماعة</w:t>
      </w:r>
      <w:r>
        <w:rPr>
          <w:rStyle w:val="FootnoteAnchor"/>
          <w:rtl w:val="true"/>
        </w:rPr>
        <w:footnoteReference w:id="2094"/>
      </w:r>
      <w:r>
        <w:rPr>
          <w:rFonts w:ascii="Amiri" w:hAnsi="Amiri" w:eastAsia="Amiri" w:cs="Amiri"/>
          <w:color w:val="111111"/>
          <w:sz w:val="28"/>
          <w:sz w:val="28"/>
          <w:szCs w:val="28"/>
          <w:rtl w:val="true"/>
          <w:lang w:bidi="ar-SA"/>
        </w:rPr>
        <w:t>، منهم الشيخان</w:t>
      </w:r>
      <w:r>
        <w:rPr>
          <w:rStyle w:val="FootnoteAnchor"/>
          <w:rtl w:val="true"/>
        </w:rPr>
        <w:footnoteReference w:id="2095"/>
      </w:r>
      <w:r>
        <w:rPr>
          <w:rFonts w:ascii="Amiri" w:hAnsi="Amiri" w:eastAsia="Amiri" w:cs="Amiri"/>
          <w:color w:val="111111"/>
          <w:sz w:val="28"/>
          <w:sz w:val="28"/>
          <w:szCs w:val="28"/>
          <w:rtl w:val="true"/>
          <w:lang w:bidi="ar-SA"/>
        </w:rPr>
        <w:t>و المصنّف و الأكثر بما إذا لم يكن متّهماً، و إلّا كان من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يدلّ على حكم الوارث صحيحة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أوصى لبعض ورثته أنّ له عليه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الميّت مرضيّاً فأعطه الذي أوصى له</w:t>
      </w:r>
      <w:r>
        <w:rPr>
          <w:rFonts w:eastAsia="IRNazanin" w:cs="IRNazanin"/>
          <w:color w:val="111111"/>
          <w:sz w:val="28"/>
          <w:szCs w:val="28"/>
          <w:rtl w:val="true"/>
          <w:lang w:bidi="fa-IR"/>
        </w:rPr>
        <w:t>»</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حكم الأجنبي صحيحة العلاء بيّاع السابري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استودعت رجلاً مالاً؛ فلمّا حضرها الموت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المال الذي دفعته إليك لفلانة و ماتت المرأة، فأتى أولياؤها الرجل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لصاحبتنا مال لانراه إلّا عندك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قبلك شيء، أ يحلف لهم؟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مأمونةً عنده فليحلف، و إن كانت متّهمةً عنده فلايحلف، و يضع الأمر على ما كان، فإنّما لها من مالها ثلثه</w:t>
      </w:r>
      <w:r>
        <w:rPr>
          <w:rFonts w:eastAsia="Amiri" w:cs="Amiri" w:ascii="Amiri" w:hAnsi="Amiri"/>
          <w:color w:val="111111"/>
          <w:sz w:val="28"/>
          <w:szCs w:val="28"/>
          <w:rtl w:val="true"/>
          <w:lang w:bidi="ar-SA"/>
        </w:rPr>
        <w:t>»</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المصنّف في النافع إلى أنّ إقراره للأجنبي من الأصل مع عدم التّهمة، و أمّا إقراره للوارث فمن الثلث على التقديرين</w:t>
      </w:r>
      <w:r>
        <w:rPr>
          <w:rStyle w:val="FootnoteAnchor"/>
          <w:rtl w:val="true"/>
        </w:rPr>
        <w:footnoteReference w:id="2098"/>
      </w:r>
      <w:r>
        <w:rPr>
          <w:rFonts w:ascii="IRNazanin" w:hAnsi="IRNazanin" w:eastAsia="IRNazanin"/>
          <w:color w:val="111111"/>
          <w:sz w:val="28"/>
          <w:sz w:val="28"/>
          <w:szCs w:val="28"/>
          <w:rtl w:val="true"/>
          <w:lang w:bidi="fa-IR"/>
        </w:rPr>
        <w:t>لصحيحة إسماعيل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أقرّ لوارث له و هو مريض بدین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يجوز عليه إذا أقرّ به دون الثلث</w:t>
      </w:r>
      <w:r>
        <w:rPr>
          <w:rFonts w:eastAsia="IRNazanin" w:cs="IRNazanin"/>
          <w:color w:val="111111"/>
          <w:sz w:val="28"/>
          <w:szCs w:val="28"/>
          <w:rtl w:val="true"/>
          <w:lang w:bidi="fa-IR"/>
        </w:rPr>
        <w:t>»</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يكون مذهبه في هذا الكتاب كذلك، بجعل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في إقراره للأجنبي القريب إليه دون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التفصيل فيهما، و حمل الرواية الدالّة على اعتبار الثلث على حالة التهمة، أو أنّ المراد نفوذه كذلك بغير قيد، و هو لاينافي توقّف غيره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ظاهرها غير مراد؛ لأنّه اعتبر نقصان المقرّ به عن الثلث و ليس ذلك شرطاً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بالتهمة هنا الظنّ المستند إلى القرائن الحاليّة أو المقاليّة الدالّة على أنّ المقرّ لم يقصد الإخبار بالحقّ، وإنّما قصد تخصيص المقرّ له أو منع الوارث عن حقّه أو بعضه و التبرّع به للغير؛ فلذلك جرى مجرى الوصيّة في نفوذه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قوّى في التذكرة اعتبار العدالة في المريض، وجعلها هي الدافعة للتهمة</w:t>
      </w:r>
      <w:r>
        <w:rPr>
          <w:rStyle w:val="FootnoteAnchor"/>
          <w:rtl w:val="true"/>
        </w:rPr>
        <w:footnoteReference w:id="2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فهمه من رواية منصور بن حازم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الميّت مرضيّاً</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حمل التهمة على معناها لغةً و عرفاً، و الرواية لاتنافي ذلك، و لأنّ التهمة بهذا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ويقبل الإقرار بالمبهم ويلزم المقرّ بيانه، فإن امتنع حُبسَ و ضُيِّقَ عليه حتّى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تفسّر جُعلتَ ناكلاً، فإن أصرّ أحلف المقرّ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 قد تجامع العدالة؛لأن مناطها الظنّ بما ذكر و هو لايرفع العدالة المبنیّة</w:t>
      </w:r>
      <w:r>
        <w:rPr>
          <w:rStyle w:val="FootnoteAnchor"/>
          <w:rtl w:val="true"/>
        </w:rPr>
        <w:footnoteReference w:id="2101"/>
      </w:r>
      <w:r>
        <w:rPr>
          <w:rFonts w:ascii="Amiri" w:hAnsi="Amiri" w:eastAsia="Amiri" w:cs="Amiri"/>
          <w:color w:val="111111"/>
          <w:sz w:val="28"/>
          <w:sz w:val="28"/>
          <w:szCs w:val="28"/>
          <w:rtl w:val="true"/>
          <w:lang w:bidi="ar-SA"/>
        </w:rPr>
        <w:t>على الظاهر التي لاتزول بالظنّ، و قد تنتفي عن غير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الأخبار ما يدلّ صريحاً على أنّ المراد بها ما ذكرناه</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كان المعتبر فيها ذلك فلايتوقّف الإقرار على الثلث إلّا مع ظهورها فيه، و مع الشكّ يرجع إلى أصالة عدمها، و أصالة صحّة إخبار المسلم، و عموم جواز إقرار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 في التذكرة على ذلك مع اشتراط العدالة؛ مستدلّاً بأصالة ثقة المسلم و عدالته</w:t>
      </w:r>
      <w:r>
        <w:rPr>
          <w:rStyle w:val="FootnoteAnchor"/>
          <w:rtl w:val="true"/>
        </w:rPr>
        <w:footnoteReference w:id="2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الاستدلال غريب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ادّعاها الوارث على المقرّ له فالقول قول المقرّ له مع يمينه، و يحلف على عدم العلم بها لا على العلم بعدمها؛ لأنّه حلف على نفي 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الحكم للمقرّ له بالحقّ مجرّد الإقرار، مع ظهور المانع من صحّته، و إن لم يعلم صحّة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يقبل الإقرار بالمبهم و يلزم المقرّ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الإقرار بالمبهم مقبول</w:t>
      </w:r>
      <w:r>
        <w:rPr>
          <w:rStyle w:val="FootnoteAnchor"/>
          <w:rtl w:val="true"/>
        </w:rPr>
        <w:footnoteReference w:id="2104"/>
      </w:r>
      <w:r>
        <w:rPr>
          <w:rFonts w:ascii="Amiri" w:hAnsi="Amiri" w:eastAsia="Amiri" w:cs="Amiri"/>
          <w:color w:val="111111"/>
          <w:sz w:val="28"/>
          <w:sz w:val="28"/>
          <w:szCs w:val="28"/>
          <w:rtl w:val="true"/>
          <w:lang w:bidi="ar-SA"/>
        </w:rPr>
        <w:t>لأنّ الإقرار إخبار عن حقّ سابق، و الخبر قد يقع عن الشيء إجمالاً كما يقع تفصيلاً، و لأنّ المقرّ قد يكون في ذمّته حقّ لايعلم قدره، فلابدّ له من طريق موصول إلى التخلّص منه، و مبدؤه الإقرار ليقع الصلح بعد ذلك بما يتّفقان عليه، بخلاف الإنشاء، فإنّه لا ضرورة فيه إلى تحمّل الجهالة و الغرر، مع كونه هو السبب الموجب لثبوت الحقّ</w:t>
      </w:r>
      <w:r>
        <w:rPr>
          <w:rFonts w:eastAsia="Amiri" w:cs="Amiri" w:ascii="Amiri" w:hAnsi="Amiri"/>
          <w:color w:val="111111"/>
          <w:sz w:val="28"/>
          <w:szCs w:val="28"/>
          <w:rtl w:val="true"/>
          <w:lang w:bidi="ar-SA"/>
        </w:rPr>
        <w:t xml:space="preserve">. </w:t>
      </w:r>
      <w:bookmarkStart w:id="660" w:name="pg10270_80646"/>
    </w:p>
    <w:p>
      <w:pPr>
        <w:pStyle w:val="Heading4"/>
        <w:numPr>
          <w:ilvl w:val="3"/>
          <w:numId w:val="1"/>
        </w:numPr>
        <w:rPr/>
      </w:pPr>
      <w:bookmarkStart w:id="661" w:name="__RefHeading___Toc3860454_1067777946"/>
      <w:bookmarkStart w:id="662" w:name="_Toc241"/>
      <w:bookmarkEnd w:id="660"/>
      <w:bookmarkEnd w:id="661"/>
      <w:r>
        <w:rPr>
          <w:rtl w:val="true"/>
        </w:rPr>
        <w:t>إقرار الصبيّ بالبلوغ</w:t>
      </w:r>
      <w:bookmarkEnd w:id="6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يُقبل إقرار الصبيّ بالبلوغ، حتّى يبلغ الحدّ الذي يحتمل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يلزم المقرّ بالبيان، فإن كان عالماً بقدره و فسّره على الوجه الذي قرّرناه سابقاً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امتنع من التفسير مع قدرته عليه فالأظهر أنه يحبس حتى يفسّر؛ لأنّ البيان واجب عليه، فإذا امتنع منه حبس عليه كما يحبس على الامتناع من أداء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لايحبس بل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تفسّر جعلت ناكلاً، فإن أصرّ على عدم التفسير احلف المقرّ له على ما يدّعيه</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وقع الإقرار المبهم عقيب دعوى معيّنة، بأن ادّعى أنّ له عليه ألفاً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علىّ و أمّا إذا أقرّ ابتداء و المقرّ له لايعلم المقدار و إنّما استفاد الحقّ من الإقرار لم يتمّ ما ذكره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لايتمّ ما ذكره المصنّف على تقدير جهلهما بالحقّ، بأن قال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بالمقدار و إنّما أعلم به إجمالاً، و قال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به أيضاً، فلايتّجه الحبس و لا حلف المقرّ له، بل لا طريق حينئذٍ إلّا الصلح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أنّه مع عدم دعوى الجهل بالمقدار و الوصف يحبس إلى أن يبيّن؛ لأنّه مقرّ بالحقّ فلا وجه لجعله ناكلاً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لايقبل إقرار الصبيّ بالبلوغ، حتّى يبلغ الحدّ الذي يحتمل البلوغ</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اللعان أنّ الحدّ الذي يمكن فيه البلوغ بلوغ عشر سنين</w:t>
      </w:r>
      <w:r>
        <w:rPr>
          <w:rStyle w:val="FootnoteAnchor"/>
          <w:rtl w:val="true"/>
        </w:rPr>
        <w:footnoteReference w:id="2106"/>
      </w:r>
      <w:r>
        <w:rPr>
          <w:rFonts w:ascii="Amiri" w:hAnsi="Amiri" w:eastAsia="Amiri" w:cs="Amiri"/>
          <w:color w:val="111111"/>
          <w:sz w:val="28"/>
          <w:sz w:val="28"/>
          <w:szCs w:val="28"/>
          <w:rtl w:val="true"/>
          <w:lang w:bidi="ar-SA"/>
        </w:rPr>
        <w:t>، فيقبل حينئذٍ إقراره بالبلوغ إن فسّره بخروج المنيّ، أما إذا فسّره بالإنبات لم يُقبل؛ لإمكان العلم به بالمشاهدة؛ لأنّ محلّه ليس من العورة، و على تقدير كونه منها فهو مستثنى للضرورة كاستثناء رؤية الطبيب، بل للشهادة على الزنى على ما تقدّم</w:t>
      </w:r>
      <w:r>
        <w:rPr>
          <w:rStyle w:val="FootnoteAnchor"/>
          <w:rtl w:val="true"/>
        </w:rPr>
        <w:footnoteReference w:id="2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فسّره بالسنّ و كان محتملاً فإطلاق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العبارة يقتضي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قيّده في التذكرة بما إذا كان غريباً أو خامل الذكر</w:t>
      </w:r>
      <w:r>
        <w:rPr>
          <w:rStyle w:val="FootnoteAnchor"/>
          <w:rtl w:val="true"/>
        </w:rPr>
        <w:footnoteReference w:id="2108"/>
      </w:r>
      <w:r>
        <w:rPr>
          <w:rFonts w:ascii="Amiri" w:hAnsi="Amiri" w:eastAsia="Amiri" w:cs="Amiri"/>
          <w:color w:val="111111"/>
          <w:sz w:val="28"/>
          <w:sz w:val="28"/>
          <w:szCs w:val="28"/>
          <w:rtl w:val="true"/>
          <w:lang w:bidi="ar-SA"/>
        </w:rPr>
        <w:t>لعسر إقامة البيّنة عليه كالمنيّ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أنّه لايقبل بدون البيّنة مطلقاً؛ لإمكان إقامتها عليه في جنس المدّعى، و لاينظر إلى حال المدّعي و عجزه مع كون الجنس في ذاته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كلام المصنّف على دعوى البلوغ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قبوله أنّ طريقه ممّا يرجع إليه فيه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متّجه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الحقيقة دعوى الصبيّ البلوغ بالاحتلام و غيره أو مطلقاً ليس إقراراً؛ لأنّ الإقرار إخبار عن ثبوت حقّ عليه للغير، و نفس البلوغ ليس كذلك، و لهذا يطالب مدّعي البلوغ بالسنّ بالبيّنة، و اختلفوا في تحليف مدّعيه بالاحتلام و المقرّ لايکلّف البيّنة و لا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يتضمّن الإقرار من حيث إنّه يستلزم الاعتراف بالحقوق المنوطة بالبلوغ، و ذلك لايقتضي كونه نفسه إقراراً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فإنّه على تقدير قبول قوله يحكم ببلوغه سابقاً على قوله فلايكون إقراره إقرار الصبيّ إلّا من حيث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الأمر هنا أسهل؛ لجواز وصفه بالصبا من هذا الوجه، فإنّه حال الإقرار كان محكوماً بصباه، وإنّما كشف تمام إقراره عن عدم صباه، و ذلك حكم متأخّر عن حالة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دعوى الصبيّة البلوغ بالحيض كدعوى الصبيّ الاحتلام، و بالسنّ و الإنبات يستويان، لكنّ إنّما تظهر فائدة دعواها الحيض مع الجهل بسنّها ؛ إذ لو علم لم يعتبر بالدم المتقدّم على سنّ البلوغ، كما لا احتياج إلى المتأخّر عنه</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لايتوقف ثبوت الاحتلام و الحيض على اليمين على الأصحّ و إلّا دار؛ لأنّ صحّة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اليمين مشروطة بكون الحالف بالغاً؛ لرفع القلم عن الصبيّ</w:t>
      </w:r>
      <w:r>
        <w:rPr>
          <w:rStyle w:val="FootnoteAnchor"/>
          <w:rtl w:val="true"/>
        </w:rPr>
        <w:footnoteReference w:id="2109"/>
      </w:r>
      <w:r>
        <w:rPr>
          <w:rFonts w:ascii="Amiri" w:hAnsi="Amiri" w:eastAsia="Amiri" w:cs="Amiri"/>
          <w:color w:val="111111"/>
          <w:sz w:val="28"/>
          <w:sz w:val="28"/>
          <w:szCs w:val="28"/>
          <w:rtl w:val="true"/>
          <w:lang w:bidi="ar-SA"/>
        </w:rPr>
        <w:t>، فيتوقّف على الحكم بالبلوغ، فلو توقّف الحكم بالبلوغ على اليمين لزم توقّف كلّ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في الدروس بجواز كون اليمين موقوفة على إمكان بلوغه، و الموقوف على يمينه هو وقوع بلوغه، فتغايرت الجهة</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يضعّف بأنّ إمكان البلوغ غير كافٍ في اعتبار أقوال الصبيّ و أفعاله، فلابدّ في الحكم بصحّته من العلم بالبلوغ كنظائره من الأحكام المترتّبة عليه، و يعود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الاكتفاء في اليمين بإمكان البلوغ فهو عين المتنازع و محلّ المنع</w:t>
      </w:r>
      <w:r>
        <w:rPr>
          <w:rFonts w:eastAsia="Amiri" w:cs="Amiri" w:ascii="Amiri" w:hAnsi="Amiri"/>
          <w:color w:val="111111"/>
          <w:sz w:val="28"/>
          <w:szCs w:val="28"/>
          <w:rtl w:val="true"/>
          <w:lang w:bidi="ar-SA"/>
        </w:rPr>
        <w:t xml:space="preserve">. </w:t>
      </w:r>
      <w:bookmarkStart w:id="663" w:name="pg10270_80649"/>
    </w:p>
    <w:p>
      <w:pPr>
        <w:pStyle w:val="Heading3"/>
        <w:numPr>
          <w:ilvl w:val="2"/>
          <w:numId w:val="1"/>
        </w:numPr>
        <w:rPr/>
      </w:pPr>
      <w:bookmarkStart w:id="664" w:name="__RefHeading___Toc3860456_1067777946"/>
      <w:bookmarkStart w:id="665" w:name="_Toc242"/>
      <w:bookmarkEnd w:id="663"/>
      <w:bookmarkEnd w:id="664"/>
      <w:r>
        <w:rPr>
          <w:rtl w:val="true"/>
        </w:rPr>
        <w:t>النظر الثالث في المقرّ له</w:t>
      </w:r>
      <w:bookmarkEnd w:id="665"/>
    </w:p>
    <w:p>
      <w:pPr>
        <w:pStyle w:val="Heading4"/>
        <w:numPr>
          <w:ilvl w:val="3"/>
          <w:numId w:val="1"/>
        </w:numPr>
        <w:rPr/>
      </w:pPr>
      <w:bookmarkStart w:id="666" w:name="__RefHeading___Toc3860458_1067777946"/>
      <w:bookmarkStart w:id="667" w:name="_Toc243"/>
      <w:bookmarkEnd w:id="666"/>
      <w:r>
        <w:rPr>
          <w:rtl w:val="true"/>
        </w:rPr>
        <w:t>شروط المقرّ له</w:t>
      </w:r>
      <w:bookmarkEnd w:id="6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له أهليّة التملّك، فلو أقرّ لبهيمة 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بسببها صحّ، و يكون الإقرار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إشكال؛ إذ قد يجب بسببها مالاً يستحقه المالك، كأُروش الجنايات على سائقها أو راكبها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يكون له أهليّة التملّك، فلو أقرّ لبهيمة 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بكونه إقراراً للمالك على تقدير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بسبب الدابّة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تنزيلاً للسبب على الغالب من استئجارها أو غصبها ، و ضمان أجرتها و منافعها ، فيكون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ذلك من حيث إن السبب أعمّ ممّا ذكر، و منه ما يقتضي كونه للمالك كما ذكر، و منه ما يقتضي كونه لغيره، كأرش الجناية اللازم لسائقها أو راكبها إذا وقعت الجناية من الدابّة، فلايتعيّن حمل العامّ على الخاصّ من غير قرينة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الأغلبية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لاتقتضي الاختصاص في الوجه الغالب كغيره من الأقارير المحتملة لوجوه يغلب بعضها، مع أنّه يرجع إلى المقرّ في تعيينها، ويقبل ما يعيّنه و إن كان نادراً</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الرجوع إلى المقرّ في تعيين السبب و العمل بما يقتضيه من كونه للمالك أو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بسببها لمالكها أو لزيد</w:t>
      </w:r>
      <w:r>
        <w:rPr>
          <w:rFonts w:eastAsia="Amiri" w:cs="Amiri" w:ascii="Amiri" w:hAnsi="Amiri"/>
          <w:color w:val="111111"/>
          <w:sz w:val="28"/>
          <w:szCs w:val="28"/>
          <w:rtl w:val="true"/>
          <w:lang w:bidi="ar-SA"/>
        </w:rPr>
        <w:t xml:space="preserve">. </w:t>
      </w:r>
      <w:bookmarkStart w:id="668" w:name="pg10270_80650"/>
    </w:p>
    <w:p>
      <w:pPr>
        <w:pStyle w:val="BookText"/>
        <w:rPr/>
      </w:pPr>
      <w:bookmarkEnd w:id="6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أقرّ لعبد صحّ، ويكون المقرّ به لمولاه؛ لأنّ للعبد أهليّة التصرّف</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3860460_1067777946"/>
      <w:bookmarkStart w:id="670" w:name="_Toc244"/>
      <w:bookmarkEnd w:id="669"/>
      <w:r>
        <w:rPr>
          <w:rtl w:val="true"/>
        </w:rPr>
        <w:t>الإقرار للحمل</w:t>
      </w:r>
      <w:bookmarkEnd w:id="670"/>
    </w:p>
    <w:p>
      <w:pPr>
        <w:pStyle w:val="BookText"/>
        <w:rPr/>
      </w:pPr>
      <w:r>
        <w:rPr>
          <w:rFonts w:ascii="Amiri" w:hAnsi="Amiri" w:eastAsia="Amiri" w:cs="Amiri"/>
          <w:color w:val="111111"/>
          <w:sz w:val="28"/>
          <w:sz w:val="28"/>
          <w:szCs w:val="28"/>
          <w:rtl w:val="true"/>
          <w:lang w:bidi="ar-SA"/>
        </w:rPr>
        <w:t>و لو أقرّ لحمل صحّ، سواء أطلق أو بيّن سبباً محتملاً، كالإرث أو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نسب الإقرار إلى السبب الباطل كالجناية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الصحّة؛ نظراً إلى مبدا الإقرار، و إلغاءً لما يبطله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أقرّ لعبد صحّ ويكون المقرّ به لمولاه؛ لأنّ للعبد أهليّة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للعبد أهليّة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الفرق بينه وبين البهيمة مع اشتراكهما في عدم الملك، بأنّ للعبد أهليّة التصرّف بالمعاملة و الإقراض و الاقتراض و الهبة وسائر الإنشاءات بإذن المولى، فأمكن لذلك نسبة المقرّ به إليه و إن كان ملكه للمولى، و الإسناد إليه لذلك إسناد مجازي إلّا أنّه شهير في الاستعمال شائع في العرف، بخلاف البهيمة؛ فإنّ أهليّتها للملك و نسبته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الجناية و نحوها من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مجازاً أيضاً إلّا أنّه بعيد خفيّ المعنى ؛ فلذا لم يحمل الإطلاق عليه، و صحّ مع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أقرّ لحمل صحّ سواء أطلق أو بيّن سبباً محتملاً، كالإرث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أقرّ لحمل فإمّا أن يعزيه إلى سبب يفيد الحمل الملك، أو إلى سبب لايفيده له شرعاً، أو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لا إشكال في صحّة الإقرار،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وصيّة أُوصي له بها أو إرث ورثه، لما تقدّم من صحّة الوصية له</w:t>
      </w:r>
      <w:r>
        <w:rPr>
          <w:rStyle w:val="FootnoteAnchor"/>
          <w:rtl w:val="true"/>
        </w:rPr>
        <w:footnoteReference w:id="2112"/>
      </w:r>
      <w:r>
        <w:rPr>
          <w:rFonts w:ascii="Amiri" w:hAnsi="Amiri" w:eastAsia="Amiri" w:cs="Amiri"/>
          <w:color w:val="111111"/>
          <w:sz w:val="28"/>
          <w:sz w:val="28"/>
          <w:szCs w:val="28"/>
          <w:rtl w:val="true"/>
          <w:lang w:bidi="ar-SA"/>
        </w:rPr>
        <w:t>، و ما سيأتي من أنّه يرث وإن كان استقرار ملكه مشروطاً بسقوطه حيّاً</w:t>
      </w:r>
      <w:r>
        <w:rPr>
          <w:rStyle w:val="FootnoteAnchor"/>
          <w:rtl w:val="true"/>
        </w:rPr>
        <w:footnoteReference w:id="2113"/>
      </w:r>
      <w:r>
        <w:rPr>
          <w:rFonts w:ascii="Amiri" w:hAnsi="Amiri" w:eastAsia="Amiri" w:cs="Amiri"/>
          <w:color w:val="111111"/>
          <w:sz w:val="28"/>
          <w:sz w:val="28"/>
          <w:szCs w:val="28"/>
          <w:rtl w:val="true"/>
          <w:lang w:bidi="ar-SA"/>
        </w:rPr>
        <w:t>لأنّ ذلك لايمنع من صحّته في الحال في الجملة</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الحكم بصحّة السبب على هذين التقديرين أنّهما ممكنان بالنسبة إليه، فلو نسبه إلى ميراث من قريب حيّ أو ميّت في وقت لايمكن فيه إرثه له فهو ملحق بالقسم الباطل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فسّره بالجناية عليه والمعاملة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Style w:val="FootnoteAnchor"/>
          <w:rtl w:val="true"/>
        </w:rPr>
        <w:footnoteReference w:id="2114"/>
      </w:r>
      <w:r>
        <w:rPr>
          <w:rFonts w:ascii="Amiri" w:hAnsi="Amiri" w:eastAsia="Amiri" w:cs="Amiri"/>
          <w:color w:val="111111"/>
          <w:sz w:val="28"/>
          <w:sz w:val="28"/>
          <w:szCs w:val="28"/>
          <w:rtl w:val="true"/>
          <w:lang w:bidi="ar-SA"/>
        </w:rPr>
        <w:t xml:space="preserve">، ويلغو المنافي كما في نظائره من الإقرار المعقّب بالمبطل،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ثمن خمر، أو استثنى منه استثناء مستغرقاً؛ لاشتراكهما في المقتضي للصحّة، و هو عموم جواز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2115"/>
      </w:r>
      <w:r>
        <w:rPr>
          <w:rFonts w:ascii="Amiri" w:hAnsi="Amiri" w:eastAsia="Amiri" w:cs="Amiri"/>
          <w:color w:val="111111"/>
          <w:sz w:val="28"/>
          <w:sz w:val="28"/>
          <w:szCs w:val="28"/>
          <w:rtl w:val="true"/>
          <w:lang w:bidi="ar-SA"/>
        </w:rPr>
        <w:t>و المنافي، كالرجوع لايقبل بعد ثبوت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المعلّق على شرط أنّ الشرط مناف للإخبار بالاستحقاق في الزمن الماضي، فلم يتحقّق ماهيّة الإقرار مع الشرط، بخلافه مع المنافي المتعقّب؛ فإنّه إخبار تامّ وإنّما تعقّبه ما يبطله فلايسمع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الكلام كالجملة الواحدة لايتمّ إلّا بآخره يتمّ فيما هو من متمّماته كالشرط و الصفة، لا فيما يتعلّق به بل ينافيه، و من ثَمَّ أجمعوا على بطلان المعلّق دون المعقّب بالمنافي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أوضح في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ببطلان الإقرار إذا عزاه إلى سبب باطل لابن الجنيد</w:t>
      </w:r>
      <w:r>
        <w:rPr>
          <w:rStyle w:val="FootnoteAnchor"/>
          <w:rtl w:val="true"/>
        </w:rPr>
        <w:footnoteReference w:id="2116"/>
      </w:r>
      <w:r>
        <w:rPr>
          <w:rFonts w:ascii="Amiri" w:hAnsi="Amiri" w:eastAsia="Amiri" w:cs="Amiri"/>
          <w:color w:val="111111"/>
          <w:sz w:val="28"/>
          <w:sz w:val="28"/>
          <w:szCs w:val="28"/>
          <w:rtl w:val="true"/>
          <w:lang w:bidi="ar-SA"/>
        </w:rPr>
        <w:t>و القاضي</w:t>
      </w:r>
      <w:r>
        <w:rPr>
          <w:rStyle w:val="FootnoteAnchor"/>
          <w:rtl w:val="true"/>
        </w:rPr>
        <w:footnoteReference w:id="2117"/>
      </w:r>
      <w:r>
        <w:rPr>
          <w:rFonts w:ascii="Amiri" w:hAnsi="Amiri" w:eastAsia="Amiri" w:cs="Amiri"/>
          <w:color w:val="111111"/>
          <w:sz w:val="28"/>
          <w:sz w:val="28"/>
          <w:szCs w:val="28"/>
          <w:rtl w:val="true"/>
          <w:lang w:bidi="ar-SA"/>
        </w:rPr>
        <w:t>استناداً إلى ما أشرنا إليه من أنّ الكلام لايتمّ إلّا بآخره، و قد ظهر من آخره بطلان أوّله، فكأنّه لم يقرّ إقراراً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جوابه</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لو أطلق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على وجه یصحّ؛ لاحتماله الأمرين، فيتناوله عموم ما دلّ على لزوم الإقرار لأهله</w:t>
      </w:r>
      <w:r>
        <w:rPr>
          <w:rStyle w:val="FootnoteAnchor"/>
          <w:rtl w:val="true"/>
        </w:rPr>
        <w:footnoteReference w:id="2118"/>
      </w:r>
      <w:r>
        <w:rPr>
          <w:rFonts w:ascii="Amiri" w:hAnsi="Amiri" w:eastAsia="Amiri" w:cs="Amiri"/>
          <w:color w:val="111111"/>
          <w:sz w:val="28"/>
          <w:sz w:val="28"/>
          <w:szCs w:val="28"/>
          <w:rtl w:val="true"/>
          <w:lang w:bidi="ar-SA"/>
        </w:rPr>
        <w:t>، مع كون خلافه محتملاً، فإنّ ذلك لو قدح لأثّر في سائر الأقارير، و لو قلنا بصحّته إذا عزاه إلى سبب باطل فأولى بالصحّة هنا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ويملك الحمل ما أقرّ به بعد وجوده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سقط ميّتاً، فإن فسّره بالميراث رجع إلى باقي الورثة،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وصيّة رجع إلى ورثة الموصي، و إن أجمل طولب ببيانه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وجه ضعيف بالبطلان أيضاً؛ نظراً إلى ندور السبب المصحّح، و لأنّ الملك فيما قيل</w:t>
      </w:r>
    </w:p>
    <w:p>
      <w:pPr>
        <w:pStyle w:val="BookText"/>
        <w:rPr/>
      </w:pPr>
      <w:r>
        <w:rPr>
          <w:rFonts w:ascii="Amiri" w:hAnsi="Amiri" w:eastAsia="Amiri" w:cs="Amiri"/>
          <w:color w:val="111111"/>
          <w:sz w:val="28"/>
          <w:sz w:val="28"/>
          <w:szCs w:val="28"/>
          <w:rtl w:val="true"/>
          <w:lang w:bidi="ar-SA"/>
        </w:rPr>
        <w:t xml:space="preserve">بصحّته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كالإرث و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بسقوطه حيّاً، فقبله لايعلم الصحّة، بل هو مراعي، فكان جانب عدم الصحّة أرجح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الإقرار يكفي في صحّته إمكان حقيقته، و هو متحقّق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ويملك الحمل ما أقرّ به بعد وجوده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حكمنا بصحّة الإقرار له مع الإطلاق لايجب استفساره عنه ابتداءً؛ لعدم الحاجة إليه بل ينتظر ولادته، فإن ولد حيّاً استقرّ ملكه عليه، سواء مات بعد ذلك فينتقل إلى وارثه أم بقي؛ لعدم افتراق الحال في الملك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سقط بعد الإقرار ميّتاً احتيج حينئذٍ إلى استفسار المقرّ؛ لاختلاف حكم الملك المحكوم له</w:t>
      </w:r>
      <w:r>
        <w:rPr>
          <w:rStyle w:val="FootnoteAnchor"/>
          <w:rtl w:val="true"/>
        </w:rPr>
        <w:footnoteReference w:id="2119"/>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فسّره بالإرث تبيّن بطلانه و رجع إلى بقيّة الورثة؛ لأنّ الحكم بالصحّة كان مراعى بسقوطه حيّاً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فسّر بالوصيّة له بطل أيضاً، ولكن هنا يرجع إلى ورثة الموصي ؛ للحكم ببطلان الوصيّة من رأس، فكان كما لو لم يوص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المتولّي لتكليفه بالتفسير حيث يمتنع هو الحاكم؛ ليوصل الحقّ إلى 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 التفسير لموت المقرّ و نحوه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الإقرار ؛ لانتفاء المقرّ له، كما لو أقرّ لواحد</w:t>
      </w:r>
    </w:p>
    <w:p>
      <w:pPr>
        <w:pStyle w:val="BookText"/>
        <w:rPr/>
      </w:pPr>
      <w:r>
        <w:rPr>
          <w:rFonts w:ascii="Amiri" w:hAnsi="Amiri" w:eastAsia="Amiri" w:cs="Amiri"/>
          <w:color w:val="111111"/>
          <w:sz w:val="28"/>
          <w:sz w:val="28"/>
          <w:szCs w:val="28"/>
          <w:rtl w:val="true"/>
          <w:lang w:bidi="ar-SA"/>
        </w:rPr>
        <w:t>من خلق الله تعالى و لا مجال للقرعة هنا؛ لعدم انحصار من يقرع بينهم</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ويشكل بخروجه عن ملكه بالإقرار على کلّ تقدير، و إنّما تعدّر معرفة مستحقّه فيكون مالاً مجهول المالك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بطلان ملكه بالموت قبل الوضع إنّما أوجب بطلان السبب الناقل إلى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بالمال للحمل بعد سقوطه حيّاً لدون ستة أشهر من حين الإقرار و يبطل استحقاقه لو ولد لأكثر من مدّة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وضع فيما بين الأقلّ و الأكثر و لم يكن للمرأة زوج و لا مالك حكم له به؛ لتحقّقه حملاً وقت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لها زوج أو مولى،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لايحكم له؛ لعدم اليقين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 بناء على غالب العوائد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 لا بطلان ملك غيره كالوارث و ورثة الموصي، و كما يحتمل كون المقرّ هو المالك له</w:t>
      </w:r>
    </w:p>
    <w:p>
      <w:pPr>
        <w:pStyle w:val="BookText"/>
        <w:rPr/>
      </w:pPr>
      <w:r>
        <w:rPr>
          <w:rFonts w:ascii="Amiri" w:hAnsi="Amiri" w:eastAsia="Amiri" w:cs="Amiri"/>
          <w:color w:val="111111"/>
          <w:sz w:val="28"/>
          <w:sz w:val="28"/>
          <w:szCs w:val="28"/>
          <w:rtl w:val="true"/>
          <w:lang w:bidi="ar-SA"/>
        </w:rPr>
        <w:t>يحتمل كونه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يمكن اندفاع الإشكال بأنّ الأصل في المال المقرّ به أن يكون ملكاً للمقرّ، وإنّما خرج عنه بإقراره للحمل و ملكه مراعى بولادته حيّاً، فكان خروجه عن ملكه مراعىً كذلك، فإذا فقد شرط الملك لم یصحّ الإقرار؛ لأنّه كان مراعى، فيرجع إلى أصله ظاهراً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بالمال للحمل بعد سقوطه حيّاً لدون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ولد الحمل المقرّ له حيّاً كاملاً، فإن كان لدون ستّة أشهر من حين الإقرار علم وجوده حالة الإقرار، فتبيّن صحّة السبب المسوّغ له من وصيّة و إرث وإن ولد لأكثر من مدّة الحمل علم عدم وجوده حالة الإقرار، و لا شبهة في هاتين الصورتين، إنّما الكلام فيما إذا ولدته فيما بين المدّتين، فإنّه يتعارض هنا الأصل و الظاهر؛ إذ الأصل عدم تعلّق العلوق به على أزيد من الأقلّ و عدم استحقاقه المقرّ به، و الظاهر أنّه لايولد لما دون تسعة أشهر أو عشرة؛ عملاً بالعادة المستمرة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الحامل بعد الإقرار خالية من فراش يمكن تجدّده منه حكم بوجوده؛ لقوّة الظاهر الدالّ على وجوده حالة الإقرار؛ و لهذا يحكم بثبوت نسبه لمن كانت فراشاً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التحقّقه 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مسامحة؛ إذ إمكان التجدّد حاصل و لو بالشبهة</w:t>
      </w:r>
    </w:p>
    <w:p>
      <w:pPr>
        <w:pStyle w:val="BookText"/>
        <w:rPr/>
      </w:pPr>
      <w:r>
        <w:rPr>
          <w:rFonts w:ascii="Amiri" w:hAnsi="Amiri" w:eastAsia="Amiri" w:cs="Amiri"/>
          <w:color w:val="111111"/>
          <w:sz w:val="28"/>
          <w:sz w:val="28"/>
          <w:szCs w:val="28"/>
          <w:rtl w:val="true"/>
          <w:lang w:bidi="ar-SA"/>
        </w:rPr>
        <w:t>فضلاً عن وجه آخر سائغ أو غيره في نفس الأمر، وإنّما يقوى الظاهر بوجوده كما قلناه</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مستفرشةً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لايستحقّ</w:t>
      </w:r>
      <w:r>
        <w:rPr>
          <w:rStyle w:val="FootnoteAnchor"/>
          <w:rtl w:val="true"/>
        </w:rPr>
        <w:footnoteReference w:id="2121"/>
      </w:r>
      <w:r>
        <w:rPr>
          <w:rFonts w:ascii="IRNazanin" w:hAnsi="IRNazanin" w:eastAsia="IRNazanin"/>
          <w:color w:val="111111"/>
          <w:sz w:val="28"/>
          <w:sz w:val="28"/>
          <w:szCs w:val="28"/>
          <w:rtl w:val="true"/>
          <w:lang w:bidi="fa-IR"/>
        </w:rPr>
        <w:t xml:space="preserve">لاحتمال تجدّد العلوق بعد الإقرار، و الأصل عدم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الحمل ذكرين تساويا فيما أقرّ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الاستحقاق و عدمه عند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و هو الذي مال إليه المصنّف؛ نظراً إلى الغالب في عادات النساء أن لايلدن تامّاً إلّا في تسعة أشهر</w:t>
      </w:r>
      <w:r>
        <w:rPr>
          <w:rStyle w:val="FootnoteAnchor"/>
          <w:rtl w:val="true"/>
        </w:rPr>
        <w:footnoteReference w:id="2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ولدته لهذه المدّة من حين الإقرار كان وجوده حين الإقرار غالباً، وإن ولدته فيما بين الأقلّ و الأكثر فوجوده حال الإقرار ثابت بطريق أولى و إن لم يكن غالباً، و قد تقدّم لهذه المسألة نظائر في الوصايا</w:t>
      </w:r>
      <w:r>
        <w:rPr>
          <w:rStyle w:val="FootnoteAnchor"/>
          <w:rtl w:val="true"/>
        </w:rPr>
        <w:footnoteReference w:id="2123"/>
      </w:r>
      <w:r>
        <w:rPr>
          <w:rFonts w:ascii="Amiri" w:hAnsi="Amiri" w:eastAsia="Amiri" w:cs="Amiri"/>
          <w:color w:val="111111"/>
          <w:sz w:val="28"/>
          <w:sz w:val="28"/>
          <w:szCs w:val="28"/>
          <w:rtl w:val="true"/>
          <w:lang w:bidi="ar-SA"/>
        </w:rPr>
        <w:t>و غيرها</w:t>
      </w:r>
      <w:r>
        <w:rPr>
          <w:rStyle w:val="FootnoteAnchor"/>
          <w:rtl w:val="true"/>
        </w:rPr>
        <w:footnoteReference w:id="2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في تحديد المصنّف المدّة من حين الإقرار تجوّزاً ظاهراً؛ لأنّ لحوق الحمل مشروط بالدخول و المدّة تعتبر من حين الوطء لا من حين الإقرار، فالمعتبر في المدة المذكورة كونها من حين الوطء المتقدّم على الإقرار إلى حين الوضع، و قد تجوّزوا مثله في الحكم بلحوق الولد إذا ولدته للمدّة المذكورة من حين الطلاق أو من حين الموت مع أنّ المعتبر الوطء المتقدّم عليه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الحمل ذكرين تساويا فيما أقرّ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استحقاق الحمل لما أقرّ له به فإن اتّحد استحقّ الجميع، ذكراً كان أم أُنثى؛ لأنّه إن كان وصيّةً فواضح، وإن كان إرثاً فعندنا أنّه كذلك، و من لم يقل بالردّ عليها أثبت لها النصف خاصّةً إذا أضافه إلى جهة الإرث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ذكرين أو أنثيين فإن أسنده إلى الوصيّة تساويا فيه إلّا أن ينصّ على التفضيل، و إن أسنده إلى الإرث تساويا مطلقاً؛ و لهذا أطلق المصنّف الحكم بتساويهما؛ لأنّه إن كان بسبب الإرث فواضح، و إن كان بسبب الوصيّة فالأصل عدم ما يقتضي التفضيل؛ لأنّ القدر المتيقّن منه كونه وصيّةً لهما، و هذا القدر يقتضي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مع إمكان الاستعلام؛ لأنّ مطلق الاستحقاق أعمّ من التسوية و التفضيل</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الرجوع إلى المقرّ في السبب، فإن ذكر ما يقتضي التفضيل أو التسوية عمل به، </w:t>
      </w:r>
    </w:p>
    <w:p>
      <w:pPr>
        <w:pStyle w:val="BookText"/>
        <w:rPr/>
      </w:pPr>
      <w:r>
        <w:rPr>
          <w:rFonts w:ascii="Amiri" w:hAnsi="Amiri" w:eastAsia="Amiri" w:cs="Amiri"/>
          <w:color w:val="111111"/>
          <w:sz w:val="28"/>
          <w:sz w:val="28"/>
          <w:szCs w:val="28"/>
          <w:rtl w:val="true"/>
          <w:lang w:bidi="ar-SA"/>
        </w:rPr>
        <w:t>و لو وضع أحدهما ميّتاً كان ما أقرّ به للآخر؛ لأنّ الميّت كالمعدوم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أقرّ بولد لم يكن إقراراً بزوجيّة أُمّه و لو كانت مشهورة بالحرّيّة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اتّجه قسمته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ولدت أزيد من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وضع أحدهما ميّتاً كان ما أقرّ به للآخر؛ لأنّ الميّت كالمعدوم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ليس على إطلاقه؛ لأنّ جهة استحقاقهما إن كانت وصيّةً للحمل كيف كان اتّجه ذلك، و كذا إن كان إرثاً بالولادة مع انحصار الإرث في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الوصيّة مفصّلةً على وجه يكون الوصيّة لأحدهما لايرجع إلى الآخر، أو كان إرثاً بجهة لاتوجب الانتقال إلى الآخر، بأن كانا أخوين لأمّ للميّت و ليس لهما ثالث من جهتها فحياتهما موجبة لهما الثلث، و لأحدهما خاصّة السدس، و لايكون ما أقرّ به للآخر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الأجود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الميّت كأن لم يكن، و ينظر فى الحىّ على ما ذكر من حال جهة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بدّ من الرجوع إلى المقرّ في الجهة ليعلم مقدار استحقاق الحيّ ، و لايلزم من كون الميّت كالمعدوم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أشار إليه في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مجموع المقرّ به للآخر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أقرّ بولد لم يكن إقراراً بزوجيّة أمّه و لو كانت مشهورةً بالحرّيّة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الزوجيّة و النسب أمران متغایران غیر متلازمین، فلايدلّ أحدهما على الآخر بإحدى الدلالات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نبّه بذلك على خلاف أبي حنيفة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أُمّه مشهورةً بالحرّيّة كان الإقرار بالولد إقراراً بزوجيّة أُمّه، و إن لم تكن مشهورةً فلا</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أراد بالحرّيّة ما يقابل الفجور</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يلزمه بإقراره بالولد خاصّةً مهر المثل لأمّه؟ قولان</w:t>
      </w:r>
      <w:r>
        <w:rPr>
          <w:rStyle w:val="FootnoteAnchor"/>
          <w:rtl w:val="true"/>
        </w:rPr>
        <w:footnoteReference w:id="2126"/>
      </w:r>
      <w:r>
        <w:rPr>
          <w:rFonts w:ascii="Amiri" w:hAnsi="Amiri" w:eastAsia="Amiri" w:cs="Amiri"/>
          <w:color w:val="111111"/>
          <w:sz w:val="28"/>
          <w:sz w:val="28"/>
          <w:szCs w:val="28"/>
          <w:rtl w:val="true"/>
          <w:lang w:bidi="ar-SA"/>
        </w:rPr>
        <w:t>، أقربهما ذلك؛ لاستلزام تولّده منه الوطء عادةً، و لحوقه به يقتضي كون الوطء شبهة، وهو يوجب مهر المثل</w:t>
      </w:r>
      <w:r>
        <w:rPr>
          <w:rFonts w:eastAsia="Amiri" w:cs="Amiri" w:ascii="Amiri" w:hAnsi="Amiri"/>
          <w:color w:val="111111"/>
          <w:sz w:val="28"/>
          <w:szCs w:val="28"/>
          <w:rtl w:val="true"/>
          <w:lang w:bidi="ar-SA"/>
        </w:rPr>
        <w:t xml:space="preserve">. </w:t>
      </w:r>
      <w:bookmarkStart w:id="671" w:name="pg10270_80656"/>
    </w:p>
    <w:p>
      <w:pPr>
        <w:pStyle w:val="Heading3"/>
        <w:numPr>
          <w:ilvl w:val="2"/>
          <w:numId w:val="1"/>
        </w:numPr>
        <w:rPr/>
      </w:pPr>
      <w:bookmarkStart w:id="672" w:name="__RefHeading___Toc3860462_1067777946"/>
      <w:bookmarkStart w:id="673" w:name="_Toc245"/>
      <w:bookmarkEnd w:id="671"/>
      <w:bookmarkEnd w:id="672"/>
      <w:r>
        <w:rPr>
          <w:rtl w:val="true"/>
        </w:rPr>
        <w:t>النظر الرابع في اللواحق</w:t>
      </w:r>
      <w:bookmarkEnd w:id="673"/>
    </w:p>
    <w:p>
      <w:pPr>
        <w:pStyle w:val="Heading4"/>
        <w:numPr>
          <w:ilvl w:val="3"/>
          <w:numId w:val="1"/>
        </w:numPr>
        <w:rPr/>
      </w:pPr>
      <w:bookmarkStart w:id="674" w:name="__RefHeading___Toc3860464_1067777946"/>
      <w:bookmarkStart w:id="675" w:name="_Toc246"/>
      <w:bookmarkEnd w:id="674"/>
      <w:r>
        <w:rPr>
          <w:rtl w:val="true"/>
        </w:rPr>
        <w:t>اشارة</w:t>
      </w:r>
      <w:bookmarkEnd w:id="675"/>
    </w:p>
    <w:p>
      <w:pPr>
        <w:pStyle w:val="BookText"/>
        <w:rPr/>
      </w:pPr>
      <w:r>
        <w:rPr>
          <w:rFonts w:ascii="Amiri" w:hAnsi="Amiri" w:eastAsia="Amiri" w:cs="Amiri"/>
          <w:color w:val="111111"/>
          <w:sz w:val="28"/>
          <w:sz w:val="28"/>
          <w:szCs w:val="28"/>
          <w:rtl w:val="true"/>
          <w:lang w:bidi="ar-SA"/>
        </w:rPr>
        <w:t>و فيه مقاصد</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3860466_1067777946"/>
      <w:bookmarkStart w:id="677" w:name="_Toc247"/>
      <w:bookmarkEnd w:id="676"/>
      <w:r>
        <w:rPr>
          <w:rtl w:val="true"/>
        </w:rPr>
        <w:t>المقصد الأوّل في تعقيب الإقرار بالإقرار</w:t>
      </w:r>
      <w:bookmarkEnd w:id="677"/>
    </w:p>
    <w:p>
      <w:pPr>
        <w:pStyle w:val="Heading5"/>
        <w:numPr>
          <w:ilvl w:val="4"/>
          <w:numId w:val="1"/>
        </w:numPr>
        <w:rPr/>
      </w:pPr>
      <w:bookmarkStart w:id="678" w:name="__RefHeading___Toc3860468_1067777946"/>
      <w:bookmarkStart w:id="679" w:name="_Toc248"/>
      <w:bookmarkEnd w:id="678"/>
      <w:r>
        <w:rPr>
          <w:rtl w:val="true"/>
        </w:rPr>
        <w:t>إذا قال</w:t>
      </w:r>
      <w:r>
        <w:rPr>
          <w:rtl w:val="true"/>
        </w:rPr>
        <w:t>:</w:t>
      </w:r>
      <w:r>
        <w:rPr>
          <w:rtl w:val="true"/>
        </w:rPr>
        <w:t>هذه لفلان بل لفلان، أو قال غصبتها من فلان بل من فلان</w:t>
      </w:r>
      <w:bookmarkEnd w:id="6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يده دار على ظاهر التملك،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لفلان بل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بها للأوّل و غرم قيمتها للثاني؛ لأنّه حال بينه و بينها، فهو كالمتلف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يده دار على ظاهر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القضاء بها للأوّل فلعموم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w:t>
      </w:r>
      <w:r>
        <w:rPr>
          <w:rStyle w:val="FootnoteAnchor"/>
          <w:rtl w:val="true"/>
        </w:rPr>
        <w:footnoteReference w:id="2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فلما أشار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قد حال بينه و بينها بإقراره للأوّل مع اعترافه بأنّه المستحقّ، فيغرم له القيمة؛ لتعذّر الوصول إلى العين، كما لو أتلف عليه مالاً ثمّ أقرّ له به، هذا إذا لم يصادق المقرّ له الأوّل على ملكيّة الثاني، و إلّا دفعت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احتمل عدم الغرم له؛ لأنّ الإقرار الثاني صادف ملك الغير لها فلاينفذ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تقدير ملكيّته لها يلزمه تسليمها إلى المقرّ له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مراد المقرّ و يقبل قوله إن كان حيّاً، و إلّا كان المقرّ لهما بمنزلة متداعيين لشيء هو في يدهما، فيأخذه ذو البيّنة، و مع عدمها فالتحالف، فإن حلفا اقتسماه</w:t>
      </w:r>
      <w:r>
        <w:rPr>
          <w:rFonts w:eastAsia="Amiri" w:cs="Amiri" w:ascii="Amiri" w:hAnsi="Amiri"/>
          <w:color w:val="111111"/>
          <w:sz w:val="28"/>
          <w:szCs w:val="28"/>
          <w:rtl w:val="true"/>
          <w:lang w:bidi="ar-SA"/>
        </w:rPr>
        <w:t>»</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الأوّل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 غصبتها من فلان بل من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غصبتها من فلان و هي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تسليمها إلى المغصوب منه ثم لايضمن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لايحكم للمقرّ له بالملك، كما لو كانت دار فى يد فلان و أقرّ بها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غصبتها من فلان بل من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مساواة هذه للسابقة في الحكم أنّ الإقرار بالغصب من الشخص يستلزم الإقرار له باليد، و هي تدلّ ظاهراً على الملكيّة؛ و لهذا يحكم لذي اليد بها، فيكون مقرّاً لكلّ منهما بما يقتضى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وجه بعدم الغرم هنا للثاني كالتي بعدها؛ لعدم التنافي بين الإقرارين؛ فإنّ الغصب يصدق من ذي اليد وإن لم يكن مالكاً، كما لو كانت في يده بإجارة أو إعارة و نحوهما، فيحكم بها للأوّل؛ لسبق الإقرار باليد له، و لايغرم للثاني؛ لانتفاء ما يدلّ على ملكيّته</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 بأنّ الإقرار بالغصب إمّا أن يقتضي الإقرار بالملك على وجه يوجب الضمان أو لا، فإن اقتضاه فقد أقرّ للاثنين بذلك فكانت كالسابقة فيضمن للثاني، و إن لم يقتضه لم يجب الدفع إلى الأوّل في هذه الصورة فضلاً عن الغرم للثاني؛ لعدم الإقرار له بما يقتضي الملك، من حيث إنّ الغصب منه أعمّ من كونه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يضعّف ما قيل من الفرق بين الإقرارين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الإقرار للأوّل اتّفق بغير معارض فيسمع، بخلاف الثاني؛ لثبوت استحقاق الغير العين قبل الإقرار له، فإنّه لو التفت إلى هذا لزم عدم الغرم للثاني و إن صرّح له بالملك؛ لسبق الاستحقاق لغيره</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و الحق أنّ الإقرار بالغصب إقرار باليد، و هي كافية في وجوب الردّ إليه، و يبقى الإقرار للثاني موجباً لذلك أيضاً، و قد فات بإقراره الأوّل فيضمن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غصبتها من فلان و هي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غصبتها من عمرو</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صورة ثالثة متردّدة بين السابقتين، فإنّ إقراره للأوّل بالغصب المحتمل لغير الملك، </w:t>
      </w:r>
    </w:p>
    <w:p>
      <w:pPr>
        <w:pStyle w:val="BookText"/>
        <w:rPr/>
      </w:pPr>
      <w:r>
        <w:rPr>
          <w:rFonts w:ascii="Amiri" w:hAnsi="Amiri" w:eastAsia="Amiri" w:cs="Amiri"/>
          <w:color w:val="111111"/>
          <w:sz w:val="28"/>
          <w:sz w:val="28"/>
          <w:szCs w:val="28"/>
          <w:rtl w:val="true"/>
          <w:lang w:bidi="ar-SA"/>
        </w:rPr>
        <w:t>الخارج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لزيد غصبتها من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إقراره للثاني بالملك، فلا منافاة بين الأمرين، لكن يلزم بدفعها إلى الأوّل الذي أقرّ بغصبها منه؛ لاعترافه له باليد التي أقلّ مراتبها استحقاق المنفعة بإجارة أو وصيّة أو نحو ذلك، بخلاف السابقتين؛ فإنّ الأولى صريحة في ملكهما، و الثانیة هما فيه مستويان نفياً وإثباتاً كما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هذه المسألة قول آخر بالضمان للثاني؛ لاعترافه له بالملك و قد حال بينه و بين تسليمه إليه بإقراره الأوّل فيغرم له</w:t>
      </w:r>
      <w:r>
        <w:rPr>
          <w:rStyle w:val="FootnoteAnchor"/>
          <w:rtl w:val="true"/>
        </w:rPr>
        <w:footnoteReference w:id="2131"/>
      </w:r>
      <w:r>
        <w:rPr>
          <w:rFonts w:ascii="Amiri" w:hAnsi="Amiri" w:eastAsia="Amiri" w:cs="Amiri"/>
          <w:color w:val="111111"/>
          <w:sz w:val="28"/>
          <w:sz w:val="28"/>
          <w:szCs w:val="28"/>
          <w:rtl w:val="true"/>
          <w:lang w:bidi="ar-SA"/>
        </w:rPr>
        <w:t xml:space="preserve">وإن لم نقل بغرمه في السابقة؛ لعدم الاعتراف بالملك، و لأنّ الإقرار بالغصب من الأوّل إقرار له باليد المفيدة للملكيّة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قوّة التناقض؛ و لهذا لم ينفذ إقراره بالملك للثاني مع كونه صريحاً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كانت دار في يد فلان فأقرّ بها الخارج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 إلى الوجه في عدم جواز دفعها إلى الثاني، مع أنّه قد أقرّ له بالملكيّة و لم يقرّ للأوّل بها، و لم يحكم بالتنافي لذلك، و قلنا إنّ الإقرار بالملك لم يحصل إلّا لواحد فلم لايدفع إليه؟</w:t>
      </w:r>
    </w:p>
    <w:p>
      <w:pPr>
        <w:pStyle w:val="BookText"/>
        <w:rPr/>
      </w:pPr>
      <w:r>
        <w:rPr>
          <w:rFonts w:ascii="Amiri" w:hAnsi="Amiri" w:eastAsia="Amiri" w:cs="Amiri"/>
          <w:color w:val="111111"/>
          <w:sz w:val="28"/>
          <w:sz w:val="28"/>
          <w:szCs w:val="28"/>
          <w:rtl w:val="true"/>
          <w:lang w:bidi="ar-SA"/>
        </w:rPr>
        <w:t>و الوجه أنّه و إن لم يكن قد أقرّ للأوّل بالملك لكن أقرّ له باليد سابقاً، فصار بالإقرار كذي اليد بالفعل على المقرّ به، و صار المقرّ خارجاً عن العين بواسطة الإقرار، فإذا أقرّ بملكها لآخر كان كما لو أقرّ الخارج بملك ما هو في يد غيره لغير ذي اليد، فإنّها لاتسلّم إليه بهذا الإقرار</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يبقى فيه أنّ إقراره الأوّل إذا أثّر هذا القدر و أفاد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تقتضي شرعاً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الحكم بها للأوّل و الضمان للثاني؛ لتفويته حقّه بزعمه بإقراره الأوّل، فإنّ الإقرارين و إن لم يتنافيا صورةً لكنّهما متنافيان معنى</w:t>
      </w:r>
      <w:r>
        <w:rPr>
          <w:rFonts w:eastAsia="Amiri" w:cs="Amiri" w:ascii="Amiri" w:hAnsi="Amiri"/>
          <w:color w:val="111111"/>
          <w:sz w:val="28"/>
          <w:szCs w:val="28"/>
          <w:rtl w:val="true"/>
          <w:lang w:bidi="ar-SA"/>
        </w:rPr>
        <w:t xml:space="preserve">. </w:t>
      </w:r>
      <w:bookmarkStart w:id="680" w:name="pg10270_80659"/>
    </w:p>
    <w:p>
      <w:pPr>
        <w:pStyle w:val="Heading5"/>
        <w:numPr>
          <w:ilvl w:val="4"/>
          <w:numId w:val="1"/>
        </w:numPr>
        <w:rPr/>
      </w:pPr>
      <w:bookmarkStart w:id="681" w:name="__RefHeading___Toc3860470_1067777946"/>
      <w:bookmarkStart w:id="682" w:name="_Toc249"/>
      <w:bookmarkEnd w:id="680"/>
      <w:bookmarkEnd w:id="681"/>
      <w:r>
        <w:rPr>
          <w:rtl w:val="true"/>
        </w:rPr>
        <w:t>لو أقرّ بعبد لإنسان فأنكر المقرّ له</w:t>
      </w:r>
      <w:bookmarkEnd w:id="6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 بعبد لإنسان فأنكر المقرّ له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لأنّ كلّ واحد منهما أنكر ملكيّته، فبقي لغير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على الرقّيّة المجهولة المالك،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أقرّ بعبد الإنسان فأنكر المقرّ له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شرائط صحّة الإقرار عدم تكذيب المقرّ له المقرّ، و إن لم يشترط قبوله لفظاً على</w:t>
      </w:r>
    </w:p>
    <w:p>
      <w:pPr>
        <w:pStyle w:val="BookText"/>
        <w:rPr/>
      </w:pPr>
      <w:r>
        <w:rPr>
          <w:rFonts w:ascii="Amiri" w:hAnsi="Amiri" w:eastAsia="Amiri" w:cs="Amiri"/>
          <w:color w:val="111111"/>
          <w:sz w:val="28"/>
          <w:sz w:val="28"/>
          <w:szCs w:val="28"/>
          <w:rtl w:val="true"/>
          <w:lang w:bidi="ar-SA"/>
        </w:rPr>
        <w:t>رسم الإيجاب و القبول و الإنشاءات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كذّبه نظر إن كان المقرّ به مالاً لم يدفع إليه، و فيما يفعل به أوجه أظهرها تخيّر الحاكم</w:t>
      </w:r>
    </w:p>
    <w:p>
      <w:pPr>
        <w:pStyle w:val="BookText"/>
        <w:rPr/>
      </w:pPr>
      <w:r>
        <w:rPr>
          <w:rFonts w:ascii="Amiri" w:hAnsi="Amiri" w:eastAsia="Amiri" w:cs="Amiri"/>
          <w:color w:val="111111"/>
          <w:sz w:val="28"/>
          <w:sz w:val="28"/>
          <w:szCs w:val="28"/>
          <w:rtl w:val="true"/>
          <w:lang w:bidi="ar-SA"/>
        </w:rPr>
        <w:t>بين أخذه وإقرار يد المقرّ عليه إلى أن يظهر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الإقرار بعبد تحت يد المقرّ بحيث يظهر كونه مالكاً ظاهراً فأنكر المقرّ له ملكه، ففيه أوجه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الشيخ</w:t>
      </w:r>
      <w:r>
        <w:rPr>
          <w:rStyle w:val="FootnoteAnchor"/>
          <w:rtl w:val="true"/>
        </w:rPr>
        <w:footnoteReference w:id="2132"/>
      </w:r>
      <w:r>
        <w:rPr>
          <w:rFonts w:ascii="IRNazanin" w:hAnsi="IRNazanin" w:eastAsia="IRNazanin"/>
          <w:color w:val="111111"/>
          <w:sz w:val="28"/>
          <w:sz w:val="28"/>
          <w:szCs w:val="28"/>
          <w:rtl w:val="true"/>
          <w:lang w:bidi="fa-IR"/>
        </w:rPr>
        <w:t>و أتباعه</w:t>
      </w:r>
      <w:r>
        <w:rPr>
          <w:rStyle w:val="FootnoteAnchor"/>
          <w:rtl w:val="true"/>
        </w:rPr>
        <w:footnoteReference w:id="2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يحكم بعتقه؛ لأنّ صاحب اليد لايدّعيه، و المقرّ له ينفيه، فيصير العبد في يد نفسه فيعتق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إذا أقرّ اللقيط بعد البلوغ بأنّه مملوك زيد و أنكر زيد، فإنّه يحكم بحرّيّته، و لانتفاء علقة المقرّ به بإقراره، و المقرّ له بنفيه و من عداهما؛ لانحصار الملك فيهما ظاهراً، و أصالة عدم مالك آخر، و لأنّ الحرّيّة أصل في الآدمي، و إنّما تثبت رقّيّته بأمر ظاهر، و لم يثبت هنا فيرجع إلى الأصل</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يضعّف بأنّه لايلزم من انتفاء ملكيّته و علقتها ظاهراً انتفاؤها في نفس الأمر؛ لأنّ المفروض كونه رقّاً فلايزال بذلك، بل لايلزم من انتفاء علقة الرقّيّة لشخص معيّن ظاهراً انتفاء الرقّيّة عنه ظاهراً و لا باطناً؛ لأنّ الفرض ظهور الرقّيّة و الحكم بها شرعاً حين الإقرار، و من ثَمّ نفذ و أثّر في الجملة، فلايلزم من نفيها عن شخص معيّن انتفاؤها مطلقاً، و هذا الأمر الثابت ظاهراً رفع حكم الأصل المدّعى</w:t>
      </w:r>
      <w:r>
        <w:rPr>
          <w:rFonts w:eastAsia="Amiri" w:cs="Amiri" w:ascii="Amiri" w:hAnsi="Amiri"/>
          <w:color w:val="111111"/>
          <w:sz w:val="28"/>
          <w:szCs w:val="28"/>
          <w:rtl w:val="true"/>
          <w:lang w:bidi="ar-SA"/>
        </w:rPr>
        <w:t xml:space="preserve">. </w:t>
      </w:r>
      <w:bookmarkStart w:id="683" w:name="pg10270_80660"/>
    </w:p>
    <w:p>
      <w:pPr>
        <w:pStyle w:val="Heading5"/>
        <w:numPr>
          <w:ilvl w:val="4"/>
          <w:numId w:val="1"/>
        </w:numPr>
        <w:rPr/>
      </w:pPr>
      <w:bookmarkStart w:id="684" w:name="__RefHeading___Toc3860472_1067777946"/>
      <w:bookmarkStart w:id="685" w:name="_Toc250"/>
      <w:bookmarkEnd w:id="683"/>
      <w:bookmarkEnd w:id="684"/>
      <w:r>
        <w:rPr>
          <w:rtl w:val="true"/>
        </w:rPr>
        <w:t>لو أقرّ أنّ المولى أعتق عبده ثمّ اشتراه</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أقرّ أنّ المولى أعتق عبده ثمّ اشتراه،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ذلك استنقاذاً لا شراءً كان حسناً و ينعتق؛ لأنّ بالشراء سقط عنه لواحق ملك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هذا العبد كان للمشتري من تركته قدر الثمن مقاصّةً؛ لأنّ المشتري إن كان صادقاً فالولاء للمولى إن لم يكن وارث سواه، و إن كان كاذباً فما ترك للمشتري، فهو مستحقّ على هذا التقدير قدر الثمن على اليقين، و ما فضل يكون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يبقى على الرقّيّة المجهولة؛لأنّه محكوم عليه بها، فلايرفع إلّا بأحد الأسباب المقتضية للتحرير، و ليس الجهل بمالك العبد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يخالف صورة اللقيط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محكوم بحرّيّته تبعاً للدار، فإذا أقرّ بالرقّ و نفاه المقرّ له بقي على أصل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فيحكم فيه كما ذكرناه</w:t>
      </w:r>
    </w:p>
    <w:p>
      <w:pPr>
        <w:pStyle w:val="BookText"/>
        <w:rPr/>
      </w:pPr>
      <w:r>
        <w:rPr>
          <w:rFonts w:ascii="Amiri" w:hAnsi="Amiri" w:eastAsia="Amiri" w:cs="Amiri"/>
          <w:color w:val="111111"/>
          <w:sz w:val="28"/>
          <w:sz w:val="28"/>
          <w:szCs w:val="28"/>
          <w:rtl w:val="true"/>
          <w:lang w:bidi="ar-SA"/>
        </w:rPr>
        <w:t>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الحرّيّة إن ادّعاها العبد؛ لأنّه مدّع لاينازعه أحد في دعواه، و لاسلطنة لأحد عليه</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 بمنع عدم المنازع؛ فإنّ الحاكم وليّ المال المجهول، فعليه أن ينازع من يدّعيه</w:t>
      </w:r>
    </w:p>
    <w:p>
      <w:pPr>
        <w:pStyle w:val="BookText"/>
        <w:rPr/>
      </w:pPr>
      <w:r>
        <w:rPr>
          <w:rFonts w:ascii="Amiri" w:hAnsi="Amiri" w:eastAsia="Amiri" w:cs="Amiri"/>
          <w:color w:val="111111"/>
          <w:sz w:val="28"/>
          <w:sz w:val="28"/>
          <w:szCs w:val="28"/>
          <w:rtl w:val="true"/>
          <w:lang w:bidi="ar-SA"/>
        </w:rPr>
        <w:t>بغير حجّة شرعيّة، كسائر ما بيده من الأموال المجهولة المالك</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أقرّ أنّ المولى أعتق عبده ثمّ اشتراه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فضل يكون موقوفاً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شرائط الإقرار أيضاً كون المقرّ به تحت يد المقرّ و تصرّفه، بمعنى أنّه إذا لم يكن تحت يده لم يسلّطنا إقراره على الحكم بثبوت المقرّ به للمقرّ له، بل يكون ذلك بمنزلة الشهادة أو الدعوى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لايلغى قوله من کلّ وجه، بل إذا حصل المقرّ به يوماً في يده نفذ إقراره، و أمر بتسليمه إلى المقرّ 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يترتب على ذلك أنّه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الذي في يد زيد مرهون عند عمرو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حصل</w:t>
      </w:r>
    </w:p>
    <w:p>
      <w:pPr>
        <w:pStyle w:val="BookText"/>
        <w:rPr/>
      </w:pPr>
      <w:r>
        <w:rPr>
          <w:rFonts w:ascii="Amiri" w:hAnsi="Amiri" w:eastAsia="Amiri" w:cs="Amiri"/>
          <w:color w:val="111111"/>
          <w:sz w:val="28"/>
          <w:sz w:val="28"/>
          <w:szCs w:val="28"/>
          <w:rtl w:val="true"/>
          <w:lang w:bidi="ar-SA"/>
        </w:rPr>
        <w:t>العبد في ملكه، أُمر ببيعه في دين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بحرّيّة عبد في يد غيره، أو شهد بحرّيّته فلم يقبل شهادته لم يحكم بحرّيّته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أقدم المقرّ على شرائه صحّ، تنزيلاً للعقد على قول من صدّقه الشرع و هو صاحب اليد البائع، و يخالف ما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 أختي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أن ينكحها، فإنّه لايمكّن منه؛ لأنّ في الشراء غرض استنقاذه من أسر الرقّ، و هذا الغرض لايحصل هناك؛ إذ يمنع</w:t>
      </w:r>
      <w:r>
        <w:rPr>
          <w:rStyle w:val="FootnoteAnchor"/>
          <w:rtl w:val="true"/>
        </w:rPr>
        <w:footnoteReference w:id="2135"/>
      </w:r>
      <w:r>
        <w:rPr>
          <w:rFonts w:ascii="Amiri" w:hAnsi="Amiri" w:eastAsia="Amiri" w:cs="Amiri"/>
          <w:color w:val="111111"/>
          <w:sz w:val="28"/>
          <w:sz w:val="28"/>
          <w:szCs w:val="28"/>
          <w:rtl w:val="true"/>
          <w:lang w:bidi="ar-SA"/>
        </w:rPr>
        <w:t>من الاستمتاع بفرج اعترف أنّه حرام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اشتراه حكم بحرّيّة العبد و رفعت يده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العقد الجاري بينه و بين البائع ما حكمه؟ أهو بيع أو فداء؟ فيه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بيع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بيع من جهة البائع، و افتداء من جهة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افتداء من الجانبين؛ و وجه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لاينتظم أن يأخذ المال لينقذ من يسترقّه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محكوم برقّيّته ظاهراً، و إنّما يحكم بعتقه على المشتري بعد الحكم بصحّة البيع؛ و لأنّ العتق مترتّب على ملكه المتوقّف على صحّة الشراء؛ إذ ليس هنا سبب موجب لانتقاله عن ملك البائع الثابت ظاهراً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 المشتري بحرّيّته و امتناع شراء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لانسلّم أنّ عتقه متوقّف على صحّة الشراء مطلقاً، بل على استقلال يد المقرّ عليه لينفذ إقراره، سواء انتقل إليه بالشراء أم الاستنقاذ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الجواب عن كون العتق مترتّباً على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في ثبوت الخيار</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 يثبت لهما معاً خيار المجلس و الشرط، و للمشتري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المبيع بثمن معيّن فخرج معيباً و ردّه كان له أن يستردّ العبد، بخلاف ما لو باع عبداً و أعتقه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المشتري، ثمّ خرج الثمن المعيّن معيباً و ردّه، حيث لايستردّ العبد بل يعدل إلى القيمة؛ لاتّفاقهما على العتق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لا خيار للمشتري و لا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أخذ الأرش ظاهراً؛ لأنّه بزعم البائع شراء يوجبه، و بزعم المشتري يستحقّ جميع الثمن، فالأرش الذي هو جزء منه متّفق عليه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لايخلو هذا القول الثاني من إشكال بالنسبة إلى ثبوت الخيار الذي لايمنع العتق؛ لأنّه ينعتق على المشتري قهراً بتمام القبول، كما ينعتق قريبه إذا اشتراه، بل هذا أقوى؛ لأنّه بالنسبة إليه حرّ قبل الشراء، و بالنظر إلى غيره بعده بلا فصل، فلا يتّجه ثبوت خيار المجلس للبائع و لا خيار العيب، بل يتّجه له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كتصرّف المشتري بالعتق و غيره حيث يكون للبائع خيار؛ لأنّ الممنوع</w:t>
      </w:r>
      <w:r>
        <w:rPr>
          <w:rStyle w:val="FootnoteAnchor"/>
          <w:rtl w:val="true"/>
        </w:rPr>
        <w:footnoteReference w:id="2136"/>
      </w:r>
      <w:r>
        <w:rPr>
          <w:rFonts w:ascii="Amiri" w:hAnsi="Amiri" w:eastAsia="Amiri" w:cs="Amiri"/>
          <w:color w:val="111111"/>
          <w:sz w:val="28"/>
          <w:sz w:val="28"/>
          <w:szCs w:val="28"/>
          <w:rtl w:val="true"/>
          <w:lang w:bidi="ar-SA"/>
        </w:rPr>
        <w:t>من التصرّف إنّما هو الواقع باختياره، و هذا لايتوقّف على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يقوى جانب كونه فداء من الجانبين من هذا الوجه، و إن كان من جانب البائع لاينتظم الفداء بحسب الصورة، من حيث جواز أخذه العوض و توقّفه على رضاه و على ما يريده من العوض المخالف لحكم الفداء</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يتفرّع على ذلك الولاء، فإنّه لايثبت للمشتري؛ لاعترافه بأنّه لم يعتقه، و لا للبائع؛ لزعمه أنه ليس بمعتق، بل هو 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مات و قد اكتسب مالاً، فإن كان له وارث بالنسب فهو له، وإلّا فينظر إن صدّق البائع المشتري و كان عتقه على وجه يوجب الولاء أخذه و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كذّبه و أصرّ على كلامه الأوّل فقد قال المصنّف و جماعة</w:t>
      </w:r>
      <w:r>
        <w:rPr>
          <w:rStyle w:val="FootnoteAnchor"/>
          <w:rtl w:val="true"/>
        </w:rPr>
        <w:footnoteReference w:id="2137"/>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للمشتري أن يأخذ من ماله قدر الثمن و كان الباقي موقوفاً؛ لأنّ البائع إن كان صادقاً فكلّ المال للمشتري، وإن كان كاذباً و الصادق المشتري فالولاء للبائع في نفس الأمر، و قد ظلم المشتري في أخذ الثمن، فإذا ظفر بماله كان له أن يأخذ منه حقّه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لايخفى أنّ هذا ليس على إطلاقه؛ لأنّ إقرار المشتري بعتق البائع إيَّاه قد يكون على وجه يثبت به الولاء له و قد لايكون، فلا بدّ من مراعاة عتق يثبت به الولاء و لو بالرجوع إلى تفسيره، وإلّا لم يكن له أخذ شيء؛ لأنّ ولاءه حينئذٍ بزعمه لغير المعتق، فلايرجع على غير من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إقراره بأنّه حرّ الأصل، أو أنّه أعتق قبل أن اشتراه البائع لم يكن له أخذ الثمن أيضاً؛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استشكل الرجوع بالثمن مطلقاً، من حيث إنّه تبرّع بدفعه مع زعمه أنّ القابض لايستحقّه، فإذا استهلك مع التسليط فلا ضمان</w:t>
      </w:r>
      <w:r>
        <w:rPr>
          <w:rStyle w:val="FootnoteAnchor"/>
          <w:rtl w:val="true"/>
        </w:rPr>
        <w:footnoteReference w:id="2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بأنّه إنّما بذله افتداءً؛ تقرّباً إلى الله تعالى باستنقاذ حرّ، فيكون سبيله سبيل الصدقات، و الصدقات لايرجع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 مثل هذا الدفع يرغب فيه للاستنقاذ، و قد يكون ذلك مضموناً على القابض الظلمه</w:t>
      </w:r>
      <w:r>
        <w:rPr>
          <w:rStyle w:val="FootnoteAnchor"/>
          <w:rtl w:val="true"/>
        </w:rPr>
        <w:footnoteReference w:id="2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الرجوع بالمبذول على جهة الفدية لايمنع من الرجوع فيه؛ لأنّه ليس تبرّعاً محضاً،و القربة لاتنافي ثبوت العوض، كما لو قدى أسيراً في بلد المشركين ثمّ استولى المسلمون على بلادهم و وجد الباذل عين ماله فله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أيضاً ما لو استأجر العبد المقرّ بحرّيّته بدلاً عن الشراء، فإنّه لايحلّ له استخدامه و لا الانتفاع به، و للمؤجر مطالبته بالأجرة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بحرّيّة جارية الغير، ثمّ قبل نكاحها منه، لم يحلّ له وطؤها، و للمولى</w:t>
      </w:r>
      <w:r>
        <w:rPr>
          <w:rStyle w:val="FootnoteAnchor"/>
          <w:rtl w:val="true"/>
        </w:rPr>
        <w:footnoteReference w:id="2140"/>
      </w:r>
      <w:r>
        <w:rPr>
          <w:rFonts w:ascii="Amiri" w:hAnsi="Amiri" w:eastAsia="Amiri" w:cs="Amiri"/>
          <w:color w:val="111111"/>
          <w:sz w:val="28"/>
          <w:sz w:val="28"/>
          <w:szCs w:val="28"/>
          <w:rtl w:val="true"/>
          <w:lang w:bidi="ar-SA"/>
        </w:rPr>
        <w:t>المطالبة بالمهر</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إقراره بأنّك غصبت العبد من فلان ثمّ اشتراه منه ففي صحّة العقد وجهان، الصحّة، كما لو أقرّ بحرّيّته ثم 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في لحوق أحكام البيع بالنسبة إلى البائع،و وجوب دفعه على المشتري إلى المالك</w:t>
      </w:r>
      <w:r>
        <w:rPr>
          <w:rFonts w:eastAsia="Amiri" w:cs="Amiri" w:ascii="Amiri" w:hAnsi="Amiri"/>
          <w:color w:val="111111"/>
          <w:sz w:val="28"/>
          <w:szCs w:val="28"/>
          <w:rtl w:val="true"/>
          <w:lang w:bidi="ar-SA"/>
        </w:rPr>
        <w:t xml:space="preserve">. </w:t>
      </w:r>
      <w:bookmarkStart w:id="686" w:name="pg10270_80664"/>
    </w:p>
    <w:p>
      <w:pPr>
        <w:pStyle w:val="Heading4"/>
        <w:numPr>
          <w:ilvl w:val="3"/>
          <w:numId w:val="1"/>
        </w:numPr>
        <w:rPr/>
      </w:pPr>
      <w:bookmarkStart w:id="687" w:name="__RefHeading___Toc3860474_1067777946"/>
      <w:bookmarkStart w:id="688" w:name="_Toc251"/>
      <w:bookmarkEnd w:id="686"/>
      <w:bookmarkEnd w:id="687"/>
      <w:r>
        <w:rPr>
          <w:rtl w:val="true"/>
        </w:rPr>
        <w:t>المقصد الثاني في تعقيب الإقرار بما يقتضي ظاهره الإبطال</w:t>
      </w:r>
      <w:bookmarkEnd w:id="688"/>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عندي وديعة و قد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علىَّ مال من ثمن خمر أو 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لأنّ التصحيح ثَمّ للافتداء و الإنقاذ من الرقّ، و لايتّجه مثله في تخليص</w:t>
      </w:r>
    </w:p>
    <w:p>
      <w:pPr>
        <w:pStyle w:val="BookText"/>
        <w:rPr/>
      </w:pPr>
      <w:r>
        <w:rPr>
          <w:rFonts w:ascii="Amiri" w:hAnsi="Amiri" w:eastAsia="Amiri" w:cs="Amiri"/>
          <w:color w:val="111111"/>
          <w:sz w:val="28"/>
          <w:sz w:val="28"/>
          <w:szCs w:val="28"/>
          <w:rtl w:val="true"/>
          <w:lang w:bidi="ar-SA"/>
        </w:rPr>
        <w:t>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قد أورد على أصل نفوذ الإقرار في حقّ العبد و الحكم بعتقه على تقدير الشراء بأنّه قد يتّجه فيه ضرر عليه، كما إذا كان عاجزاً عن التكسّب، فيشكل نفوذه في حقّه؛ لأنّ للعبد حقّاً في هذا الإقرار، بل يتوقّف على تصديق العبد على الحرّيّة</w:t>
      </w:r>
      <w:r>
        <w:rPr>
          <w:rStyle w:val="FootnoteAnchor"/>
          <w:rtl w:val="true"/>
        </w:rPr>
        <w:footnoteReference w:id="2141"/>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 إن كان له حظّ في الإقرار إلّا أن حرّيّته لاتتوقّف على اختياره إخباراً و لا إنشاءً؛ فإنّه لو باشر عتقه و هو عاجز نفذ في حقّه، و كذا لو أخبر مالكه أنّه أعتقه، فإنّه ينفذ بغير إشكال، و هذا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وديعة و قد هلكت 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الفرق بين المسألتين واضح؛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عندي وديعة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يقتضي بقاءها،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ينافيه، فلايقبل قوله و لاتسمع دعواه؛ لأنّ الهالك لايكون عنده وديعة، بخلاف الثانیّة،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له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لايدلّ على البقاء و لاينافي الهلاك، و غايته أنّه إقرار بالوديعة، و قول الودعيّ مقبول في التلف بيمينه، فيكون هنا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علىَّ مال من ثمن خمر أو خنزير، لزمه المال</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ثبوته في الذمّة أو وجوب تسليمه، و كونه من ثمن خمر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عليّ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ثمن مبيع لم أقبضه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وصل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علىَّ ألف من ثمن 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سواء عيّن المبيع أو لم يعيّنه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احتمال؛ للتسوية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خنزير ينافيه؛ لأنّه يقتضي سقوطه؛ لعدم إمكان ثبوت مال ثمناً لأحدهما في شرع الإسلام، فلايُقبل تفسيره بالمنافي، و يثبت ما أقرّ به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ألف، و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ثلاث مسائل ذكر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كلامه،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الألف ثمن لمبيع لم أقبضه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الألف؛ لإقراره به و يلغى المنافي</w:t>
      </w:r>
      <w:r>
        <w:rPr>
          <w:rStyle w:val="FootnoteAnchor"/>
          <w:rtl w:val="true"/>
        </w:rPr>
        <w:footnoteReference w:id="2142"/>
      </w:r>
      <w:r>
        <w:rPr>
          <w:rFonts w:ascii="Amiri" w:hAnsi="Amiri" w:eastAsia="Amiri" w:cs="Amiri"/>
          <w:color w:val="111111"/>
          <w:sz w:val="28"/>
          <w:sz w:val="28"/>
          <w:szCs w:val="28"/>
          <w:rtl w:val="true"/>
          <w:lang w:bidi="ar-SA"/>
        </w:rPr>
        <w:t>لأنّه دعوى محضة تقتضي إثبات مال عند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 استحقاق تسليم الألف على قبضه، فيسمع الإقرار دون الدعوى؛ لانفصال أحدهما عن الآخر حكماً و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 بإقراره بالألف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ثمن 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يقطع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Style w:val="FootnoteAnchor"/>
          <w:rtl w:val="true"/>
        </w:rPr>
        <w:footnoteReference w:id="2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مساواة الأوّل، لإقراره بالألف، و لاينافيه ما وصله به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ثمن 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الغرض ثبوت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تعيين سببها فلا حاجة إليه، و إنّما يجيء التنافي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منفصل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الذي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دعواه الأخيرة؛ 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ثمن 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من حيث اتّصاله، و هو أعمّ من كونه مقبوضاً و غير مقبوض، فإذا قال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بعض محتملاته،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ابتعت بخيار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كفلت بخيار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بخيار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إقراره بالعقد و لم يثبت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يوافق الأصل؛ إذ الأصل عدم القبض فعلى البائع إثبات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اختيار الشيخ في المبسوط</w:t>
      </w:r>
      <w:r>
        <w:rPr>
          <w:rStyle w:val="FootnoteAnchor"/>
          <w:rtl w:val="true"/>
        </w:rPr>
        <w:footnoteReference w:id="2144"/>
      </w:r>
      <w:r>
        <w:rPr>
          <w:rFonts w:ascii="IRNazanin" w:hAnsi="IRNazanin" w:eastAsia="IRNazanin"/>
          <w:color w:val="111111"/>
          <w:sz w:val="28"/>
          <w:sz w:val="28"/>
          <w:szCs w:val="28"/>
          <w:rtl w:val="true"/>
          <w:lang w:bidi="fa-IR"/>
        </w:rPr>
        <w:t>و الخلاف</w:t>
      </w:r>
      <w:r>
        <w:rPr>
          <w:rStyle w:val="FootnoteAnchor"/>
          <w:rtl w:val="true"/>
        </w:rPr>
        <w:footnoteReference w:id="2145"/>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بمجموع الكلام متّصلاً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ألف من ثمن مبيع لم أقبضه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بالقبول في السابقة قُبل هنا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بعدمه احتمل هنا القبول؛ لأنّ الكلام جملة واحدة، و لإمكان صدقه فيما أخبر به و أراد التخلّص بالإقرار به، فلو لم يقبل منه و أُلزم بخلاف ما أقرّ به لزم انسداد باب الإقرار بالواقع حيث يراد، وهو مناف للحكمة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لايقبل هنا أيضاً</w:t>
      </w:r>
      <w:r>
        <w:rPr>
          <w:rStyle w:val="FootnoteAnchor"/>
          <w:rtl w:val="true"/>
        </w:rPr>
        <w:footnoteReference w:id="2146"/>
      </w:r>
      <w:r>
        <w:rPr>
          <w:rFonts w:ascii="Amiri" w:hAnsi="Amiri" w:eastAsia="Amiri" w:cs="Amiri"/>
          <w:color w:val="111111"/>
          <w:sz w:val="28"/>
          <w:sz w:val="28"/>
          <w:szCs w:val="28"/>
          <w:rtl w:val="true"/>
          <w:lang w:bidi="ar-SA"/>
        </w:rPr>
        <w:t>، لاشتماله على إقرار و دعوى، فيقبل الإقرار و تسقط الدعوى إلى أن يأتي لها بحجّة؛ و لأنّ هذه الضميمة بمنزلة المنافي؛ لأنّ مقتضى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عليه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أدائها إليه مطلقاً، و ثبوتها في ذمّته أو في عهدته، و كونها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ثمن مبيع لم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استقرارها في الذمّة؛ لجواز تلف المبيع قبل أن يقبضه، و عدم وجوب تسليمها مطلقاً بل مع تسليم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لايخلو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المنافاة ممنوعة، و إنّما هو وصف زائد على الإقرار المطلق، و الواقع هو الإقرار المقيّد لا المطلق، كما لو قيّد الألف بقيد آخر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الاشتباه ما إذا كان المقرّ غير معتقد لزومه على هذا الوجه باجتهاد أو تقليد وإلّا فلا إشكال في اللزوم؛ لأنّها مسألة اجتهاديّة فيؤخذ على المعتقد بما يدين به، و يبقى غيره على ما يقتضيه نظر المفتي</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 بخيار، أو كفلت بخيار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 •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دراهم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إذا اتّصل بالإقرار كالاستثناء، و يرجع في قدر النقيصة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دراهم 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يُقبل تفسيره بما فيه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فسّره بما لا فضّة فيه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قبول وصف الخيار في الكفالة و الضمان على القول بعدم صحّة اشتراطه فيهما فواضح؛ لأنّه تعقيب للإقرار بالمفسد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بصحّته أو كون الخيار في البيع فوجه عدم ثبوت الخيار ما تقدّم في دعوى الأجل و عدم قبض المبيع</w:t>
      </w:r>
      <w:r>
        <w:rPr>
          <w:rStyle w:val="FootnoteAnchor"/>
          <w:rtl w:val="true"/>
        </w:rPr>
        <w:footnoteReference w:id="2147"/>
      </w:r>
      <w:r>
        <w:rPr>
          <w:rFonts w:ascii="Amiri" w:hAnsi="Amiri" w:eastAsia="Amiri" w:cs="Amiri"/>
          <w:color w:val="111111"/>
          <w:sz w:val="28"/>
          <w:sz w:val="28"/>
          <w:szCs w:val="28"/>
          <w:rtl w:val="true"/>
          <w:lang w:bidi="ar-SA"/>
        </w:rPr>
        <w:t>، و أولى بعدم القبول هنا؛ لأنّ الخيار يفضي إلى إسقاط الحقّ بالاختيار، بخلاف التأجيل و عدم قبض المبيع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القبول هنا أيضاً؛ لجواز أن يكون الحقّ المقرّ به كذلك، فلو لم يقبل أخلّ بحكمة الإقرار بالحقّ الواقع كما ذكرناه في نظائره، إلّا أنّ الأشهر هنا عدم سماع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بالقبول كالسابق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دراهم ناقصة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القبول مع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المقرّ به هو الدراهم الموصوفة بما ذكر، فلايلزم غيرها؛ لأنّه لم يقرّ به، و لأنّ الكلام لايتمّ إلا بآخره، و لأنّه من الممكن أن يكون له عنده دراهمبهذا الوصف، فلو لم يقبل الإقرار بها نافي غرض الشارع وحكمته كنظائره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وجه آخر بعدم القبول، عملاً بأوّل الكلام، و كون الوصف منافياً للسابق؛ لاقتضائه الرجوع عن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ضعفه؛ إذ لم يثبت بالإقرار سواه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سقط، و لا منافاة بين الأمرين،</w:t>
      </w:r>
    </w:p>
    <w:p>
      <w:pPr>
        <w:pStyle w:val="BookText"/>
        <w:rPr/>
      </w:pPr>
      <w:r>
        <w:rPr>
          <w:rFonts w:ascii="Amiri" w:hAnsi="Amiri" w:eastAsia="Amiri" w:cs="Amiri"/>
          <w:color w:val="111111"/>
          <w:sz w:val="28"/>
          <w:sz w:val="28"/>
          <w:szCs w:val="28"/>
          <w:rtl w:val="true"/>
          <w:lang w:bidi="ar-SA"/>
        </w:rPr>
        <w:t>فقطع بعض الكلام عن بعض وإلزامه به بعيد عن مقصد الشارع</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 قبول الوصف بالنقصان يرجع إليه فيه، و بالزيّف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المغشوش</w:t>
      </w:r>
      <w:r>
        <w:rPr>
          <w:rStyle w:val="FootnoteAnchor"/>
          <w:rtl w:val="true"/>
        </w:rPr>
        <w:footnoteReference w:id="2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p>
    <w:p>
      <w:pPr>
        <w:pStyle w:val="BookText"/>
        <w:rPr/>
      </w:pPr>
      <w:r>
        <w:rPr>
          <w:rFonts w:ascii="Amiri" w:hAnsi="Amiri" w:eastAsia="Amiri" w:cs="Amiri"/>
          <w:color w:val="111111"/>
          <w:sz w:val="28"/>
          <w:sz w:val="28"/>
          <w:szCs w:val="28"/>
          <w:rtl w:val="true"/>
          <w:lang w:bidi="ar-SA"/>
        </w:rPr>
        <w:t>الخامسة •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علىّ عشرة لا بل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عشرة و ليس كذلك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إلّا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 إذا أشهد بالبيع و قبض الثمن، ثمّ أنكر فيما بعد، و ادّعى أنّه أشهد تبعاً للعادة و لم يقبض،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لاتُقبل دعواه؛ لأنّه مكذّب لإقراره،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تُقبل؛لأنّه ادّعى ما هو معتاد، و هو أشبه؛ إذ ليس هو مكذّباً للإقرار، بل مدّعياً شيئاً آخر، فيكون على المشتري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لو شهد الشاهدان بإيقاع البيع و مشاهدة القبض، فإنّه لايُقبل إنكاره، و لايتوجّه اليمين؛ لأنّه إكذاب للبيّنة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في قدر الغشّ، بشرط أن يبقى معه فضّة يصدق معها اسم الدراهم؛ إذ لو خلت منها كانت فلوساً لا دراهم مغشوشة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لا بل تسعة، لزمه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المسألتين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إضراب عن الإقرار بالعشرة بعد الإيجاب، و قد تقدّم أنّه يجعل ما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كالمسكوت عنه و إقراره بغيره</w:t>
      </w:r>
      <w:r>
        <w:rPr>
          <w:rStyle w:val="FootnoteAnchor"/>
          <w:rtl w:val="true"/>
        </w:rPr>
        <w:footnoteReference w:id="2149"/>
      </w:r>
      <w:r>
        <w:rPr>
          <w:rFonts w:ascii="Amiri" w:hAnsi="Amiri" w:eastAsia="Amiri" w:cs="Amiri"/>
          <w:color w:val="111111"/>
          <w:sz w:val="28"/>
          <w:sz w:val="28"/>
          <w:szCs w:val="28"/>
          <w:rtl w:val="true"/>
          <w:lang w:bidi="ar-SA"/>
        </w:rPr>
        <w:t xml:space="preserve">، فلا يقبل رجوعه، بخلاف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استثناء، و هو تركيب عربي يكون جزء من الكلام و من متمّماته، و المراد منه هو القدر الحاصل بعد الاستثناء،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عشرة إلّا واحداً بمعنى له تسعة، و كأنّ للتسعة 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إلّا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 إقرار بالعشرة و لا رجوع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أشهد بالبيع و قبض الثمن ثمّ أنكر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بالقبول للأكثر، بمعنى سماع الدعوى و توجّه اليمين بها على المشتري على وقوع الإقباض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انتقلت اليمين إليه مع أنّه المدّعي لإقرار البائع بالقبض، فهذه اليمين إنّما هي في مقابلة الدعوى الواقعة من البائع ثانياً، بأنّه لم يقبض، و أنّ إقراره السابق ما كان</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مطابقاً للواقع</w:t>
      </w:r>
      <w:r>
        <w:rPr>
          <w:rFonts w:eastAsia="IRNazanin" w:cs="IRNazanin"/>
          <w:color w:val="111111"/>
          <w:sz w:val="28"/>
          <w:szCs w:val="28"/>
          <w:rtl w:val="true"/>
          <w:lang w:bidi="fa-IR"/>
        </w:rPr>
        <w:t xml:space="preserve">. </w:t>
      </w:r>
      <w:bookmarkStart w:id="689" w:name="pg10270_80669"/>
    </w:p>
    <w:p>
      <w:pPr>
        <w:pStyle w:val="Heading4"/>
        <w:numPr>
          <w:ilvl w:val="3"/>
          <w:numId w:val="1"/>
        </w:numPr>
        <w:rPr/>
      </w:pPr>
      <w:bookmarkStart w:id="690" w:name="__RefHeading___Toc3860476_1067777946"/>
      <w:bookmarkStart w:id="691" w:name="_Toc252"/>
      <w:bookmarkEnd w:id="689"/>
      <w:bookmarkEnd w:id="690"/>
      <w:r>
        <w:rPr>
          <w:rtl w:val="true"/>
        </w:rPr>
        <w:t>المقصد الثالث في الإقرار بالنسب</w:t>
      </w:r>
      <w:bookmarkEnd w:id="691"/>
    </w:p>
    <w:p>
      <w:pPr>
        <w:pStyle w:val="Heading5"/>
        <w:numPr>
          <w:ilvl w:val="4"/>
          <w:numId w:val="1"/>
        </w:numPr>
        <w:rPr/>
      </w:pPr>
      <w:bookmarkStart w:id="692" w:name="__RefHeading___Toc3860478_1067777946"/>
      <w:bookmarkStart w:id="693" w:name="_Toc253"/>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3860480_1067777946"/>
      <w:bookmarkStart w:id="695" w:name="_Toc254"/>
      <w:bookmarkEnd w:id="694"/>
      <w:r>
        <w:rPr>
          <w:rtl w:val="true"/>
        </w:rPr>
        <w:t>شروط الإقرار بنسب الولد</w:t>
      </w:r>
      <w:bookmarkEnd w:id="695"/>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لايثبت الإقرار بنسب الولد حتّى تكون البنوّة ممكنةً، و يكون المقرّ به مجهولاً، ولا ينازعه فيه منازع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قيود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انتفى إمكان الولادة لم يُقبل كالإقرار ببنوّة من هو أكبر منه، أو مثله في السنّ، أو أصغر منه بما لم تجرِ العادة بولادته لمثله، أو أقرّ ببنوّة ولد امرأة له، و بينهما مسافة لايمكن الوصول إليها في مثل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الطفل معلوم النسب لم يُقبل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نازعه منازع في بنوّته لم يُقبل إلا ببيّنة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يحصل الجواب عن حجّة المانع من قبول قوله، من حيث إنّه مكذّب بدعواه الثانیّة</w:t>
      </w:r>
    </w:p>
    <w:p>
      <w:pPr>
        <w:pStyle w:val="BookText"/>
        <w:rPr/>
      </w:pPr>
      <w:r>
        <w:rPr>
          <w:rFonts w:ascii="IRNazanin" w:hAnsi="IRNazanin" w:eastAsia="IRNazanin"/>
          <w:color w:val="111111"/>
          <w:sz w:val="28"/>
          <w:sz w:val="28"/>
          <w:szCs w:val="28"/>
          <w:rtl w:val="true"/>
          <w:lang w:bidi="fa-IR"/>
        </w:rPr>
        <w:t>لإقراره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كذّب الإقرار، بل هو معترف بوقوعه، وإنّما يدّعي معه أمراً آخر، و هو كونه تبعاً للعادة من الإشهاد على القبض من غير أن يحصل قبض لإقامة الشهادة و الحجّة؛ خوفاً من تعذّر الشهود وقت الإقباض، و لكون هذا أمراً معتاداً بين المتعاملين اتّجه قبوله، لا بمعنى تقديم قول مدّعيه، بل بمعنى سماع دعواه و توجّه اليمين على المشتري، بأنّ الدفع بطريق الحقيقة لا على جهة المواطاة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كانت الشهادة على 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شهد الشاهدان بمشاهدة القبض لم يقبل إنكاره، و لا يمين على المشتري؛ لأنّ ذلك طعن في البيّنة وإكذاب لها فلايلتفت إليه، و مثله</w:t>
      </w:r>
    </w:p>
    <w:p>
      <w:pPr>
        <w:pStyle w:val="BookText"/>
        <w:rPr/>
      </w:pPr>
      <w:r>
        <w:rPr>
          <w:rFonts w:ascii="Amiri" w:hAnsi="Amiri" w:eastAsia="Amiri" w:cs="Amiri"/>
          <w:color w:val="111111"/>
          <w:sz w:val="28"/>
          <w:sz w:val="28"/>
          <w:szCs w:val="28"/>
          <w:rtl w:val="true"/>
          <w:lang w:bidi="ar-SA"/>
        </w:rPr>
        <w:t>ما لو رجع عن الإقرار في الأوّل، فإنّه لايقبل و لاتتوجّه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لايثبت الإقرار بنسب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إلا ببيّنة</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الصفات المعتبرة في المقرّ معتبرة في الإقرار بالنسب و يزيد هنا شرائط أُخر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وتحرير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المقرّ بنسب إمّا ولد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ولداً اعتبر 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لايكذّبه الحسّ بأن يكون ما يدّعيه ممكناً، فلو كان في سنّ لايتصوّر أن يكون ولداً للمستلحق، بأن كان أكبر منه سنّاً، أو مثله، أو كان المستلحق أكبر ولكن بقدر لايولد لمثله، فلا اعتبار بإقراره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في إلحاقه إمكان تولّده منه عادةً، و هو أخص من مطلق إمكان تولّده؛ لأنّ ابن العشر قد تقدّم أنه يمكن التولّد منه</w:t>
      </w:r>
      <w:r>
        <w:rPr>
          <w:rStyle w:val="FootnoteAnchor"/>
          <w:rtl w:val="true"/>
        </w:rPr>
        <w:footnoteReference w:id="2150"/>
      </w:r>
      <w:r>
        <w:rPr>
          <w:rFonts w:ascii="Amiri" w:hAnsi="Amiri" w:eastAsia="Amiri" w:cs="Amiri"/>
          <w:color w:val="111111"/>
          <w:sz w:val="28"/>
          <w:sz w:val="28"/>
          <w:szCs w:val="28"/>
          <w:rtl w:val="true"/>
          <w:lang w:bidi="ar-SA"/>
        </w:rPr>
        <w:t>لكن ذلك خلاف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اعتبار مطلق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بين المقرّ و بين أمّ الولد مسافة لايمكن الوصول في مثل عمر الولد إليها، أو</w:t>
      </w:r>
    </w:p>
    <w:p>
      <w:pPr>
        <w:pStyle w:val="BookText"/>
        <w:rPr/>
      </w:pPr>
      <w:r>
        <w:rPr>
          <w:rFonts w:ascii="Amiri" w:hAnsi="Amiri" w:eastAsia="Amiri" w:cs="Amiri"/>
          <w:color w:val="111111"/>
          <w:sz w:val="28"/>
          <w:sz w:val="28"/>
          <w:szCs w:val="28"/>
          <w:rtl w:val="true"/>
          <w:lang w:bidi="ar-SA"/>
        </w:rPr>
        <w:t>علم عدم خروج المقرّ إلى بلدها،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لايكذّبه الشرع، بأن يكون المستلحق مشهور النسب من غيره؛ لأنّ النسب</w:t>
      </w:r>
    </w:p>
    <w:p>
      <w:pPr>
        <w:pStyle w:val="BookText"/>
        <w:rPr/>
      </w:pPr>
      <w:r>
        <w:rPr>
          <w:rFonts w:ascii="Amiri" w:hAnsi="Amiri" w:eastAsia="Amiri" w:cs="Amiri"/>
          <w:color w:val="111111"/>
          <w:sz w:val="28"/>
          <w:sz w:val="28"/>
          <w:szCs w:val="28"/>
          <w:rtl w:val="true"/>
          <w:lang w:bidi="ar-SA"/>
        </w:rPr>
        <w:t>الثابت من شخص لاينتقل إلى غيره، و لا فرق بين أن يصدقه المستلحق أو يكذّبه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يلحق الولد المنفيّ باللعان بغير المعروف بالنسب، من حيث انتفائه شرعاً عمّن عرف به أم بالمعلوم؟ وجهان، من عدم المنازع و انتفائه شرعاً، و من بقاء شبهة النسب، و من ثَمّ لو استلحقه الملاعن بعد ذلك ورثه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لاينازعه في الدعوى من يمكن الإلحاق به، فإنّ الولد حينئذٍ لايلحق بالمقرّ</w:t>
      </w:r>
    </w:p>
    <w:p>
      <w:pPr>
        <w:pStyle w:val="BookText"/>
        <w:rPr/>
      </w:pPr>
      <w:r>
        <w:rPr>
          <w:rFonts w:ascii="Amiri" w:hAnsi="Amiri" w:eastAsia="Amiri" w:cs="Amiri"/>
          <w:color w:val="111111"/>
          <w:sz w:val="28"/>
          <w:sz w:val="28"/>
          <w:szCs w:val="28"/>
          <w:rtl w:val="true"/>
          <w:lang w:bidi="ar-SA"/>
        </w:rPr>
        <w:t>و لا بالآخر إلا بالبيّنة أو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إطلاق العبارة يقتضي استواء الأمّ و الأب في الدعوى بشرائطها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في الأب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 ففي إلحاقها به قولان</w:t>
      </w:r>
      <w:r>
        <w:rPr>
          <w:rStyle w:val="FootnoteAnchor"/>
          <w:rtl w:val="true"/>
        </w:rPr>
        <w:footnoteReference w:id="2151"/>
      </w:r>
    </w:p>
    <w:p>
      <w:pPr>
        <w:pStyle w:val="BookText"/>
        <w:rPr/>
      </w:pPr>
      <w:r>
        <w:rPr>
          <w:rFonts w:ascii="Amiri" w:hAnsi="Amiri" w:eastAsia="Amiri" w:cs="Amiri"/>
          <w:color w:val="111111"/>
          <w:sz w:val="28"/>
          <w:sz w:val="28"/>
          <w:szCs w:val="28"/>
          <w:rtl w:val="true"/>
          <w:lang w:bidi="ar-SA"/>
        </w:rPr>
        <w:t xml:space="preserve">و القول بعدم الإلحاق للشهيد في الدروس الشرعيّة،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موسوعة الشهيد الأوّل،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منشؤهما عموم الأدلّة الدالّة على نفوذ الإقرار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تصديق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يعتبر تصديق الكبير ؟ ظاهر كلامه في النهاية لا، و في المبسوط يعتبر، و 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أنكر الكبير لم يثبت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يثبت النسب في غير الولد، إلّا بتصديق المقرّ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بالولد</w:t>
      </w:r>
      <w:r>
        <w:rPr>
          <w:rStyle w:val="FootnoteAnchor"/>
          <w:rtl w:val="true"/>
        </w:rPr>
        <w:footnoteReference w:id="2152"/>
      </w:r>
      <w:r>
        <w:rPr>
          <w:rFonts w:ascii="Amiri" w:hAnsi="Amiri" w:eastAsia="Amiri" w:cs="Amiri"/>
          <w:color w:val="111111"/>
          <w:sz w:val="28"/>
          <w:sz w:val="28"/>
          <w:szCs w:val="28"/>
          <w:rtl w:val="true"/>
          <w:lang w:bidi="ar-SA"/>
        </w:rPr>
        <w:t>، و من ثبوت نسب غير معلوم الثبوت على خلاف الأصل فيقتصر على إقرار الرجل، مع وجود الفارق بينهما بإمكان إقامة الأُمّ البيّنة على الولادة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لايعتبر تصديق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يعتبر تصديق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شرط رابع مختلف فيه، و هو تصديق الولد لمن استلحقه إذا كان ممّن يعتبر 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استلحق بالغاً عاقلاً فكذّبه لم يثبت النسب في أظهر القولين؛ لأنّ الإقرار بالنسب يتضمّن الإقرار في حقّ الغير فيتوقّف على تصديقه أو البيّنة، فإن لم يكن بيّنة حلّفه، فإن حلف سقطت دعواه، وإن نكل حلف المدّعي و ثبت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استلحقه صغيراً ثبت نسبه و ورث كلّ واحد منهما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المجنون بحكم الصغير</w:t>
      </w:r>
    </w:p>
    <w:p>
      <w:pPr>
        <w:pStyle w:val="BookText"/>
        <w:rPr/>
      </w:pPr>
      <w:r>
        <w:rPr>
          <w:rFonts w:ascii="Amiri" w:hAnsi="Amiri" w:eastAsia="Amiri" w:cs="Amiri"/>
          <w:color w:val="111111"/>
          <w:sz w:val="28"/>
          <w:sz w:val="28"/>
          <w:szCs w:val="28"/>
          <w:rtl w:val="true"/>
          <w:lang w:bidi="ar-SA"/>
        </w:rPr>
        <w:t>في عدم اعتبار تصديقه؛ لاشتراكهما في عدم 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اعتبار تصديقه أنّ ذلك إقرار في حقّ نفسه؛ و لهذا لم يعتبر تصديق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ضعفه ظاهر؛ لاشتراك الحقّ، و خروج الصغير بالإجماع، و تعذّره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يعتبر التصديق لم يكفِ عدم التكذيب؛ لأنّه أعمّ منه فلايدلّ عليه، خلافاً لظاهر عبارة القواعد حيث اعتبر في الكبير عدم التكذيب</w:t>
      </w:r>
      <w:r>
        <w:rPr>
          <w:rStyle w:val="FootnoteAnchor"/>
          <w:rtl w:val="true"/>
        </w:rPr>
        <w:footnoteReference w:id="2153"/>
      </w:r>
      <w:r>
        <w:rPr>
          <w:rFonts w:ascii="Amiri" w:hAnsi="Amiri" w:eastAsia="Amiri" w:cs="Amiri"/>
          <w:color w:val="111111"/>
          <w:sz w:val="28"/>
          <w:sz w:val="28"/>
          <w:szCs w:val="28"/>
          <w:rtl w:val="true"/>
          <w:lang w:bidi="ar-SA"/>
        </w:rPr>
        <w:t>، و كأنّه تجوّز في العبارة، و قد صرّح في غيرها باشتراط التصديق</w:t>
      </w:r>
      <w:r>
        <w:rPr>
          <w:rStyle w:val="FootnoteAnchor"/>
          <w:rtl w:val="true"/>
        </w:rPr>
        <w:footnoteReference w:id="2154"/>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لايثبت النسب في غير الولد، إلّا بتصديق المقرّ به</w:t>
      </w:r>
      <w:r>
        <w:rPr>
          <w:rFonts w:eastAsia="Amiri" w:cs="Amiri" w:ascii="Amiri" w:hAnsi="Amiri"/>
          <w:color w:val="111111"/>
          <w:sz w:val="28"/>
          <w:szCs w:val="28"/>
          <w:rtl w:val="true"/>
          <w:lang w:bidi="ar-SA"/>
        </w:rPr>
        <w:t xml:space="preserve">» </w:t>
      </w:r>
      <w:bookmarkStart w:id="696" w:name="pg10270_80672"/>
    </w:p>
    <w:p>
      <w:pPr>
        <w:pStyle w:val="Heading5"/>
        <w:numPr>
          <w:ilvl w:val="4"/>
          <w:numId w:val="1"/>
        </w:numPr>
        <w:rPr/>
      </w:pPr>
      <w:bookmarkStart w:id="697" w:name="__RefHeading___Toc3860482_1067777946"/>
      <w:bookmarkStart w:id="698" w:name="_Toc255"/>
      <w:bookmarkEnd w:id="696"/>
      <w:bookmarkEnd w:id="697"/>
      <w:r>
        <w:rPr>
          <w:rtl w:val="true"/>
        </w:rPr>
        <w:t>إذا أقرّ بغير الولد للصلب</w:t>
      </w:r>
      <w:bookmarkEnd w:id="6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أقرّ بغير الولد للصلب و لا ورثة له، و صدّقه المقرّ به توارثا بينهما، و لايتعدّى التوارث إلى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له ورثة مشهورون، لم يُقبل إقراره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 حكم إلحاق الولد للصلب، وإلحاق النسب فيه بنفس المقرّ، و أمّا الإقرار بغيره فالنسب فيه يلحق بغيره، فإنّه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ابن أبي و ابن أمّي، و لو أقرّ بعمومة غيره كان النسب ملحقاً بالجدّ، 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في هذا الإلحاق ما تقدّم من الشرائط، و يزيد اعتبار تصديق المقرّ به أو البيّنة على الدعوى وإن كان ولد ولد؛ لأنّ إلحاقه بالولد قياس مع وجود الفارق، فإنّ إلحاق نسبه بغير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أقرّ بغير الولد للصلب و لا ورثة له، و صدّقه المقرّ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جملة ما افترق فيه الإقرار بالولد عن غيره، فإنّ الإقرار بالولد مع التصديق أو بدونه يثبت به النسب، ويتعدّى التوارث إلى غيرهما من أنسابهما بشرطه، و أمّا الإقرار بغير الولد للصلب وإن كان ولد ولد فيختصّ حكمه مع التصديق بالمتصادقين؛ لما تقرّر من أنّ ذلك إقرار بنسب الغير، فلايتعدّى المقرّ، و لو لم يحصل تصديق افتقر إلى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الشرائط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الملحق به ميّتاً، فما دام حيّاً لم يكن لغيره الإلحاق به و إن كان مجنوناً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لايكون الملحق به قد نفى المقرّ به، أمّا إذا نفاه ثمّ استلحقه وارثه بعد موته ففي لحوقه و جهان، من سبق الحكم ببطلان هذا النسب، و في إلحاقه به بعد الموت إلحاق عارٍ بنسبة، و شرط الوارث أن يفعل ما فيه حظّ المورّث لا ما يتضرّر به، و من أنّ المورّث لو استلحقه بعد ما نفاه باللعان و غيره لحق به وإن لم يرثه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 ورثة مشهورون، لم يُقبل إقراره في النسب</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ذلك إقرار في حقّ الغير حيث إنّ الإرث يثبت شرعاً للورثة المعروفين، فإقراره بوارث آخر يقتضى منعهم من الإرث أو مشاركتهم فيه أو مشاركة من ينتسب إليهم، فلايقبل بمجرّده وإن صادقه الآخر، بل يفتقر إلى البيّنة</w:t>
      </w:r>
      <w:r>
        <w:rPr>
          <w:rFonts w:eastAsia="Amiri" w:cs="Amiri" w:ascii="Amiri" w:hAnsi="Amiri"/>
          <w:color w:val="111111"/>
          <w:sz w:val="28"/>
          <w:szCs w:val="28"/>
          <w:rtl w:val="true"/>
          <w:lang w:bidi="ar-SA"/>
        </w:rPr>
        <w:t xml:space="preserve">. </w:t>
      </w:r>
      <w:bookmarkStart w:id="699" w:name="pg10270_80673"/>
    </w:p>
    <w:p>
      <w:pPr>
        <w:pStyle w:val="BookText"/>
        <w:rPr/>
      </w:pPr>
      <w:bookmarkEnd w:id="699"/>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أقرّ بولد صغير فثبت نسبه، ثمّ بلغ فأنكر لم يلتفت إلى إنكاره؛ لتحقّق النسب سابقاً على الإنكار</w:t>
      </w:r>
      <w:r>
        <w:rPr>
          <w:rFonts w:eastAsia="IRNazanin" w:cs="IRNazanin"/>
          <w:color w:val="111111"/>
          <w:sz w:val="28"/>
          <w:szCs w:val="28"/>
          <w:rtl w:val="true"/>
          <w:lang w:bidi="fa-IR"/>
        </w:rPr>
        <w:t>.</w:t>
      </w:r>
    </w:p>
    <w:p>
      <w:pPr>
        <w:pStyle w:val="Heading5"/>
        <w:numPr>
          <w:ilvl w:val="4"/>
          <w:numId w:val="1"/>
        </w:numPr>
        <w:rPr/>
      </w:pPr>
      <w:bookmarkStart w:id="700" w:name="__RefHeading___Toc3860484_1067777946"/>
      <w:bookmarkStart w:id="701" w:name="_Toc256"/>
      <w:bookmarkEnd w:id="700"/>
      <w:r>
        <w:rPr>
          <w:rtl w:val="true"/>
        </w:rPr>
        <w:t>إذا أقرّ ولد الميّت بولد له آخر فأقرّا بثالث</w:t>
      </w:r>
      <w:bookmarkEnd w:id="701"/>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أقرّ ولد الميّت بولد له آخر فأقرّا بثالث ثبت نسب الثالث إن كانا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أنكر الثالث الثاني لم يثبت نسب الثاني، لكن يأخذ الثالث نصف التركة، و يأخذ الأوّل ثلث التركة، و الثانى السدس، و هو تكملة نصيب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الاثنان معلومي النسب، فأقرّا بثالث ثبت نسبه إن كانا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أنكر الثالث أحدهما لم يلتفت إليه، و كانت التركة بينهم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 بولد صغير فثبت نسبه، ثمّ بلغ فأنكر لم يلتفت إلى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بذلك على خلاف بعض العامّة حيث ذهب إلى انتفاء النسب بإنكاره بعد البلوغ</w:t>
      </w:r>
      <w:r>
        <w:rPr>
          <w:rStyle w:val="FootnoteAnchor"/>
          <w:rtl w:val="true"/>
        </w:rPr>
        <w:footnoteReference w:id="2155"/>
      </w:r>
      <w:r>
        <w:rPr>
          <w:rFonts w:ascii="Amiri" w:hAnsi="Amiri" w:eastAsia="Amiri" w:cs="Amiri"/>
          <w:color w:val="111111"/>
          <w:sz w:val="28"/>
          <w:sz w:val="28"/>
          <w:szCs w:val="28"/>
          <w:rtl w:val="true"/>
          <w:lang w:bidi="ar-SA"/>
        </w:rPr>
        <w:t>لأنّا إنّما حكمنا به حيث لم يكن إنكار و لا صلاحيّة له فإذا تحقّق صار كالكبير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بأنّ هذا لو أقرّ لزم أن لايثبت قبل البلوغ أيضاً؛ لفقد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اعترف</w:t>
      </w:r>
    </w:p>
    <w:p>
      <w:pPr>
        <w:pStyle w:val="BookText"/>
        <w:rPr/>
      </w:pPr>
      <w:r>
        <w:rPr>
          <w:rFonts w:ascii="IRNazanin" w:hAnsi="IRNazanin" w:eastAsia="IRNazanin"/>
          <w:color w:val="111111"/>
          <w:sz w:val="28"/>
          <w:sz w:val="28"/>
          <w:szCs w:val="28"/>
          <w:rtl w:val="true"/>
          <w:lang w:bidi="fa-IR"/>
        </w:rPr>
        <w:t>ببنوّته وجب استصحابه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حيث نقول بعدم الالتفات إلى إنكاره لو أراد المقرّ به تحليف المقرّ لم يكن له ذلك؛ لأنّه</w:t>
      </w:r>
    </w:p>
    <w:p>
      <w:pPr>
        <w:pStyle w:val="BookText"/>
        <w:rPr/>
      </w:pPr>
      <w:r>
        <w:rPr>
          <w:rFonts w:ascii="Amiri" w:hAnsi="Amiri" w:eastAsia="Amiri" w:cs="Amiri"/>
          <w:color w:val="111111"/>
          <w:sz w:val="28"/>
          <w:sz w:val="28"/>
          <w:szCs w:val="28"/>
          <w:rtl w:val="true"/>
          <w:lang w:bidi="ar-SA"/>
        </w:rPr>
        <w:t>لو رجع لم يقبل فلا معنى لتحليفه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استلحق مجنوناً فأفاق و أنكر فالأظهر أنّه كالصغير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أقرّ ولد الميّت بولد له آخر فأقرّا بثالث ثبت نسب الثالث إن كانا عدلين و لو أنكر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أقرّ الولدان بثالث شاركهما في الإرث بالنسبة، سواء كانا عدلين أم لا، ولكن لايثبت نسبه إلّا مع عدالتهما، فلايتعدّاهما الميراث بدون العدالة كما مرّ، و كذلك توقّف نسب الثاني على اعتراف الثالث و عدالته مع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فرض إنكار الثالث الثاني لم يثبت نسب الثاني،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سواء كان الأوّلان عدلين أم لا؛ لأنّه لم يشهد به؛ إذ لم يعترف سوى الأوّل، فيثبت نسبه في حقّه خاصّةً</w:t>
      </w:r>
      <w:r>
        <w:rPr>
          <w:rStyle w:val="FootnoteAnchor"/>
          <w:rtl w:val="true"/>
        </w:rPr>
        <w:footnoteReference w:id="2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فيأخذ الثالث نصف التركة؛ لأنّ إرثه ثابت باعتراف الأوّلين، و كذلك الأوّل باعتراف الآخرين، فكان المتّفق عليهما الاثنين، فيكون للثالث نصف التركة و الأوّل يعترف بأنّهم ثلاثة فليس له إلّا ثلثها، و يبقى سدس من التركة للثاني ثابتاً له باعتراف الأوّل، و هو المراد بقول المصنّف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نصيب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تكملته بزعم الثالث، وإلّا فهو يعترف أن لانصيب له في الزائد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 بأنّ النصف يقسّم بين الأوّل و الثاني بالسويّة؛ لأنّ ميراث البنين يقتضي التسوية، و لايسلّم لأحدهم شيء إلّا و يسلّم للآخر مثله، و الثالث بزعمهما غصبهما بعض حقّهما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الأوّل؛ لأنّ حقّ الثاني شائع فيما في يد الأوّل و الثالث بالسويّة، فله الثلث من</w:t>
      </w:r>
    </w:p>
    <w:p>
      <w:pPr>
        <w:pStyle w:val="BookText"/>
        <w:rPr/>
      </w:pPr>
      <w:r>
        <w:rPr>
          <w:rFonts w:ascii="Amiri" w:hAnsi="Amiri" w:eastAsia="Amiri" w:cs="Amiri"/>
          <w:color w:val="111111"/>
          <w:sz w:val="28"/>
          <w:sz w:val="28"/>
          <w:szCs w:val="28"/>
          <w:rtl w:val="true"/>
          <w:lang w:bidi="ar-SA"/>
        </w:rPr>
        <w:t>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الضابط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الصورة و 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أصل المسألة على قول المنكر و أصلها على قول المقرّ، و يضرب أحدهما في الآخر، و يقسّم الحاصل باعتبار مسألة الإنكار، فيدفع نصيب المنكر منه إليه، ثمّ باعتبار مسألة الإقرار، فيدفع نصيب المقرّ منه إليه، و يدفع الباقي إلى المقرّ به، فمسألة الإنكار في هذه الصورة من اثنين، و مسألة الإقرار من ثلاثة، فيضرب أحدهما في الآخر، فثلث المرتفع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للمقرّ، و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للمنكر، ويبقى سهم للآخر</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في أصل المسألة على قول المنكر و يصرف إليه نصيبه منها، ثمّ يقسّم الباقي بين المقرّ و المقرّ به، فإن انكسر صحّحته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المسألة في هذه الصورة على قول المنكر اثنان، يدفع إليه واحد منهما، و الآخر لاينقسم على اثنين </w:t>
      </w:r>
      <w:bookmarkStart w:id="702" w:name="pg10270_80675"/>
    </w:p>
    <w:p>
      <w:pPr>
        <w:pStyle w:val="Heading5"/>
        <w:numPr>
          <w:ilvl w:val="4"/>
          <w:numId w:val="1"/>
        </w:numPr>
        <w:rPr/>
      </w:pPr>
      <w:bookmarkStart w:id="703" w:name="__RefHeading___Toc3860486_1067777946"/>
      <w:bookmarkStart w:id="704" w:name="_Toc257"/>
      <w:bookmarkEnd w:id="702"/>
      <w:bookmarkEnd w:id="703"/>
      <w:r>
        <w:rPr>
          <w:rtl w:val="true"/>
        </w:rPr>
        <w:t>إذاكان للميّت إخوة و زوجة فأقرّت له بولد</w:t>
      </w:r>
      <w:bookmarkEnd w:id="704"/>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للميّت إخوة و زوجة فأقرّت له بولد كان لها الثمن، فإن صدّقها الإخوة كان الباقي للولد دون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كلّ وارث في الظاهر أقرّ بمن هو أقرب منه دفع إليه جميع 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مثله دفع إليه من نصيبه بنسبة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أنكر الإخوة كان لهم ثلاثة الأرباع، و للزوجة الثمن، و باقى حصتها للولد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فتضرب اثنين، في أصل المسألة، فالمرتفع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للمنكر، و نصفه للآخرين لكلّ منهما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إذا لم يكن الأوّلان معلومي النسب، وإلّا فلا عبرة بإنكار الثالث، و كانت التركة بينهم أثلاثاً؛ لثبوت نسب الأوّلين و اعترافهما بالثالث، سواء كانا عدلين أم لا، لكن مع عدالتهما يثبت نسب الثالث وإلّا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للميّت إخوة و زوجة فأقرّت له بولد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بنسبة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الوارث للميّت ظاهراً إخوة و زوجة فلها الربع ظاهراً، فإذا أقرّت بولد فقد أقرّت له بنصف نصيبها و هو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ينظر إن صادقها الإخوة دفعوا إليه جميع ما يخصّهم ظاهراً و هو ثلاثة أرباع التركة؛ لأنّ ذلك مقتضى حكم الولد، سواء ثبت نسبه بأن كان فيهم عدلان أم لا، و كذا القول في كلّ وارث ظاهراً أقرّ بمن هو أولى منه ، كما لو أقرّ العمّ أو الأعمام بأخ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الوارث في نفس الأمر؛ فإنّ إرثه كذلك مناف صحّة إقراره، فيمتنع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لم يكن وارثاً أصلاً؛ فإنّ إقراره لايعتبر؛لأنّه إقرار على الغير، وإنّما ينفذ</w:t>
      </w:r>
    </w:p>
    <w:p>
      <w:pPr>
        <w:pStyle w:val="BookText"/>
        <w:rPr/>
      </w:pPr>
      <w:r>
        <w:rPr>
          <w:rFonts w:ascii="Amiri" w:hAnsi="Amiri" w:eastAsia="Amiri" w:cs="Amiri"/>
          <w:color w:val="111111"/>
          <w:sz w:val="28"/>
          <w:sz w:val="28"/>
          <w:szCs w:val="28"/>
          <w:rtl w:val="true"/>
          <w:lang w:bidi="ar-SA"/>
        </w:rPr>
        <w:t>إقرار الوارث ظاهراً؛ لكونه إقراراً على ما في يده</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الوارث قد أقرّ بمساوٍ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أقرّ الأخ بآخر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إليه بنسبة 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نصيب المقرّبه إلى أنصباء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نصيبه، أي نصيب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أحد الأخوين قد أقرّ بأُخت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إليها من 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لأنّه نسبة نصيب الأُخت إلى سهام </w:t>
      </w:r>
      <w:bookmarkStart w:id="705" w:name="pg10270_80676"/>
    </w:p>
    <w:p>
      <w:pPr>
        <w:pStyle w:val="Heading5"/>
        <w:numPr>
          <w:ilvl w:val="4"/>
          <w:numId w:val="1"/>
        </w:numPr>
        <w:rPr/>
      </w:pPr>
      <w:bookmarkStart w:id="706" w:name="__RefHeading___Toc3860488_1067777946"/>
      <w:bookmarkStart w:id="707" w:name="_Toc258"/>
      <w:bookmarkEnd w:id="705"/>
      <w:bookmarkEnd w:id="706"/>
      <w:r>
        <w:rPr>
          <w:rtl w:val="true"/>
        </w:rPr>
        <w:t>إذا مات صبىّ مجهول النسب فأقرّ إنسان ببنوّته</w:t>
      </w:r>
      <w:bookmarkEnd w:id="707"/>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صبىّ مجهول النسب فأقرّ إنسان ببنوّته ثبت نسبه، صغيراً كان أو كبيراً، سواء كان له مال أو لم يكن، و كان ميراثه للمقرّ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لايقدح في ذلك احتمال التهمة، كما لو كان حيّاً و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اعتبار التصديق في طرف الميّت و لو كان كبيراً؛ لأنّه في معنى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أقرّ ببنوّة مجنون، فإنّه يسقط اعتبار تصديقه؛ لأنّه لاحكم لكلامه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الأخوين، ويبقى من نصيبها على زعمه خمس آخر من نصيب الأخ غير المقرّ، 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المقرّ يدفع إلى المقرّ له ما زاد من نصيبه لولا الإقرار على تقدير وجود المقرّ به، فالزوجة تدفع الثمن؛ لأنّه الفاضل من نصيبها لولا إقرارها بالولد، و الأخ يدفع الخمس؛ لأنّه الفاضل من نصيبه لولا الإقرار بالأخت،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صبىّ مجهول النسب فأقرّ إنسان ببنوّته ثبت نسبه، صغيراً كان أو كبيراً، سواء كان له مال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مشهور بين الأصحاب، ذكره الشيخ في المبسوط و غيره</w:t>
      </w:r>
      <w:r>
        <w:rPr>
          <w:rStyle w:val="FootnoteAnchor"/>
          <w:rtl w:val="true"/>
        </w:rPr>
        <w:footnoteReference w:id="2157"/>
      </w:r>
      <w:r>
        <w:rPr>
          <w:rFonts w:ascii="Amiri" w:hAnsi="Amiri" w:eastAsia="Amiri" w:cs="Amiri"/>
          <w:color w:val="111111"/>
          <w:sz w:val="28"/>
          <w:sz w:val="28"/>
          <w:szCs w:val="28"/>
          <w:rtl w:val="true"/>
          <w:lang w:bidi="ar-SA"/>
        </w:rPr>
        <w:t>، و ادّعى عليه الاتّفاق</w:t>
      </w:r>
      <w:r>
        <w:rPr>
          <w:rStyle w:val="FootnoteAnchor"/>
          <w:rtl w:val="true"/>
        </w:rPr>
        <w:footnoteReference w:id="2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مع صغر الميّت واضح؛ لأنّ اعتبار التصديق ساقط في جانب الصغير لو كان حيّاً فكذا مع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لايقدح التهمة بطلب المال لو كان له مال كما لايقدح لو كان حيّاً موسراً و المقرّ فقير؛ لعدم المنازع في ماله حينئذٍ، و لأنّ أمر النسب مبنيّ على التغليب؛ و لهذا يثبت بمجرّد الإمكان، حتّى لو قتله ثمّ استلحقه فإنّه يقبل استلحاقه ويحكم بسقوط القصاص</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لايقدح في ذلك احتمال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خلاف أبي حنیفة؛ حيث ذهب إلى عدم لحوقه حينئذٍ؛ لثبوت التهمة في حقّه</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ولدت أمته ولداً فأقرّ ببنوّته لحق به، و حكم بحرّيّته، بشرط أن لايكون لها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باعترافه بعدم قدح التهمة في حياته و يساره و فقر المقرّ فكذا بعد موته؛ لاشتراكهما</w:t>
      </w:r>
    </w:p>
    <w:p>
      <w:pPr>
        <w:pStyle w:val="BookText"/>
        <w:rPr/>
      </w:pPr>
      <w:r>
        <w:rPr>
          <w:rFonts w:ascii="Amiri" w:hAnsi="Amiri" w:eastAsia="Amiri" w:cs="Amiri"/>
          <w:color w:val="111111"/>
          <w:sz w:val="28"/>
          <w:sz w:val="28"/>
          <w:szCs w:val="28"/>
          <w:rtl w:val="true"/>
          <w:lang w:bidi="ar-SA"/>
        </w:rPr>
        <w:t>في المعنى و هو كون الصغير ليس أهلاً للتصديق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تقدير كونه كبيراً فوجّهوه بما أشار إليه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الميّت</w:t>
      </w:r>
    </w:p>
    <w:p>
      <w:pPr>
        <w:pStyle w:val="BookText"/>
        <w:rPr/>
      </w:pPr>
      <w:r>
        <w:rPr>
          <w:rFonts w:ascii="Amiri" w:hAnsi="Amiri" w:eastAsia="Amiri" w:cs="Amiri"/>
          <w:color w:val="111111"/>
          <w:sz w:val="28"/>
          <w:sz w:val="28"/>
          <w:szCs w:val="28"/>
          <w:rtl w:val="true"/>
          <w:lang w:bidi="ar-SA"/>
        </w:rPr>
        <w:t xml:space="preserve">في حكم الصغير حيث لايمكن في حقّه التصديق، فيسقط اعتباره كما سقط في حقّ الصغير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لايخلو من إشكال؛ لأصالة عدم النسب، و كون إلحاقه بمجرّد الدعوى على خلاف الأصل، فيقتصر فيه على موضع الوفاق و هو الصغير و إطلاق اشتراط تصديق الكبير، و هو منتفٍ هنا، و لا نصّ في المسألة و لا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 في التذكرة</w:t>
      </w:r>
      <w:r>
        <w:rPr>
          <w:rStyle w:val="FootnoteAnchor"/>
          <w:rtl w:val="true"/>
        </w:rPr>
        <w:footnoteReference w:id="2161"/>
      </w:r>
      <w:r>
        <w:rPr>
          <w:rFonts w:ascii="Amiri" w:hAnsi="Amiri" w:eastAsia="Amiri" w:cs="Amiri"/>
          <w:color w:val="111111"/>
          <w:sz w:val="28"/>
          <w:sz w:val="28"/>
          <w:szCs w:val="28"/>
          <w:rtl w:val="true"/>
          <w:lang w:bidi="ar-SA"/>
        </w:rPr>
        <w:t>لذلك، و عذره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الوجهان آتيان في استلحاق المجنون بعد بلوغه عاقلاً، سواء مات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ولدت أمته ولداً فأقرّ ببنوّته لحق به، و حكم بحرّيّته، بشرط أن لايكون لها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إمكان كونه منه كما هو شرط في غيره ممّن يلحق من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كانت فراشاً للمولى و ولادته متأخّرة عن ملكها بحيث يمكن علوقه بعد الملك حكم بكون الأمة أُمّ ولد، و إن احتمل تقدّمه عليه ففى الحكم بكونها أُمّ ولد بمجرّد إلحاق الولد و الحكم بلحوقه وجهان، من ظهور الاستيلاد في ملكه، و الأصل عدم غيره، و من إمكان استيلادها بالنكاح ثمّ ملكها بعد ذلك، أو أنّه استولدها بالشبهة أو بإباحة المولى، فلاتكون أمّ ولد بمجرّد لحوقه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رجع الوجهان إلى تعارض الأصل و الظاهر، و ترجيح الأصل هو الغالب</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إشكال لو صرّح في إقراره بعلوقه في ملكه أو بما يستلزمه،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في ملكي من خمس سنين وسنّ الولد أربع سنين، و نحوه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أقرّ بابن إحدى أمتيه وعيّنه 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ادّعت الأخرى أنّ ولدها هو الذي أقرّ به فالقول قول المقرّ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يعيّن و مات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الوارث، فإن امتنع أقرع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باستعمال القرعة بعد الوفاة مطلقاً كان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ولدته في ملكي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الأمران، من حيث إنّ الولادة لاتنافي علوقه قبله، بأن يحبلها قبل الملك ثمّ يشتريها فتلد في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لم يكن للأمة زوج، وإلّا كان لاحقاً به؛ لأنّه فراش و لم يلتفت إلى دعوى المولى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أقرّ بابن إحدى أمتيه و عيّنه 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له أمتان فصاعداً، و لكلّ واحدة ولد،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إحداهما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استلحاقهما ممكناً على الوجه السابق أمر بتعيينه، كما لو طلّق إحدى امرأتيه و أعتق أحد عبيده، فإذا عيّن أحدهما ثبت نسبه و كان حرّاً و 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صيرورة أُمّه أُمّ ولد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الحكم لو كان الولدان من أُمّ واحدة فأقرّ بأحدهما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تعدّدت الأُمّ و ادّعت الأُخرى أنّ المستلحق ولدها فالقول قول المولى مع يمينه؛ لأنّ الأصل معه، و هو ينفي ما تدّعيه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بلغ الولد و ادّعى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نكل المولى قال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المدّعي و قضي بمقتضى يمينه</w:t>
      </w:r>
      <w:r>
        <w:rPr>
          <w:rStyle w:val="FootnoteAnchor"/>
          <w:rtl w:val="true"/>
        </w:rPr>
        <w:footnoteReference w:id="2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يتمّ فيما لو كان المدّعى الولد، أمّا الأُمّ فإن كان إقراره متضمّناً كونها أُمّ ولد فيمينها لإثبات حقّها من أُمّيّة الولد جيّد، و أما لإثبات ولادة ولدها فمشكل؛ لأنّها تثبت بيمينها حقّاً لغيرها و هو حرّيّة الولد</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مات المقرّ قبل التعيين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وارثه مقامه في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أنه ينشئ تعييناً من غير علم سابق له بحقيقة الحال؛ لأنّ النسب لايلحق بالتشهّي، بل إن كان عالماً بالحال و لو بإقرار المورّث قبل إخباره بذلك؛ لأنّ الحقّ انتقل من المورّث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امتنع من التعيين لعدم علمه أو لغيره أُقرع</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له أولاد ثلاثة من أمة فأقرّ ببنوّة أحدهم فأيّهم عيّنه كان حرّاً، و الآخران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اشتبه المعيّن و مات أو لم يعيّن استخرج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بأنّه إقرار في حقّ الغير و لا دليل على قبوله، و لأنّ التعيين إنّما يعتدّ به إذا كان من جميع الورثة و المقرّ به منهم، فلو اعتبر تعيينه لزم الدور، فلذلك ذهب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باستعمال القرعة بعد الوفاة مطلقاً، أي سواء ادّعى الوارث العلم و عيّن أم لا؛ لأنّ هذا من الأمور المشكلة، و مورد القرعة بالنصّ</w:t>
      </w:r>
      <w:r>
        <w:rPr>
          <w:rStyle w:val="FootnoteAnchor"/>
          <w:rtl w:val="true"/>
        </w:rPr>
        <w:footnoteReference w:id="2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خرجت القرعة لواحد، و كان قد ذكر المقرّ ما يقتضي أُمّيّة أُمّه صارت أُمّ ولد بذلك</w:t>
      </w:r>
    </w:p>
    <w:p>
      <w:pPr>
        <w:pStyle w:val="BookText"/>
        <w:rPr/>
      </w:pPr>
      <w:r>
        <w:rPr>
          <w:rFonts w:ascii="Amiri" w:hAnsi="Amiri" w:eastAsia="Amiri" w:cs="Amiri"/>
          <w:color w:val="111111"/>
          <w:sz w:val="28"/>
          <w:sz w:val="28"/>
          <w:szCs w:val="28"/>
          <w:rtl w:val="true"/>
          <w:lang w:bidi="ar-SA"/>
        </w:rPr>
        <w:t>من غير احتياج إلى قرعة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له أولاد ثلاثة من أمة فأقرّ ببنوّة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بين كون المعيّن الأكبر من الأولاد و الأصغر و الأوسط، إن لم نقل بصيرورة الأمة فراشاً بالوطء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لايلحق ولدها بالمولى إلّا بإقراره 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على التفريع على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البحث فيه</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القول الآخر بصيرورتها فراشاً بالوطء</w:t>
      </w:r>
      <w:r>
        <w:rPr>
          <w:rStyle w:val="FootnoteAnchor"/>
          <w:rtl w:val="true"/>
        </w:rPr>
        <w:footnoteReference w:id="2166"/>
      </w:r>
      <w:r>
        <w:rPr>
          <w:rFonts w:ascii="Amiri" w:hAnsi="Amiri" w:eastAsia="Amiri" w:cs="Amiri"/>
          <w:color w:val="111111"/>
          <w:sz w:val="28"/>
          <w:sz w:val="28"/>
          <w:szCs w:val="28"/>
          <w:rtl w:val="true"/>
          <w:lang w:bidi="ar-SA"/>
        </w:rPr>
        <w:t>يتحرّر المعيّن و من ولد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عيّن الأكبر و أقرّ به ابتداءً لحق به، و تبعه الأوسط و الأصغر؛ لكونهما مولودين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عيّن الأوسط أو أقرّ به تبعه الأصغر، و بقي الأكبر رقيقاً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عيّن الأصغر لحق به وحده، و كذا الحكم لو لم يعيّن و استخرج الولد بالقرعة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هذا فالأصغر نسيب حرّ على کلّ حال؛ لأنّه إما المقرّ به أو تابع لمن قبله بالفراش، بخلاف الآخرين؛ لاحتمال كون المقرّ به هو الأصغر فيكونان رقّاً</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فهل يفتقر إلى إدخاله فى القرعة؟ وجهان لا؛ لأنّها لإخراج المشتبه بالحرّيّة </w:t>
      </w:r>
      <w:bookmarkStart w:id="708" w:name="pg10270_80680"/>
    </w:p>
    <w:p>
      <w:pPr>
        <w:pStyle w:val="Heading5"/>
        <w:numPr>
          <w:ilvl w:val="4"/>
          <w:numId w:val="1"/>
        </w:numPr>
        <w:rPr/>
      </w:pPr>
      <w:bookmarkStart w:id="709" w:name="__RefHeading___Toc3860490_1067777946"/>
      <w:bookmarkStart w:id="710" w:name="_Toc259"/>
      <w:bookmarkEnd w:id="708"/>
      <w:bookmarkEnd w:id="709"/>
      <w:r>
        <w:rPr>
          <w:rtl w:val="true"/>
        </w:rPr>
        <w:t>لايثبت النسب إلّا بشهادة رجلين عدلين</w:t>
      </w:r>
      <w:bookmarkEnd w:id="710"/>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لايثبت النسب إلّا بشهادة رجلين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لايثبت بشهادة رجل و امرأتين على الأظهر، و لا بشهادة رجل و يمين، و لا بشهادة فاسقين و لو كانا 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الرقّية و هو منفيّ في حقّه، و لجواز أن تقع القرعة على غيره فيلزم استرقاقه، و نعم، لا ليرقّ</w:t>
      </w:r>
    </w:p>
    <w:p>
      <w:pPr>
        <w:pStyle w:val="BookText"/>
        <w:rPr/>
      </w:pPr>
      <w:r>
        <w:rPr>
          <w:rFonts w:ascii="Amiri" w:hAnsi="Amiri" w:eastAsia="Amiri" w:cs="Amiri"/>
          <w:color w:val="111111"/>
          <w:sz w:val="28"/>
          <w:sz w:val="28"/>
          <w:szCs w:val="28"/>
          <w:rtl w:val="true"/>
          <w:lang w:bidi="ar-SA"/>
        </w:rPr>
        <w:t>إن خرجت لغيره بل ليرقّ غيره إن خرجت عليه، ويقتصر بالحرّيّة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 بمنع حرّيّته؛ لأنّ أُمّه وإن كانت أُمّ ولد يجوز أن يكون رقيقاً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بأنّا إذا حكمنا بصيرورتها فراشاً ألحقنا به أولادها ظاهراً، من غير التفات إلى إمكان كونهم من غيره و لو بوجه صحيح، فلايقدح هذا التجويز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الأصحاب أهملوا التفريع على هذا القول؛ نظراً إلى الأشهر بينهم من عدم صيرورتها فراشاً بالوطء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لايثبت النسب إلا بشهادة رجلين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حصر ثبوت النسب في شهادة رجلين بالنظر إلى الشهادة لا إلى مطلق ما يثبت به، فلاينافي ما سيأتي إن شاء الله من أنه يثبت بالاستفاضة</w:t>
      </w:r>
      <w:r>
        <w:rPr>
          <w:rStyle w:val="FootnoteAnchor"/>
          <w:rtl w:val="true"/>
        </w:rPr>
        <w:footnoteReference w:id="2167"/>
      </w:r>
      <w:r>
        <w:rPr>
          <w:rFonts w:ascii="Amiri" w:hAnsi="Amiri" w:eastAsia="Amiri" w:cs="Amiri"/>
          <w:color w:val="111111"/>
          <w:sz w:val="28"/>
          <w:sz w:val="28"/>
          <w:szCs w:val="28"/>
          <w:rtl w:val="true"/>
          <w:lang w:bidi="ar-SA"/>
        </w:rPr>
        <w:t>لأنّ مستندها ليس من حيث الشهادة بل من حيث إخبار من يؤمن الكذب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قرينة اختصاص الحصر بالشهادة ما نفى ثبوته به بعد ذلك من شهادة رجل و امرأتين، و شهادة رجل ويمين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والاعتذار عن الكلامين المظنون اختلافهما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 الافتقار إلى الشاهدين على ما إذا كان هناك منازع، و الاكتفاء بالشياع على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بجيّد؛ إذ لايفترق الحال فيما يثبت به بین المنازع و عدمه، بل الوجه ما ذكرناه من عدم المنافاة بين الأمرين، و أنّه يثبت بهما مطلقاً</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اختصاصه بالشاهدين دون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متعلّقه ليس مالاً، و لا المقصود منه المال و إن ترتّب عليه بالعرض كالميراث</w:t>
      </w:r>
      <w:r>
        <w:rPr>
          <w:rFonts w:eastAsia="Amiri" w:cs="Amiri" w:ascii="Amiri" w:hAnsi="Amiri"/>
          <w:color w:val="111111"/>
          <w:sz w:val="28"/>
          <w:szCs w:val="28"/>
          <w:rtl w:val="true"/>
          <w:lang w:bidi="ar-SA"/>
        </w:rPr>
        <w:t xml:space="preserve">. </w:t>
      </w:r>
      <w:bookmarkStart w:id="711" w:name="pg10270_80681"/>
    </w:p>
    <w:p>
      <w:pPr>
        <w:pStyle w:val="Heading5"/>
        <w:numPr>
          <w:ilvl w:val="4"/>
          <w:numId w:val="1"/>
        </w:numPr>
        <w:rPr/>
      </w:pPr>
      <w:bookmarkStart w:id="712" w:name="__RefHeading___Toc3860492_1067777946"/>
      <w:bookmarkStart w:id="713" w:name="_Toc260"/>
      <w:bookmarkEnd w:id="711"/>
      <w:bookmarkEnd w:id="712"/>
      <w:r>
        <w:rPr>
          <w:rtl w:val="true"/>
        </w:rPr>
        <w:t>لو شهد الأخوان بابن للميّت</w:t>
      </w:r>
      <w:bookmarkEnd w:id="713"/>
    </w:p>
    <w:p>
      <w:pPr>
        <w:pStyle w:val="BookText"/>
        <w:rPr/>
      </w:pPr>
      <w:r>
        <w:rPr>
          <w:rFonts w:ascii="Amiri" w:hAnsi="Amiri" w:eastAsia="Amiri" w:cs="Amiri"/>
          <w:color w:val="111111"/>
          <w:sz w:val="28"/>
          <w:sz w:val="28"/>
          <w:szCs w:val="28"/>
          <w:rtl w:val="true"/>
          <w:lang w:bidi="ar-SA"/>
        </w:rPr>
        <w:t xml:space="preserve">التاسعة • لو شهد الأخوان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كانا 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للميّت ثبت نسبه و ميراثه و لايكون ذلك 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كانا فاسقين لم يثبت النسب، ولكن يستحقّ دونهما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بثبوته بشهادة رجل و امرأتين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Style w:val="FootnoteAnchor"/>
          <w:rtl w:val="true"/>
        </w:rPr>
        <w:footnoteReference w:id="2168"/>
      </w:r>
      <w:r>
        <w:rPr>
          <w:rFonts w:ascii="Amiri" w:hAnsi="Amiri" w:eastAsia="Amiri" w:cs="Amiri"/>
          <w:color w:val="111111"/>
          <w:sz w:val="28"/>
          <w:sz w:val="28"/>
          <w:szCs w:val="28"/>
          <w:rtl w:val="true"/>
          <w:lang w:bidi="ar-SA"/>
        </w:rPr>
        <w:t>نظراً إلى ترتّب المال عليه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شاذ، مع أنّه حكم فيه في هذا الباب بعدم ثبوته بذلك</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شهد الأخوان و كانا عدلين بابن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لايكون ذلك 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الشيخ في المبسوط من توجّه الدور، من حيث إنّ الابن لو ورث لحجب الأخوين، وخرجا عن كونهما وارثين، فيبطل الإقرار بالنسب؛ لأنّه إقرار من ليس بوارث، وإذا بطل الإقرار بطل النسب، فيبطل الميراث</w:t>
      </w:r>
      <w:r>
        <w:rPr>
          <w:rStyle w:val="FootnoteAnchor"/>
          <w:rtl w:val="true"/>
        </w:rPr>
        <w:footnoteReference w:id="2170"/>
      </w:r>
      <w:r>
        <w:rPr>
          <w:rFonts w:ascii="Amiri" w:hAnsi="Amiri" w:eastAsia="Amiri" w:cs="Amiri"/>
          <w:color w:val="111111"/>
          <w:sz w:val="28"/>
          <w:sz w:val="28"/>
          <w:szCs w:val="28"/>
          <w:rtl w:val="true"/>
          <w:lang w:bidi="ar-SA"/>
        </w:rPr>
        <w:t>، فيؤدّي ثبوت الميراث إلى نفيه، و ذلك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اندفاعه على ما فرضه المصنّف واضح؛ لأنّ النسب يثبت من حيث شهادتهما لا</w:t>
      </w:r>
    </w:p>
    <w:p>
      <w:pPr>
        <w:pStyle w:val="BookText"/>
        <w:rPr/>
      </w:pPr>
      <w:r>
        <w:rPr>
          <w:rFonts w:ascii="Amiri" w:hAnsi="Amiri" w:eastAsia="Amiri" w:cs="Amiri"/>
          <w:color w:val="111111"/>
          <w:sz w:val="28"/>
          <w:sz w:val="28"/>
          <w:szCs w:val="28"/>
          <w:rtl w:val="true"/>
          <w:lang w:bidi="ar-SA"/>
        </w:rPr>
        <w:t>من حيث إقرارهما؛ لفرض كونهما عدلين، و شهادة العدلين تثبت النسب وإن كان الشاهد أجنبيّاً، و الشيخ فرضها على تقدير إقرار الأخوين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توهّم الدور على تقدير عدالتهما لا وجه له، سواء فرضا شاهدين أم مقرّين؛لأنّ إقرارهما في معنى الشهادة؛ إذ لايختصّ بلفظ مخصوص حتّى يفترق الحال، كما لايختصّ الإقرار كذلك، فيتأدّى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يتوجّه الدور مع كون المقرّ بمن هو أولى منه ممّن لايثبت به النسب، كما لو كان الأخ واحداً أو كانا غير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فيتّجه حينئذٍ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إقراره إنّما يسمع إذا كان </w:t>
      </w:r>
      <w:bookmarkStart w:id="714" w:name="pg10270_80682"/>
    </w:p>
    <w:p>
      <w:pPr>
        <w:pStyle w:val="Heading5"/>
        <w:numPr>
          <w:ilvl w:val="4"/>
          <w:numId w:val="1"/>
        </w:numPr>
        <w:rPr/>
      </w:pPr>
      <w:bookmarkStart w:id="715" w:name="__RefHeading___Toc3860494_1067777946"/>
      <w:bookmarkStart w:id="716" w:name="_Toc261"/>
      <w:bookmarkEnd w:id="714"/>
      <w:bookmarkEnd w:id="715"/>
      <w:r>
        <w:rPr>
          <w:rtl w:val="true"/>
        </w:rPr>
        <w:t>لو أقرّ بوارثين أولى منه ثمّ بآخرٍ أولی منهما</w:t>
      </w:r>
      <w:bookmarkEnd w:id="716"/>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أقرّ بوارثين أولى منه فصدّقه كلّ واحد عن نفسه لم يثبت النسب، و ثبت الميراث، و دفع إليهما 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تناكرا بينهما لم يلتفت إلى إنكارهما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 بوارث أولى منه، ثمّ أقرّ بآخر أولى منهما ، فإن صدّقه المقرّ له الأوّل دفع المال إلى الثاني، وإن كذّبه دفع المقرّ إلى الأوّل المال و غرمه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الثاني مساوياً للمقرّ له أوّلاً و لم يصدّقه الأول دفع المقرّ إلى الثاني مثل نصف ما حصل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وارثاً؛ لما تقدّم من أنّ إقرار الأجنبي بالوارث غير مسموع</w:t>
      </w:r>
      <w:r>
        <w:rPr>
          <w:rStyle w:val="FootnoteAnchor"/>
          <w:rtl w:val="true"/>
        </w:rPr>
        <w:footnoteReference w:id="2171"/>
      </w:r>
      <w:r>
        <w:rPr>
          <w:rFonts w:ascii="Amiri" w:hAnsi="Amiri" w:eastAsia="Amiri" w:cs="Amiri"/>
          <w:color w:val="111111"/>
          <w:sz w:val="28"/>
          <w:sz w:val="28"/>
          <w:szCs w:val="28"/>
          <w:rtl w:val="true"/>
          <w:lang w:bidi="ar-SA"/>
        </w:rPr>
        <w:t>، فإذا كان المقرّ به حاجباً للمقرّ اتّجه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ورث لحجب المقرّ، و لو حجبه يخرج عن أهليّة الإقرار، و إذا بطل الإقرار فلا نسب و لا ميراث، فيزول المانع من نفوذ إقراره، ويلزم من توريثه منع توريثه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حينئذٍ أنّ المعتبر كونه وارثاً لولا الإقرار، بل لایصحّ اعتبار كونه وارثاً في نفس الأمر؛ لأنّ ذلك لايجامع خروجه عن الإرث كما قرّرناه سابقاً</w:t>
      </w:r>
      <w:r>
        <w:rPr>
          <w:rStyle w:val="FootnoteAnchor"/>
          <w:rtl w:val="true"/>
        </w:rPr>
        <w:footnoteReference w:id="2172"/>
      </w:r>
      <w:r>
        <w:rPr>
          <w:rFonts w:ascii="Amiri" w:hAnsi="Amiri" w:eastAsia="Amiri" w:cs="Amiri"/>
          <w:color w:val="111111"/>
          <w:sz w:val="28"/>
          <w:sz w:val="28"/>
          <w:szCs w:val="28"/>
          <w:rtl w:val="true"/>
          <w:lang w:bidi="ar-SA"/>
        </w:rPr>
        <w:t>، و ذلك لاينافي خروجه عن الجائز به بالإقرار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أقرّ بوارثين أولى منه فصدّقه كلّ واحد عن نفسه لم يثبت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لم يلتفت إلى تناكرهما؛ لأنّ استحقاقهما للإرث يثبت في حالة واحدة، فلم يكن أحدهما أولى من الآخر، بخلاف ما لو أقرّ بأحدهما ثم أقرّ بالآخر؛ فإنّ اشتراكهما في التركة متوقّف على مصادقة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أقرّ بوارث أولى منه، ثمّ أقرّ بآخر أولى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أقرّ الوارث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هو أولى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 إقراره في المال؛ لكونه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حائزاً للتركة شرعاً، فيكون إقراره في حقّ نفسه، فإذا أقرّ بعد ذلك بمن هو أولى منهما كالولد، فإن صدّقه الأخ فلا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كذّبه فالمشهور أنّ التركة تدفع إلى الأخ؛ لأنّه استحقّها بإقرار الحائز لها أوّلاً، فيكون إقراره ثانياً بمن هو أولى منه بمنزلة الرجوع عن الأوّل و يعقّبه بالمنافي، فلايسمع في حق المقرّ له الأوّل، ولكن يغرم المقرّ للثاني التركة؛ لأنّه فوّتها عليه بإقراره الأوّل، فكان 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لفلان بل 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يتمّ مع تسليمه التركة اختياراً إلى الأخ؛ لأنّه حينئذٍ بمنزلة المتلف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التسليم فيشكل، بأنّه لا منافاة بين الإقرار بالأخ و الإقرار بالولد؛ لإمكان اجتماعهما على الصدق، بخلاف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بل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بإمكان أن لايكون عالماً بالولد حين أقرّ بالأخ، فلا تقصير وإن كان قد نفى وارثاً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الوجه بناء الضمان على ما تقدّم</w:t>
      </w:r>
      <w:r>
        <w:rPr>
          <w:rStyle w:val="FootnoteAnchor"/>
          <w:rtl w:val="true"/>
        </w:rPr>
        <w:footnoteReference w:id="2173"/>
      </w:r>
      <w:r>
        <w:rPr>
          <w:rFonts w:ascii="Amiri" w:hAnsi="Amiri" w:eastAsia="Amiri" w:cs="Amiri"/>
          <w:color w:val="111111"/>
          <w:sz w:val="28"/>
          <w:sz w:val="28"/>
          <w:szCs w:val="28"/>
          <w:rtl w:val="true"/>
          <w:lang w:bidi="ar-SA"/>
        </w:rPr>
        <w:t>من الخلاف فيمن أقرّ لميّت و عيّن له وارثاً هل يؤمر بالتسليم إليه بدون البحث أم لا ؟ فإن أوجبنا البحث فهنا كذلك، و لا ضمان بمجرّد الإقرار؛ لعدم استلزامه الاستحقاق</w:t>
      </w:r>
      <w:r>
        <w:rPr>
          <w:rStyle w:val="FootnoteAnchor"/>
          <w:rtl w:val="true"/>
        </w:rPr>
        <w:footnoteReference w:id="2174"/>
      </w:r>
      <w:r>
        <w:rPr>
          <w:rFonts w:ascii="Amiri" w:hAnsi="Amiri" w:eastAsia="Amiri" w:cs="Amiri"/>
          <w:color w:val="111111"/>
          <w:sz w:val="28"/>
          <w:sz w:val="28"/>
          <w:szCs w:val="28"/>
          <w:rtl w:val="true"/>
          <w:lang w:bidi="ar-SA"/>
        </w:rPr>
        <w:t>بذاته، و إن لم نوجبه، فإن سلّم التركة إلى الأخبأمر الحاكم، أو أوجبناه فأمره بعد البحث فلا ضمان إن لم يكن عالماً بالولد حينئذٍ؛ لعدم التفريط، و امتثاله الأمر، فلايتعقّب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سلّمه بدون أمره مع العلم ضمن قطعاً، و بدونه على الأقوى؛ لمباشرته الإتلاف، و لايفرّق بين العالم و الجاهل فيما يرجع إلى الغرم</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الثاني أولى من الأوّل كما فرضناه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مساوياً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أقرّ ثانياً بأخ آخر، أو أقرّ بولد ثم بآخر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يصدق المقرّ به الأوّل غرم للثاني مقدار نصيبه من التركة حيث نقول بالغرم</w:t>
      </w:r>
      <w:r>
        <w:rPr>
          <w:rFonts w:eastAsia="Amiri" w:cs="Amiri" w:ascii="Amiri" w:hAnsi="Amiri"/>
          <w:color w:val="111111"/>
          <w:sz w:val="28"/>
          <w:szCs w:val="28"/>
          <w:rtl w:val="true"/>
          <w:lang w:bidi="ar-SA"/>
        </w:rPr>
        <w:t xml:space="preserve">. </w:t>
      </w:r>
      <w:bookmarkStart w:id="717" w:name="pg10270_80684"/>
    </w:p>
    <w:p>
      <w:pPr>
        <w:pStyle w:val="Heading5"/>
        <w:numPr>
          <w:ilvl w:val="4"/>
          <w:numId w:val="1"/>
        </w:numPr>
        <w:rPr/>
      </w:pPr>
      <w:bookmarkStart w:id="718" w:name="__RefHeading___Toc3860496_1067777946"/>
      <w:bookmarkStart w:id="719" w:name="_Toc262"/>
      <w:bookmarkEnd w:id="717"/>
      <w:bookmarkEnd w:id="718"/>
      <w:r>
        <w:rPr>
          <w:rtl w:val="true"/>
        </w:rPr>
        <w:t>لو أقرّ بزوج للميّتة و لها ولد</w:t>
      </w:r>
      <w:bookmarkEnd w:id="719"/>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أقرّ بزوج للميّتة و لها ولد أعطاه ربع نصيبه، وإن لم يكن ولد أعطاه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أقرّ بزوج للميّتة و لها ولد أعطاه ربع نصيبه، و إن لم يكن ولد أعطاه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الحكم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w:t>
      </w:r>
      <w:r>
        <w:rPr>
          <w:rStyle w:val="FootnoteAnchor"/>
          <w:rtl w:val="true"/>
        </w:rPr>
        <w:footnoteReference w:id="2175"/>
      </w:r>
      <w:r>
        <w:rPr>
          <w:rFonts w:ascii="Amiri" w:hAnsi="Amiri" w:eastAsia="Amiri" w:cs="Amiri"/>
          <w:color w:val="111111"/>
          <w:sz w:val="28"/>
          <w:sz w:val="28"/>
          <w:szCs w:val="28"/>
          <w:rtl w:val="true"/>
          <w:lang w:bidi="ar-SA"/>
        </w:rPr>
        <w:t xml:space="preserve">، و هو لا يتمّ على إطلاقه؛ لأنّ المقرّ بالزوج لذات الولد من الوارث منحصر في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الأبوين مجتمعين و متفرّقين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هناك ولد ذكر فالحكم إنّما يتمّ معه إذا كان ولداً، أمّا الأبوان فلايتغيّر نصيبهما معه بوجود الزوج و عدمه، فإذا كان المقرّ أحدهما أو هما لم يدفع إلى الزوج شيئاً؛ إذ ليس في يده زيادة يلزمه دفعها بإقراره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مع الأبوين أو أحدهما بنتاً لم يتمّ أيضاً فيهما؛ لأنّ نصيب الأبوين معها على تقدير عدم الزوج الخمسان و على تقدير وجوده السدسان، فالتفاوت بينهما هو الذي يلزمهما دفعه، و هو لايبلغ ربع ما في يدهما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نصيب البنت مع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كون الزوجة غير ذات ولد فالمقرّ قد يكون الأب فيتمّ فيه الفرض، و قد يكون الأُمّ فلاتدفع شيئاً، سواء كان لها حاجب أم لا؛ لأنّ الزوج لايأخذ من فرضها شيئاً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منفردةً بالميراث دفعت النصف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المقرّ بعض الإخوة فإن كان لأُمّ لم يدفع شيئاً، وإن كان للأبوين دفع النصف كما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الضابط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المقرّ يدفع ربع ما في يده أو نصفه، أو ما زاد من نصيبه على تقدير وجود الزوج إن لم يبلغ النصف أو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المقرّ أحد الأبوين مع البنت دفع إليه نصف الثمن؛ لأنّ نصيبه على تقدير عدم الزوج الربع إثنا عشر من ثمانیّة و أربعين، و على تقدير وجوده تسعة فالتفاوت بينهما ثلاثة، هي نصف الثمن</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تنزيل كلام الجماعة هنا على حمل الإقرار على الإشاعة، فيقتضي الإقرار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 بزوج آخر 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أكذب إقراره الأوّل أُغرم للثاني مثل ما حصل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بالزوج أن يكون له في كلّ شيء ربعه أو نصفه، سواء كان النصيب ثابتاً على التقديرين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حسن إلّا أنّه لايطابق ما سلف من الفروض؛ فإنّهم لم ينزّلوها على الإشاعة، فلابدّ من تنقيح الحكم في أحد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ذكروه هنا أجود ممّا سلف؛ لأنّ الوارث يستحقّ في كلّ جزء من أجزاء التركة سهمه، فلا يختصّ بفرضه في بعض دون بعض، فما حصل لكلّ واحد فهو بينه و بين الزوج بمقتضى الشركة، و ما ذهب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أقرّ بزوج آخر 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أكذب إقراره الأوّل أُغرم للثاني مثل ما حصل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إقراره الثاني لايقبل في حقّ الزوج الأوّل، فلايزيل ما ثبت له من الإرث بالإقرار، و هذا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الكلام في غرمه للثاني بمجرّد الإقرار، أو بشرط تكذيبه لنفسه في إقراره الأوّل،و 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قطع به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لأنّه مع التكذيب يكون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بتفويت حقّ الثاني من التركة بإقراره الأوّل، فكان كالمتلف عليه حقّه فيغرم له، و أمّا مع عدمه؛ فلأنّ إقراره الثاني مع الحكم بصحّة الأوّل يكون إقراراً بأمر ممتنع في شرع الإسلام، فلايترتّب عليه أثر </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 بأنّه يغرم للثانى بمجرّد الإقرار كان قويّاً؛ لأصالة صحّة الإقرار، و كون زوجيّة الثاني ممتنعة في نفس الأمر ممنوع، بل من الممكن كونه هو الزوج وإقراره الأوّل وقع خطأ أو غلطاً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وإلغاء الإقرار في حقّ المقرّ مع إمكان صحّته ينافي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 xml:space="preserve">. </w:t>
      </w:r>
      <w:bookmarkStart w:id="720" w:name="pg10270_80686"/>
    </w:p>
    <w:p>
      <w:pPr>
        <w:pStyle w:val="Heading5"/>
        <w:numPr>
          <w:ilvl w:val="4"/>
          <w:numId w:val="1"/>
        </w:numPr>
        <w:rPr/>
      </w:pPr>
      <w:bookmarkStart w:id="721" w:name="__RefHeading___Toc3860498_1067777946"/>
      <w:bookmarkStart w:id="722" w:name="_Toc263"/>
      <w:bookmarkEnd w:id="720"/>
      <w:bookmarkEnd w:id="721"/>
      <w:r>
        <w:rPr>
          <w:rtl w:val="true"/>
        </w:rPr>
        <w:t>ولو أقرّ بزوجة ثانية، أو ثالثة أو رابعة</w:t>
      </w:r>
      <w:bookmarkEnd w:id="7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 بزوجة و له ولد أعطاها ثمن 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ولد أعطاها الربع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أقرّ بأخرى غرم لها مثل نصف نصيب الأولى إذا لم تصدّقه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p>
    <w:p>
      <w:pPr>
        <w:pStyle w:val="BookText"/>
        <w:rPr/>
      </w:pPr>
      <w:r>
        <w:rPr>
          <w:rFonts w:ascii="Amiri" w:hAnsi="Amiri" w:eastAsia="Amiri" w:cs="Amiri"/>
          <w:color w:val="111111"/>
          <w:sz w:val="28"/>
          <w:sz w:val="28"/>
          <w:szCs w:val="28"/>
          <w:rtl w:val="true"/>
          <w:lang w:bidi="ar-SA"/>
        </w:rPr>
        <w:t>أقرّ بثالثة أعطاها ثلث 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أقرّ برابعة أعطاها الربع من نصيب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بخامسة، و أنكر إحدى الأُول لم يلتفت إليه، و غرم لها مثل نصيب واحدة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أنّه يغرم مطلقاً إن لم يظهر لكلامه تأويلاً محتملاً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أقرّ بزوجة و له ولد أعطاها ثمن 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ولد أعطاها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هذه كالسابقة من تنزيل كلام المصنّف و غيره</w:t>
      </w:r>
      <w:r>
        <w:rPr>
          <w:rStyle w:val="FootnoteAnchor"/>
          <w:rtl w:val="true"/>
        </w:rPr>
        <w:footnoteReference w:id="2177"/>
      </w:r>
      <w:r>
        <w:rPr>
          <w:rFonts w:ascii="Amiri" w:hAnsi="Amiri" w:eastAsia="Amiri" w:cs="Amiri"/>
          <w:color w:val="111111"/>
          <w:sz w:val="28"/>
          <w:sz w:val="28"/>
          <w:szCs w:val="28"/>
          <w:rtl w:val="true"/>
          <w:lang w:bidi="ar-SA"/>
        </w:rPr>
        <w:t>على أنّ حقّ المقرّ له شائع في التركة، فيستحقّ في كلّ شيء ثمنه أو ربعه،و ذلك شامل لمن بيده سهم لايختلف على تقدير دخول الزوجة و خروجها، كسهم أحد الأبوين مع الولد الذكر أو البنتين فصاعداً، و من يختلف بذلك كسهم أحدهما مع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سبق من الفروع يجب تقييده بما إذا كان المقرّ ولداً، فلو كان أحد الأبوين أو هما دفع الفاضل عن نصيبه على تقدير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أقرّ بأخرى غرم لها مثل نصف نصيب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غرم لها مثل نصيب واحدة منهنّ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الإقرار بزوجة ثانیّة كالإقرار بوارث مساو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إشكال في حكمه مع تصديق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التكذيب فيغرم للثانیّة نصف نصيب الزوجة إن أكذب نفسه، أو سلّم النصيب إلى الأُولى ابتداءً على ما تقدّم تفصيله</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الحكم فيما لو أقرّ بثالثة و رابعة، فيغرم للثالثة ثلث نصيب الزوجة و للرابعة الربع؛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لإمكان صدقه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 إكذاب الباقيات إيّاه في الإقرار و إلّا أخذ من</w:t>
      </w:r>
    </w:p>
    <w:p>
      <w:pPr>
        <w:pStyle w:val="BookText"/>
        <w:rPr/>
      </w:pPr>
      <w:r>
        <w:rPr>
          <w:rFonts w:ascii="Amiri" w:hAnsi="Amiri" w:eastAsia="Amiri" w:cs="Amiri"/>
          <w:color w:val="111111"/>
          <w:sz w:val="28"/>
          <w:sz w:val="28"/>
          <w:szCs w:val="28"/>
          <w:rtl w:val="true"/>
          <w:lang w:bidi="ar-SA"/>
        </w:rPr>
        <w:t>المصدّقة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أقرّ بخامسة فكإقراره بزوج ثانٍ،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له بمجرّد الإقرار فهنا أولى؛ لإمكان الخامسة في المريض إذا تزوّج بعد الطلاق و انقضاء العدّة و دخل و مات في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استرسال الإقرار من غير أن يقف على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إقراره بالأربع دفعةً ثبت نصيب الزوجيّة لهنّ و لا غرم، سواء تصادقن أم لا، كما</w:t>
      </w:r>
    </w:p>
    <w:p>
      <w:pPr>
        <w:pStyle w:val="BookText"/>
        <w:rPr/>
      </w:pPr>
      <w:r>
        <w:rPr>
          <w:rFonts w:ascii="Amiri" w:hAnsi="Amiri" w:eastAsia="Amiri" w:cs="Amiri"/>
          <w:color w:val="111111"/>
          <w:sz w:val="28"/>
          <w:sz w:val="28"/>
          <w:szCs w:val="28"/>
          <w:rtl w:val="true"/>
          <w:lang w:bidi="ar-SA"/>
        </w:rPr>
        <w:t>لو أقرّ بوارثين غيرهن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تجزئتنا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يليه في الجزء التاسع كتاب الجعالة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الواحدي،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ذيل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والآیات في سورة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الظهار،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5466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ابن الجنيد على ما حكاه عنه العلّامة و اختاره أيضاً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ابن حمزة في الوسيلة، ص </w:t>
      </w:r>
      <w:r>
        <w:rPr>
          <w:rFonts w:eastAsia="IRNazanin" w:cs="IRNazanin"/>
          <w:b w:val="false"/>
          <w:bCs w:val="false"/>
          <w:i w:val="false"/>
          <w:iCs w:val="false"/>
          <w:color w:val="333333"/>
          <w:sz w:val="20"/>
          <w:szCs w:val="20"/>
        </w:rPr>
        <w:t>334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حسنها أنّ في طريقها إبراهيم بن هاشم، و قد وصفها بالصحّة جماعة منهم العلّامة في المختلف، و ولده في الشرح، و لعلّه بغير ما وجدته من 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ب 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صفة لبن الفحل،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أبي جعفر علیه السلام الّذي تقدّم قبيل هذا</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يظهر منه التوقّف حيث ذكر قولين و لم يرجّح أحدهما</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 بعض هذه الأخبار في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الشيخ و ابن إدريس المتقدّم في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الشيخ و ابن إدريس المتقدّم في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ابن الجنيد و ابن حمزة و العلّامة المتقدّم في ص</w:t>
      </w:r>
      <w:r>
        <w:rPr>
          <w:rFonts w:eastAsia="IRNazanin" w:cs="IRNazanin"/>
          <w:b w:val="false"/>
          <w:bCs w:val="false"/>
          <w:i w:val="false"/>
          <w:iCs w:val="false"/>
          <w:color w:val="333333"/>
          <w:sz w:val="20"/>
          <w:szCs w:val="20"/>
        </w:rPr>
        <w:t>21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الظهار،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في الهامش</w:t>
      </w:r>
      <w:r>
        <w:rPr>
          <w:rFonts w:eastAsia="IRNazanin" w:cs="IRNazanin"/>
          <w:b w:val="false"/>
          <w:bCs w:val="false"/>
          <w:i w:val="false"/>
          <w:iCs w:val="false"/>
          <w:color w:val="333333"/>
          <w:sz w:val="20"/>
          <w:szCs w:val="20"/>
        </w:rPr>
        <w:t>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334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المقنع، و نسبه إليه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تخريجها في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الظهار،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السيّد عليّ بن أحمد العقيقي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اسمه سلمة، كان مخلطاً</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الظهار،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فالقول بالوقوع للشيخ في المبسوط،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القول بعدمه للشريف المرتضى في الانتصار،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باب صفة لبن الفحل،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الظهار،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4668</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4831</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Pr>
        <w:t>61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تخريجها في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الظهار،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4832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العلماء،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المغني المطبوع مع الشرح الكبير،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6166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باب الظهار،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 تفسير طلاق السنّة و 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 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باب ما لايلزم من الأيمان و النذور،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آنفاً</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سهو من قلمه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منشأء نقص العبارة في النسخة التي شرح عبارتها، كما صرّح به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الغريب ما وقع في المسالك في المقام و كان نسخته التي شرح عبارتها فيها سقط، كما لايخفى على من لاحظ شرحه في المقام الذي قد جعل فيه الكلام في المسألة الثانیّة شرحاً للمسألة الأولى، وحكى عن المصنِّف القول بالعدم و أنّه نسب القول بالجواز إلى الندرة، مع أن صريح كلامه الجواز بالتردّد، و كذا كلامه في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الکلام،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باب الظهار،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باب الظهار،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باب الظهار،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المبسوط،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الخلاف،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الوسيلة،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و فيهما بتفاوت يسير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 ذكر في كتب الرجال، كما في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القاف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فيهما كان الحسن بن عليّ بن فضّال فطحيّاً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الشيخ الطوسي،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فطحي المذهب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بالصحة لابن الجنيد على ما 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بتمامه مع تخريجه في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فيهما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العلّامة هذا التفصيل احتمالاً في المسألة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15281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الصنعاني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11528</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تخريجها في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 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بالوقوع لابن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و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القول بعدم الوقوع يأتي لاحقاً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6188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تحفة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باب الظهار،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قول المرتضى، وحكاه عنه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قطب الدين الكيذري في إصباح الشيعة،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 ابن زهرة الحلبي في غنیّة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لايكون ظهار إلّا على طهر بغير 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خلاف مقصود من قال باشتراط الدخول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 في الهداية،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لايقع الظهار إلّا على موضع الطلاق و ابن الجنيد على ما 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المرتّبة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جمال الدين الحلّي في المقتصر،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قوله، وحكاه عنه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الحلبي في الكافي في الفقه،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 الكيذري في إصباح الشيعة،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موجّهاً ذلك إلى معقود عليها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في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الكبير،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الوصول إلى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الطبرسي في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البيضاوي في تفسيره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6187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الجامع للشرائع،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جواهر الکلام،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تخلّصنا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شرطيّة لا وصليّة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تخريجها في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2064</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15258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ما رفع عن الأُمّة،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التكفير عن الأوّل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حسنة أبي بصير السابقة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عود الظهار للمفيد في المقنعة،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الشيخ في النهاية،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 ابن البرّاج في المهذّب،ج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والقول الآخر يأتي لاحقاً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فيما عدا الفقيه عن يزيد الكناسي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فهد الحلّي في المهذب البارع،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بالتعدد مطلقاً للشيخ في النهاية،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 ابن أبي عقيل على ما حكاه عنه العلّامة و اختاره أيضاً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طريق هذا الخبر أبو بصير و هو مشترك بين الثقة و الضعيف ولكن في المختلف وصفه بالصحّة، و هو ممنوع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ب 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6228</w:t>
      </w:r>
      <w:r>
        <w:rPr>
          <w:rFonts w:ascii="IRNazanin" w:hAnsi="IRNazanin" w:eastAsia="IRNazanin"/>
          <w:b w:val="false"/>
          <w:b w:val="false"/>
          <w:bCs w:val="false"/>
          <w:i w:val="false"/>
          <w:i w:val="false"/>
          <w:iCs w:val="false"/>
          <w:color w:val="333333"/>
          <w:sz w:val="20"/>
          <w:sz w:val="20"/>
          <w:szCs w:val="20"/>
          <w:rtl w:val="true"/>
        </w:rPr>
        <w:t xml:space="preserve">؛ والمجموع شرح المهذّب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بتفاوت في العبارة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أنّ النساء يصدّقن في العدّة و الحيض،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بأنّ الواو لمطلق الجمع للزجاجي في كتاب الجمل في النحو،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ابن هشام في شرح جمل الزجاجي،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بوقوع الظهار للشيخ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 تلخيص الحبير،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نقلاً بالمعنى</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لمعنى المسّ في اللغة راجع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مسس</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و قوّاه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العبارة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حكاه العلّامة عن والد الصدوق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أبي بصير المتقدم تخريجها في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المثال راجع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فيه اعتمد على موثّقة إسحاق بن عمّار، و راجع أيضاً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حيث اعتمد على موثّقة عبد الرحمن بن الحجّاج</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بن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نسخة التهذيب المطبوع، و المثبت هو الصحيح كما 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13186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13199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وهيب بن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 و أبي الحسن علیهما السلام و وقف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الوصول إلى علم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باب من أفطر متعمّداً من غير 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10229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1337/412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كالسيوري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كالسيوري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الظهار،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و رواه الكليني أيضاً 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باب الرجل يصبح وهو يريد الصيام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الشيخ في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رجال الطوسي،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باب الرجل يصبح و هو يريد الصيام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تهذیب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الطوسي،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xml:space="preserve">؛ وخلاصة الأقوال،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النهاية،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 سلّار في المراسم،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ابن حمزة في الوسيلة،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 الشهيد في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من أفطر متعمداً من غير عذر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كفّارة الجماع على الخلاف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معنى العرق واللابتين،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راجع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من أفطر متعمداً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راجع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من أفطر متعمداً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صحيحة عبد الله بن سنان المتقدّم تخريجها في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5964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النهاية،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الحلبي في الكافي في الفقه،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ابن حمزة في الوسيلة،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الآبي في كشف الرموز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ابن فهد في المهذّب البارع،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 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النذور ،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16850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1645/13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النذور ،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و لقول الكشي راجع اختيار معرفة الرجال،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الشيخ الطوسي،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مكاتبته في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صحيحة عبد الملك بن عمر و المتقدم تخريجها في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الشهيد في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الشهید الاوّل،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طريق الأُولى محمّد بن أحمد الكوكبي و هو مجهول، و في طريق الثانیّة إسماعيل مطلق، و حفص بن عمر و أبوه مجهولان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باب كراهية اليمين بالبراءة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باب كراهية اليمين بالبراءة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النهاية،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سلّار في المراسم،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الحلبي في الكافي في الفقه،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الشهيد في اللمعة الدمشقيّة،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الشيخ الطوسي في الفهرست،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الشيخ الطوسي،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المراسم نعم نسبه إليه الشهيد في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تخريجها في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5958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ضمن الرسائل العشر،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 في المقنع،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سلّار في المراسم،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 الراوندي في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الآبي في كشف الرموز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وعبارة الوسيلة كعبارة النهاية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رأي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5960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صوع</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ولكلام الشيخ الطوسي راجع النهاية ،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باب من نام عن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النذور ،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كفّارة الصوم،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المدة في أصول الفقه، الشيخ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الإحكام في أصول الأحكام الأمدي،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اختيار معرفة الرجال، ص </w:t>
      </w:r>
      <w:r>
        <w:rPr>
          <w:rFonts w:eastAsia="IRNazanin" w:cs="IRNazanin"/>
          <w:b w:val="false"/>
          <w:bCs w:val="false"/>
          <w:i w:val="false"/>
          <w:iCs w:val="false"/>
          <w:color w:val="333333"/>
          <w:sz w:val="20"/>
          <w:szCs w:val="20"/>
        </w:rPr>
        <w:t>0552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وتفسير البيضاوي،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وممّن لا يشترط الإيمان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يعزب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والآية في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18961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15272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القائل به؛ والآية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والآية في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باب عتق ولد الزنى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816</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الآبي في كشف الرموز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؛و 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والسيوري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أبو الصلاح في الكافي في الفقه،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 الإباق،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المجموع شرح المهذّب،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الجنيد على ما حكاه عنه السيوري في التنقيح الرائع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وراجع المهذّب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8063</w:t>
      </w:r>
      <w:r>
        <w:rPr>
          <w:rFonts w:ascii="IRNazanin" w:hAnsi="IRNazanin" w:eastAsia="IRNazanin"/>
          <w:b w:val="false"/>
          <w:b w:val="false"/>
          <w:bCs w:val="false"/>
          <w:i w:val="false"/>
          <w:i w:val="false"/>
          <w:iCs w:val="false"/>
          <w:color w:val="333333"/>
          <w:sz w:val="20"/>
          <w:sz w:val="20"/>
          <w:szCs w:val="20"/>
          <w:rtl w:val="true"/>
        </w:rPr>
        <w:t>؛ روضة الطالبين،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العلاّمة فی مختلف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امسألة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النوري في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في النهاية أيضاً كما نقله عنه الماتن وحسّنه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بُعَيد هذا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أنّه لا عتق إلّا بعد ملك،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كتبه، نعم، نسبه إليه 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في فقه الشافعي، الغزالي،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ولقول الشيخ راجع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الحجريّتين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وإحدى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مجلس درسه الشهيد في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أيضاً كنز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وراجع 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الجعفريات المطبوع مع قرب الإسناد،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5978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والقرض</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باب من وجب عليه صوم شهرين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محمد صلّی الله علیه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 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باب من وجب عليه صوم شهرين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تهذیب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السرخسي،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السرائر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كفّارة اليمين،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كفّارة اليمين،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تعولون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كفارة اليمين،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كفارة اليمين،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كفارة اليمين،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طريقها غياث بن إبراهيم التميمي، وهو بتري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يعطي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﴿فَإِطْعَامُ سِتِّينَ مِسْكِينًا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تخريجها في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الحلبي في الكافي في الفقه،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يوم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وص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كفّارة اليمين،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من حكاه عنه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5977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والوسيلة،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5977</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كفارة اليمين،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كفّارة اليمين،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كفّارة اليمين،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كفّارة اليمين،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كفّارة اليمين،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معمر بن عمر؛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 بن البختري المرادي وهو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وأبو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 يحيى بن قاسم الأسدي وهو واقفي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وخلاصة الأقوال،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12555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فإنّ في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كسوتهم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والطبعة الحجرية هنا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 ظاهر الرواية ما ذكرناه من اعتبار حد العبد حداً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6222</w:t>
      </w:r>
      <w:r>
        <w:rPr>
          <w:rFonts w:ascii="IRNazanin" w:hAnsi="IRNazanin" w:eastAsia="IRNazanin"/>
          <w:b w:val="false"/>
          <w:b w:val="false"/>
          <w:bCs w:val="false"/>
          <w:i w:val="false"/>
          <w:i w:val="false"/>
          <w:iCs w:val="false"/>
          <w:color w:val="333333"/>
          <w:sz w:val="20"/>
          <w:sz w:val="20"/>
          <w:szCs w:val="20"/>
          <w:rtl w:val="true"/>
        </w:rPr>
        <w:t xml:space="preserve">؛ وفي 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الاعتبار في اليسار والإعسار بوقت الوجوب على قول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الظهار،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موافقة الشيخ لهم، نعم جوّز على وجه 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وحكاه عن ابن الجنيد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8024</w:t>
      </w:r>
      <w:r>
        <w:rPr>
          <w:rFonts w:ascii="IRNazanin" w:hAnsi="IRNazanin" w:eastAsia="IRNazanin"/>
          <w:b w:val="false"/>
          <w:b w:val="false"/>
          <w:bCs w:val="false"/>
          <w:i w:val="false"/>
          <w:i w:val="false"/>
          <w:iCs w:val="false"/>
          <w:color w:val="333333"/>
          <w:sz w:val="20"/>
          <w:sz w:val="20"/>
          <w:szCs w:val="20"/>
          <w:rtl w:val="true"/>
        </w:rPr>
        <w:t xml:space="preserve">؛ مختصر المزني،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المسألة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 الشرائع</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باب من وجب عليه صوم شهرين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 المكروه، وص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روايته في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من أفطر متعمّداً من غير عذر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5984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10229</w:t>
      </w:r>
      <w:r>
        <w:rPr>
          <w:rFonts w:ascii="IRNazanin" w:hAnsi="IRNazanin" w:eastAsia="IRNazanin"/>
          <w:b w:val="false"/>
          <w:b w:val="false"/>
          <w:bCs w:val="false"/>
          <w:i w:val="false"/>
          <w:i w:val="false"/>
          <w:iCs w:val="false"/>
          <w:color w:val="333333"/>
          <w:sz w:val="20"/>
          <w:sz w:val="20"/>
          <w:szCs w:val="20"/>
          <w:rtl w:val="true"/>
        </w:rPr>
        <w:t xml:space="preserve">؛ سنن الدار قطني،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2668</w:t>
      </w:r>
      <w:r>
        <w:rPr>
          <w:rFonts w:ascii="IRNazanin" w:hAnsi="IRNazanin" w:eastAsia="IRNazanin"/>
          <w:b w:val="false"/>
          <w:b w:val="false"/>
          <w:bCs w:val="false"/>
          <w:i w:val="false"/>
          <w:i w:val="false"/>
          <w:iCs w:val="false"/>
          <w:color w:val="333333"/>
          <w:sz w:val="20"/>
          <w:sz w:val="20"/>
          <w:szCs w:val="20"/>
          <w:rtl w:val="true"/>
        </w:rPr>
        <w:t>، بتفاوت</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وعموم الأحاديث الدالة على وجوب الكفّارة المرتبة، 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كفّارة اليمين،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الشيخ الطوسي،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باب البر بالوالدين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والآية في 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وإلا فليصمت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6272/6270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وطئ</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الإيلاء،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الإيلاء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ابن زهرة في غنیّة النزوع،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5482</w:t>
      </w:r>
      <w:r>
        <w:rPr>
          <w:rFonts w:ascii="IRNazanin" w:hAnsi="IRNazanin" w:eastAsia="IRNazanin"/>
          <w:b w:val="false"/>
          <w:b w:val="false"/>
          <w:bCs w:val="false"/>
          <w:i w:val="false"/>
          <w:i w:val="false"/>
          <w:iCs w:val="false"/>
          <w:color w:val="333333"/>
          <w:sz w:val="20"/>
          <w:sz w:val="20"/>
          <w:szCs w:val="20"/>
          <w:rtl w:val="true"/>
        </w:rPr>
        <w:t xml:space="preserve">؛ تلخيص المرام،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رأي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يقعان بصفة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وفيه على قولين والمغني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6105</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قولان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وفيه على قولين والمغني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6105</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قولان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في الكافي،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الإيلاء،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الإيلاء،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أنه لا يقع الإيلاء إلّا بعد دخول الرجل بأهله،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أنه لا يقع الإيلاء إلّا بعد دخول الرجل بأهله،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الانتصار،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فإنّه قال بعدم لحوق الإيلاء المتمتع بها؛ نعم نسبه إليه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الإحكام في أصول الأحكام الآمدي،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نهاية الوصول على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تهذيب الوصول إلى علم الأصول،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نقلاً عن قاضي عبد الجبار وجماعة المعتزلة والأشاعرة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القائل به، و انظر المبسوط،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أجامعك،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شهراً أو شهرين مثلاً، لم يقبل ظاهراً؛ لأنّ المفهوم منه التأبيد، بخلاف ما لو كان يميناً محضاً، فإنّه يقبل منه نیّة التقييد والتخصيص مع احتمال القبول هنا أيضاً؛ نظراً إلى أنّه يمين في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ب مجلسي قدس سره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حنيفة ينصّفها برقّ الزوجة، ومالك ينصّفها برقّ الزوج، وعن أحمد روايتان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كمذهبنا، والأخرى كمذهب أبي حنيفة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ب 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6130</w:t>
      </w:r>
      <w:r>
        <w:rPr>
          <w:rFonts w:ascii="IRNazanin" w:hAnsi="IRNazanin" w:eastAsia="IRNazanin"/>
          <w:b w:val="false"/>
          <w:b w:val="false"/>
          <w:bCs w:val="false"/>
          <w:i w:val="false"/>
          <w:i w:val="false"/>
          <w:iCs w:val="false"/>
          <w:color w:val="333333"/>
          <w:sz w:val="20"/>
          <w:sz w:val="20"/>
          <w:szCs w:val="20"/>
          <w:rtl w:val="true"/>
        </w:rPr>
        <w:t xml:space="preserve">؛ وبدائع الصنائع،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باب الإيلاء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المرافعة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ابن ماجة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و سنن الدارقطني،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الإيلاء،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الإيلاء،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كتاب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كتاب الظهار جزم بتحقّق الإجبار في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كالطبرسي في المؤتلف من المختلف،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الشرائع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المرافعة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نسب إليه الوجوب ولده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المرافعة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بُعَيد هذا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4828</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الطوسي،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وخلاصة الأقوال،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والرواية في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 وصحيح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6868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المغني المطبوع مع الشرح الكبير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7990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ما رفع عن الأمة،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يحكم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21201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النهاية،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الحلبي في الكافي في الفقه،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5484</w:t>
      </w:r>
      <w:r>
        <w:rPr>
          <w:rFonts w:ascii="IRNazanin" w:hAnsi="IRNazanin" w:eastAsia="IRNazanin"/>
          <w:b w:val="false"/>
          <w:b w:val="false"/>
          <w:bCs w:val="false"/>
          <w:i w:val="false"/>
          <w:i w:val="false"/>
          <w:iCs w:val="false"/>
          <w:color w:val="333333"/>
          <w:sz w:val="20"/>
          <w:sz w:val="20"/>
          <w:szCs w:val="20"/>
          <w:rtl w:val="true"/>
        </w:rPr>
        <w:t>، وقال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مبدؤها من حين المرافعة لا من حين الإيلاء و فيه نظر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الإيلاء،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الإيلاء،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الإيلاء،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راجع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حكاه عنه جماعة؛ والتفسير الكبير ، الفخر الرازي،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الحادي عشر،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حكاه عن جماعة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تزويجها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أثبتناء من الحجريّتين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والعلّامة في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5490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دلائل الإعجاز،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أنّه إن كان الطلاق بائناً لا يعود، وإن كان رجعياً يعود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6113</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قول زفر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2526</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1492/1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والآيات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في اللعان؛ 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5002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1492/1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 في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ثبوت اللعان للشيخ في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والقول بثبوت اللعان أيضاً له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وراجع أيضاً 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3478</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2868</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والتعزيرات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من جحد ولده وهو يعرفه؛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3478</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5503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وراجع أيضاً المجموع شرح المهذّب،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 و راجع أیضاً سنن الدارمي،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سنن أبی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و سنن ابن ماجة،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باشتهار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بإشهار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6276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الخصال،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الثلاثة،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وسنن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اللعان،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قراءة القرآن،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باب الرجل يكون لها الجارية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الأورق من الإبل الذي في لونه بياض إلى سواد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6455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26682667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6455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1500/20</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راجع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باب الضرار؛ 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 xml:space="preserve">؛ و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أبي بصير المتقدّم تخريجها في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أجمل البحث في هذه المسألة في المختلف في باب النكاح و وعد ببحثها هنا، ثمّ لم يذكرها، وكذلك صنع ولده فخر الدين في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الإيجاز،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وابن زهرة في غنیّة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 رجال الطوسي،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الحلبي في الكافي في الفقه،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قبيل هذا بقليل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4858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المجمل بدل على المطلق</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اللعان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حلّت له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الدمشقية،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باب الرجل يقع على جاريته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الولد للفراش؛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صحیح مسلم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1457/36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1458/37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أنه اتفق لشارحي القواعد هنا سهو فاحش في الاستدلال، وهو أنهما عقيب رواية سعيد بن يسار المذكورة استشهدا برواية الشيخ في التهذيب عن محمد بن الحسن الصفّار، عن يعقوب 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إلى أبي الحسن عليه السلام في هذا العصر رجل وقع على جاريته ثمّ شك في ولده، فكتب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 فيه مشابهة فهو ولده، ومتى اتّهم الرجل جاريةٌ له بالفجور ثمّ جاءت بالولد لم يكن له نفيه، ولزمه الإقرار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فتوهّم الشارحان أنّ هذا المذكور کلّه من لفظ الرواية فذكراه والدلالة على مطلوبهما لا تتمّ إلّا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ومتى اتّهم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والحال أنّ هذا الكلام إلى آخره من كلام الشيخ ذكره على عادته من الفتوى ثمّ عقبه بالاستشهاد عليه من الأخبار، وذكر عقيبه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سعيد بن يسار التي ذكرناها نحن عقيب روايته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خرج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ومتي اتّهم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من رواية الصفّار سقطت دلالتها على المطلوب؛ لأنّه شرط في كونه له المشابهة، فلذلك تركناها نحن في الدلالة وذكرنا باقي الروايات الصحيحة الواضحة الدلالة، ولم نذكرها دليلاً على المطلوب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باب الرجل يكون له الجارية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باب الرجل يكون له الجارية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باب الرجل يكون له الجارية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وص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اللمعة الدمشقيّة،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وقوع الولد،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حبلت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لايجوز التمتّع إلا بالعفيفة ،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وقوع الولد،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في الفقه،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المراسم،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المهذّب،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الوسیلة،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الحديث </w:t>
      </w:r>
      <w:r>
        <w:rPr>
          <w:rFonts w:eastAsia="IRNazanin" w:cs="IRNazanin"/>
          <w:b w:val="false"/>
          <w:bCs w:val="false"/>
          <w:i w:val="false"/>
          <w:iCs w:val="false"/>
          <w:color w:val="333333"/>
          <w:sz w:val="20"/>
          <w:szCs w:val="20"/>
        </w:rPr>
        <w:t>15339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نصّه في روضة الطالبين،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وبدون الذيل في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15339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1493/5</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5006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كيحيى بن سعيد الحلّي في الجامع للشرائع،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الشهيد في اللمعة الدمشقيّة،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 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وفخر الدين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الخمسة،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والآية في 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2867</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15294</w:t>
      </w:r>
      <w:r>
        <w:rPr>
          <w:rFonts w:ascii="IRNazanin" w:hAnsi="IRNazanin" w:eastAsia="IRNazanin"/>
          <w:b w:val="false"/>
          <w:b w:val="false"/>
          <w:bCs w:val="false"/>
          <w:i w:val="false"/>
          <w:i w:val="false"/>
          <w:iCs w:val="false"/>
          <w:color w:val="333333"/>
          <w:sz w:val="20"/>
          <w:sz w:val="20"/>
          <w:szCs w:val="20"/>
          <w:rtl w:val="true"/>
        </w:rPr>
        <w:t xml:space="preserve">؛ تلخيص الحبير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15292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المنافقين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حنيفة وأحمد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15293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15292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عباد بتفاوت</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15318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15322</w:t>
      </w:r>
      <w:r>
        <w:rPr>
          <w:rFonts w:ascii="IRNazanin" w:hAnsi="IRNazanin" w:eastAsia="IRNazanin"/>
          <w:b w:val="false"/>
          <w:b w:val="false"/>
          <w:bCs w:val="false"/>
          <w:i w:val="false"/>
          <w:i w:val="false"/>
          <w:iCs w:val="false"/>
          <w:color w:val="333333"/>
          <w:sz w:val="20"/>
          <w:sz w:val="20"/>
          <w:szCs w:val="20"/>
          <w:rtl w:val="true"/>
        </w:rPr>
        <w:t xml:space="preserve">؛ 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5518</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إصباح الشيعة،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5518</w:t>
      </w:r>
      <w:r>
        <w:rPr>
          <w:rFonts w:ascii="IRNazanin" w:hAnsi="IRNazanin" w:eastAsia="IRNazanin"/>
          <w:b w:val="false"/>
          <w:b w:val="false"/>
          <w:bCs w:val="false"/>
          <w:i w:val="false"/>
          <w:i w:val="false"/>
          <w:iCs w:val="false"/>
          <w:color w:val="333333"/>
          <w:sz w:val="20"/>
          <w:sz w:val="20"/>
          <w:szCs w:val="20"/>
          <w:rtl w:val="true"/>
        </w:rPr>
        <w:t xml:space="preserve">، على إشكال؛ وكذا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الزني</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العزيز شرح الوجيز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قبيل هذا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اللعان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ولده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ذكرت في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الأقوى في نفسي في ذلك أنّهم يحدّون، ولا يجب على المرأة حدّ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بدائع الصنائع،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وحكاه عنه أيضاً الشيخ في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خير الأسماء، وقع المرور وبلغ النظر على هذا المجلّدالشريف وعرضه على أصله المنيف الذي بخطّ شارحه السعيد، و تصحيح الألفاظ وتبيين المعاني، وتعليق الحواشي والرجوع إلى الأصول الأربعة، ومقابلة المدارك الشريفة بقدر الوسع والطاقة البشريّة مع تشتّت الأحوال وتراكم الأهوال، في أوقات مختلفة وأحوال متفرقّة، آخرها عند غروب الشمس من اليوم التاسع عشر من شهر رمضان المبارك سنة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العبد الأحقر محمّد جعفر عفي عنه حامداً مسلّماً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باب ثواب العتق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ورواه أيضاً الكليني في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باب ثواب العتق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باب ثواب العتق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1509/24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1509/23</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21308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21309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أنّه لايكون عتق إلّا ما أُريد به وجه الله عز وجل،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أنّه لايكون عتق إلّا ما أريد به وجه الله عزّ وجلّ،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بالوقوع للعلّامة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القائلين بعدم الوقوع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بدائع الصنائع،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فقه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8641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الطالبين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بدائع الصنائع،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عميد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نقف لأحد منهم على قول باشتراط التعيين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الشيخ نجم الدين قال في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 يشترط تعيين المعتق؟ الظاهر لا وهو يؤذن باحتمال اشتراطه عنده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 وصيّة الغلام والجارية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5108</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5624</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المرتضى في الانتصار،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سنن الدارقطني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5/1536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المراسم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الوسيلة،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فضل الصدقة،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باب عتق ولد الزنى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الفهرست الشيخ الطوسي،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الرجال ابن الغضائري،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5049</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عليه بهذا اللفظ في الجوامع الحديثية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ذلك بتفاوت في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وثواب الأعمال وعقاب الأعمال،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عقاب الزاني والزانیّة،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باب عتق ولد الزنى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أنه لا عتق إلّا بعد ملك،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8574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8603</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الشهيد الأوّل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الحسن بن علوان الكلبي، 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وراجع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خبر الحسين بن علوان المتقدّم في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ولده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تحرير الإحكام الشرعية،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5653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يشترط في وجوب الخدمة قبول العبد؟ الوجه ذلك</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إصباح الشيعة،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الشرط في العتق،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قبيل هذا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إصباح الشیعة،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الحاکي عنه العلّامة في مختلف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باب الشرط في العتق،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عتق الصغير،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عتق الصغير ،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عتق ولد الزني،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إصباح الشيعة،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الشيخ الطوسي،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اشتراكهما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اشتراکها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قصورها من حيث السند؛ فإنّها مرسلة، و في متنها بحث منه رحمه الله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الرجال، ابن الغضائري،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خلاصة الأقوال،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الكافي في الفقه،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العتق</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زرارة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المملوك يعتق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المملوك يعتق وله مال،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المملوك يعتق وله مال،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الشيخ الطوسي،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المملوك يعتق وله مال،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يبدأ بالحرية قبل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الصدوق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حريز بتفاوت</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تبعهم على وصفها بالصحّة وكونه جريراً ابن فهد والمقداد في المهذّب والتنقيح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ولكن نقلا الرواية عن أبي جرير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ورجال الطوسي،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2726</w:t>
      </w:r>
      <w:r>
        <w:rPr>
          <w:rFonts w:ascii="IRNazanin" w:hAnsi="IRNazanin" w:eastAsia="IRNazanin"/>
          <w:b w:val="false"/>
          <w:b w:val="false"/>
          <w:bCs w:val="false"/>
          <w:i w:val="false"/>
          <w:i w:val="false"/>
          <w:iCs w:val="false"/>
          <w:color w:val="333333"/>
          <w:sz w:val="20"/>
          <w:sz w:val="20"/>
          <w:szCs w:val="20"/>
          <w:rtl w:val="true"/>
        </w:rPr>
        <w:t xml:space="preserve">؛ وخلاصة الأقوال،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1668/56</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21364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21390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الرواية المفروض فيها تساوي القيم، نعم، عنون المسألة ابن قدامة في المغني المطبوع مع الشرح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في فقه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الحبیر،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ذیلل الحدیث</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الضعف من جهة أبي بصیر، المشترک بین لیث بن البختري المرادي الثقة و يحيی بن القاسم الأسدي الواقفي، راجع خلاصة الأقوال،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ارقم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الفاضل الآبي في کشف الرموز،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العلّامة في المختلف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 ولده في إیضاح الفوائد،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الشهید في غایة امراد،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ضنم موسوعة الشهيد الأوِّل،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أنه لا عتق إلا بعد ملك،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باب ولاء السائبة،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ينبغي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يقتضي</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قيمتهما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قيمتها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1501/1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3938</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21324</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عن أبيه علیهما السلام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كتابه، وحكاه عنه أيضاً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باب المملوك بين شركاء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نكت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باب المملوك بين شركاء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بُعَيد هذا بقليل</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8599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5643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بالعتق؛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المملوك بين شركاء،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21331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 الحاوي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السيّد في الانتصار،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المملوك بين شركاء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قيس الأسدي راجع خلاصة الأقوال،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قيس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به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الشهيد في اللمعة الدمشقيّة،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تخريجه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راجع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أسوأ</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1337/130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الاختيار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الاختياري صيغ</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زياد مشترك بين الثقة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من أوصى بعتق أو صدقة،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الشيخ الطوسي،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4943</w:t>
      </w:r>
      <w:r>
        <w:rPr>
          <w:rFonts w:ascii="IRNazanin" w:hAnsi="IRNazanin" w:eastAsia="IRNazanin"/>
          <w:b w:val="false"/>
          <w:b w:val="false"/>
          <w:bCs w:val="false"/>
          <w:i w:val="false"/>
          <w:i w:val="false"/>
          <w:iCs w:val="false"/>
          <w:color w:val="333333"/>
          <w:sz w:val="20"/>
          <w:sz w:val="20"/>
          <w:szCs w:val="20"/>
          <w:rtl w:val="true"/>
        </w:rPr>
        <w:t xml:space="preserve">؛ وخلاصة الأقوال،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الصنائع،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بداية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 روضة الطالبين،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فهد الحلّي في المهذّب البارع،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عوالي اللالي،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أنّه لا عتق إلّا بعد ملك،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7103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1510/25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3659</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ما لا يجوز ملكه من القرابات،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ما لا يجوز ملكه من القرابات،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العتق</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القول مذهب الشيخ في كتبه الثلاثة الفروعيّة، ونقله الشهيد في شرح الإرشاد عن النهاية و الخلاف خاصّةً، و لا وجه له؛ لأنّه قطع به في المبسوط من غير نقل 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إصباح الشيعة،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ما لا يجوز ملكه من القرابات،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العتق</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طريق الأولى والثانیّة والثالثة الحسن بن سماعة، و في الرابعة ابن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راجع الأمالي، السيّد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التبیان،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الجنيد على ما 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المفيد في المقنعة،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القولان للشيخ في المبسوط؛ لأنّه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ملك بعض من ينعتق عليه باختيار كالهبة والوصيّة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أوصى للصبيّ أو المجنون ببعض من ينعتق عليه بني على قولين هل يقوّم عليه نصيب شريكه أم لا؟ فإن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يقوّم لم يقبله، و لو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لايقوّم فعليه قبوله؛ لأنّه لا ضرر عليه وهو أقوى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كلامه و هو خلاف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2527</w:t>
      </w:r>
      <w:r>
        <w:rPr>
          <w:rFonts w:ascii="IRNazanin" w:hAnsi="IRNazanin" w:eastAsia="IRNazanin"/>
          <w:b w:val="false"/>
          <w:b w:val="false"/>
          <w:bCs w:val="false"/>
          <w:i w:val="false"/>
          <w:i w:val="false"/>
          <w:iCs w:val="false"/>
          <w:color w:val="333333"/>
          <w:sz w:val="20"/>
          <w:sz w:val="20"/>
          <w:szCs w:val="20"/>
          <w:rtl w:val="true"/>
        </w:rPr>
        <w:t xml:space="preserve">؛ جامع الأصول،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باب المملوك إذا 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باب المملوك إذا 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عمي العبد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باب المملوك إذا 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18838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21530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باب المملوك إذا 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ولاء السائبة،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فيتولّى إلى من أحبّ</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مشترك بين عبد الحميد بن أبي الديلم فإنّه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و بين غيره الموثّق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6671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2680</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ابن حمزة في الوسيلة،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حكاهما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حكاهما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به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التدبير</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المدبّر،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التدبير</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 الوسيلة،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إصباح الشيعة،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المدبّر،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على قوله بالجواز، راجع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التدبير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المدبّر،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الرواية رواها الشيخ بطريق ضعيف، ورواها الصدوق بطريق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المدبّر ،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الاستبصار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قول ابن البرّاج، و له قول آخر، و التفصيل للشيخ 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و راجع روضة الطالبين،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المدبّر ،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المدبّر ،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المدبّر ،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الجامع للشرائع،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اللمعة الدمشقيّة،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المدبّر ،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وينبغي أن يبيعه بهذا الشرط</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المدبّر ،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944</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في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في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التدبير عن واجب</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الشهيد الأوّل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راجع أيضاً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القائل به من الخاصّة، و لعلّ المراد منه بعض العامّة، راجع العزيز شرح الوجيز،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نسب هذا القول إلى الغزالي</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بدون العنوان،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5694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يقتضيها السياق، كما أُشير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بذلك في المملوك ولم نجد في غيره، راجع الانتصار،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8626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بدائع الصنائع،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المغني المطبوع مع الشرح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8661</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بدائع الصنائع،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المبسوط، السرخسي،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قُبَيل هذا</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نقل فيه قولين بالسراية و عدمها من دون اختيار أحدهما</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الإباق،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الضعف في الرواية الأولى من جهة 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1606</w:t>
      </w:r>
      <w:r>
        <w:rPr>
          <w:rFonts w:ascii="IRNazanin" w:hAnsi="IRNazanin" w:eastAsia="IRNazanin"/>
          <w:b w:val="false"/>
          <w:b w:val="false"/>
          <w:bCs w:val="false"/>
          <w:i w:val="false"/>
          <w:i w:val="false"/>
          <w:iCs w:val="false"/>
          <w:color w:val="333333"/>
          <w:sz w:val="20"/>
          <w:sz w:val="20"/>
          <w:szCs w:val="20"/>
          <w:rtl w:val="true"/>
        </w:rPr>
        <w:t>؛ وفي الثانیّة من جهة حسن بن عليّ بن فضّال فأنّه فطحي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قبيل هذا</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الجامع للشرائع،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التدبير</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وخلاصة الأقوال،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التدبير</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تخريجها في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المدبّر ،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العزيز شرح الوجيز،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في غريب الحديث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15556</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21621</w:t>
      </w:r>
      <w:r>
        <w:rPr>
          <w:rFonts w:ascii="IRNazanin" w:hAnsi="IRNazanin" w:eastAsia="IRNazanin"/>
          <w:b w:val="false"/>
          <w:b w:val="false"/>
          <w:bCs w:val="false"/>
          <w:i w:val="false"/>
          <w:i w:val="false"/>
          <w:iCs w:val="false"/>
          <w:color w:val="333333"/>
          <w:sz w:val="20"/>
          <w:sz w:val="20"/>
          <w:szCs w:val="20"/>
          <w:rtl w:val="true"/>
        </w:rPr>
        <w:t xml:space="preserve">، بتفاوت؛ و أورده بعينه الماوردي في الحاوي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3926</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21638</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8692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على القائل به بعينه، نعم، حكاه في 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بعضهم</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قوم</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أنفاً</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تظفر على قائله</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إدريس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إصباح الشيعة،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10847</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روضة الطالبين،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 حلية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إصباح الشيعة،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5804</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الموجودة،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 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5840</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حمله الشيخ في ذيل الحديث</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الشهيد في اللمعة الدمشقيّة،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السيوري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437</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 ما بعدها</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به هو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 لكلامه على صحّة عتقه راجع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8699</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والحاوي الكبير،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المغني المطبوع مع الشرح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8699</w:t>
      </w:r>
      <w:r>
        <w:rPr>
          <w:rFonts w:ascii="IRNazanin" w:hAnsi="IRNazanin" w:eastAsia="IRNazanin"/>
          <w:b w:val="false"/>
          <w:b w:val="false"/>
          <w:bCs w:val="false"/>
          <w:i w:val="false"/>
          <w:i w:val="false"/>
          <w:iCs w:val="false"/>
          <w:color w:val="333333"/>
          <w:sz w:val="20"/>
          <w:sz w:val="20"/>
          <w:szCs w:val="20"/>
          <w:rtl w:val="true"/>
        </w:rPr>
        <w:t xml:space="preserve">؛ و روضة الطالبين،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8699</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ورد في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8764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8833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الصيمري إلى الشيخ في غاية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لكنّ الشيخ أفتى بخلافه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عندي أنّ الشرط صحيح و الكتابة صحيحة؛ و قال في 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وقع بشرط أنّ كلّ واحد منهم كفيل عن صاحبه ضامن، فالشرط صحيح؛ للأصل، و لقوله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 عندشروطهم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القول إلى عدم صحّة الشرط إلى الشافعي</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الحائريّات ضمن المسائل العشر،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8833</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 عند شروطهم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قُبَيل هذا</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و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الصباح، والعبارة فيهما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يأخذون ما بقي ثمّ يعتق</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8714</w:t>
      </w:r>
      <w:r>
        <w:rPr>
          <w:rFonts w:ascii="IRNazanin" w:hAnsi="IRNazanin" w:eastAsia="IRNazanin"/>
          <w:b w:val="false"/>
          <w:b w:val="false"/>
          <w:bCs w:val="false"/>
          <w:i w:val="false"/>
          <w:i w:val="false"/>
          <w:iCs w:val="false"/>
          <w:color w:val="333333"/>
          <w:sz w:val="20"/>
          <w:sz w:val="20"/>
          <w:szCs w:val="20"/>
          <w:rtl w:val="true"/>
        </w:rPr>
        <w:t>؛ وروضة الطالبين،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محمّد بن حمران في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ميراث المكاتبين،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محمّد بن قيس الأسدي أبو عبدالله، و محمّد بن قيس الأسدي أبو نصر، و محمّد بن قيس البجلي أبو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الأرقام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محمّد بن قيس أبو أحمد، وهو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الحدّ على 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مع التفصيل بين المشروطة والمطلقة</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الوسيلة،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اللمعة الدمشقيّة،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8794</w:t>
      </w:r>
      <w:r>
        <w:rPr>
          <w:rFonts w:ascii="IRNazanin" w:hAnsi="IRNazanin" w:eastAsia="IRNazanin"/>
          <w:b w:val="false"/>
          <w:b w:val="false"/>
          <w:bCs w:val="false"/>
          <w:i w:val="false"/>
          <w:i w:val="false"/>
          <w:iCs w:val="false"/>
          <w:color w:val="333333"/>
          <w:sz w:val="20"/>
          <w:sz w:val="20"/>
          <w:szCs w:val="20"/>
          <w:rtl w:val="true"/>
        </w:rPr>
        <w:t xml:space="preserve">، و راجع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8795</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وحكاه عنه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لنقل الأقوال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ولم نجد من أوجب الإيتاء مطلقاً غير الشيخ</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نعثر على القائل بعدم الوجوب</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تلخيص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وسيأتي تخريج الحديث في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8799</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2029</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10679</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5735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5794</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العتق</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5796</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للشرائع،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الصيمري في تلخيص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بالقول الثاني العلّامة في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والصيمري في غاية المرام،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القائل بالقول الأوّل</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الجملي</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القيل أيضاً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و فيهما عن 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النبيّ صلّى الله عليه و آله و سلّم في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15634</w:t>
      </w:r>
      <w:r>
        <w:rPr>
          <w:rFonts w:ascii="IRNazanin" w:hAnsi="IRNazanin" w:eastAsia="IRNazanin"/>
          <w:b w:val="false"/>
          <w:b w:val="false"/>
          <w:bCs w:val="false"/>
          <w:i w:val="false"/>
          <w:i w:val="false"/>
          <w:iCs w:val="false"/>
          <w:color w:val="333333"/>
          <w:sz w:val="20"/>
          <w:sz w:val="20"/>
          <w:szCs w:val="20"/>
          <w:rtl w:val="true"/>
        </w:rPr>
        <w:t xml:space="preserve">؛ و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2669</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يحيى بن سعيد الحلّي في الجامع للشرائع،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 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يولد</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قُبَيل هذا</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للشيخ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لا يملك</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یصحّح</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5768</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 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5797</w:t>
      </w:r>
      <w:r>
        <w:rPr>
          <w:rFonts w:ascii="IRNazanin" w:hAnsi="IRNazanin" w:eastAsia="IRNazanin"/>
          <w:b w:val="false"/>
          <w:b w:val="false"/>
          <w:bCs w:val="false"/>
          <w:i w:val="false"/>
          <w:i w:val="false"/>
          <w:iCs w:val="false"/>
          <w:color w:val="333333"/>
          <w:sz w:val="20"/>
          <w:sz w:val="20"/>
          <w:szCs w:val="20"/>
          <w:rtl w:val="true"/>
        </w:rPr>
        <w:t xml:space="preserve">؛و ولده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xml:space="preserve">؛ سنن الدارقطني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23/4161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21782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أمّهات الأولاد،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السالفة</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صحّحنا النقل على المصدر</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الوصيّة لأُمّهات الأولاد،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وفيه عن جميل بن صالح</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باب الرجل الحرّ يقتل مملوك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المصباح المنير،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الجامع لأحكام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 معاني الأخبار،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معنى مكارم الأخلاق،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الأمالي، الصدوق،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 الحقّ و لو على نفسك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راجع أيضاً كنز الفوائد، الكراجكي،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 الحقّ و لو على نفسك</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التزمه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أقرّ به</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جواهر الفقه،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يحيى بن سعيد الحلّي في الجامع للشرائع،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جواهر الفقه،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334</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الدليلين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الدليل</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قوي</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اللمعة الدمشقيّة،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المجموع شرح المهذّب،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 راجع الجامع للشرائع،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الإكافُ و الأكافُ من المراكب؛ شبه الرحال و الأقتاب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أكف</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المطبوع مع اللباب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بدائع الصنائع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المبسوط ، السرخسي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الجنيد، على ما 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معيّنين</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لايقبل</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 العلّامة في إرشاد الأذهان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تبصرة المتعلّمين،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6001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ابن الجنيد على ما 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فيبقى سائبة و ولاؤه موقوفاً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فولاؤه يبقى موقوفاً</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3830</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ابن حمزة في الوسيلة،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العلّامة في مختلف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النووي في 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5990</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و للرواية راجع كنز الفوائد، الكراجكي،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الخائن</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بدائع الصنائع،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راجع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3864</w:t>
      </w:r>
      <w:r>
        <w:rPr>
          <w:rFonts w:ascii="IRNazanin" w:hAnsi="IRNazanin" w:eastAsia="IRNazanin"/>
          <w:b w:val="false"/>
          <w:b w:val="false"/>
          <w:bCs w:val="false"/>
          <w:i w:val="false"/>
          <w:i w:val="false"/>
          <w:iCs w:val="false"/>
          <w:color w:val="333333"/>
          <w:sz w:val="20"/>
          <w:sz w:val="20"/>
          <w:szCs w:val="20"/>
          <w:rtl w:val="true"/>
        </w:rPr>
        <w:t xml:space="preserve">؛ و الآية في 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المغازي، الواقدي،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السيرة 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ابن البرّاج في جواهر الفقه،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يحيى بن سعيد الحلّي في الجامع للشرائع،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وتذكرة الفقهاء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قائل</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الزمخشري،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كالآيتين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العدّة في أصول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العُدّة في أصول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تهذيب الوصول إلى علم الأصول،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قوم الشيخ الطوسي في العدّة في أصول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حلية العلماء،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 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راجع أيضاً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عنترة،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اثنتان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لهااثنتان</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 اللمعة الدمشقيّة،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العلماء،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ولكن ذكر باقي أنواع الإعراب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99/3152</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16445</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الخطية، و 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 له</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مجهول ففيه القرعة</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أبو عبيدة،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و العيون، الماوردي،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تمحّل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احتال و سعى في 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xml:space="preserve">؛ و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مناقض لجميع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مناقض لذلك</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بعقدين</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زهرة في غنیّة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الكيذري في إصباح الشيعة،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أقعد</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قال بعني هذا العبد</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الآيتان في 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الأصول،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المحصول في علم أصول الفقه،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أبي حنيفة فخر الدين الرازي في المحصول في علم أصول الفقه،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الآمدي في الإحكام في أصول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العلّامة في 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و 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المرتضى في الذريعة إلى أصول الشريعة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المحقّق في معارج الأصول،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من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حكاه الزركشي عن عِدّة من العلماء في البحر المحيط في أُصول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الكافية في النحو،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الزركشي عن بعض العلماء في البحر المحيط في أُصول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 بعضهم الاستثناء من غير الجنس</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xml:space="preserve">؛ العدّة، أبو يعلى الفراء،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نهاية السؤل،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xml:space="preserve">؛ نهاية السؤل،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تقرب</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فخر المحقّقين عن أبي الحسين البصري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 الكيذرى في إصباح الشيعة،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الاوّل،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غاية المراد</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الفروض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الفرض</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العدّة في أصول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المحقّق الحلّي في معارج الأصول،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الإحكام في أصول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 مبادئ الوصول إلى علم الأصول،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معنى مكارم الأخلاق،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؛الأمالي،الصدوق،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كنز الفوائد الكراجكي،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المغني المطبوع مع الشرح الكبير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xml:space="preserve">؛و 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بصحة الاستثناء للعلّامة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 مختلف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سيبويه،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الإحكام في أصول الأحكام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العدّة، أبو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ميزان الأصول، السمر قندي،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الإحكام في أصول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 البحر المحيط في أصول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مختصر المنتهى، ابن الحاجب،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أيضاً قول العلّامة في مبادئ الوصول إلى علم الأصول،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نهاية الوصول إلى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هكذا أبوحنيفة و أصحابه، حكاه عنهم السيّد المرتضى في 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بالرجوع إلى الجميع للشيخ الطوسي و أيضاً حكاه عن الشافعي و أصحابه في العدّة في أصول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العلّامة في 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قبوله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نفوذه</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فاللزوم</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المراسم،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 المحقّق الكركي في جامع المقاصد،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الطوسي في النهاية،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المريض يقرّ لوارث بدين،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المريض يقرّ لوارث بدين،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المبنیّة</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xml:space="preserve">؛ و بمعناه ورد في الخصال،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الثلاثة،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بالصّحة للعلّامة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القول الآخر يأتي تخريجه 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إقرار العقلاء على أنفسهم جائز</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المملوك المحكوم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 المحكوم له</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5989</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بوجوب مهر المثل للعلّامة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لعلّ السيد عميد الدين الأعرج مال إلى عدم وجوب مهر المثل، فراجع 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قائلٍ 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 جواهر الفقه،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يمنع</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الممنوع</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للمولى</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المنافي</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القبول لابن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 المحقّق الكركي في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 اللمعة الدمشقيّة،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زيف</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بإلحاق الأُمّ بالأب هو ظاهر جماعة منهم الشيخ في النهاية، ص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و ابن حمزة في الوسيلة،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الأدلّة ما ورد في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الحميل،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5679</w:t>
      </w:r>
      <w:r>
        <w:rPr>
          <w:rFonts w:ascii="IRNazanin" w:hAnsi="IRNazanin" w:eastAsia="IRNazanin"/>
          <w:b w:val="false"/>
          <w:b w:val="false"/>
          <w:bCs w:val="false"/>
          <w:i w:val="false"/>
          <w:i w:val="false"/>
          <w:iCs w:val="false"/>
          <w:color w:val="333333"/>
          <w:sz w:val="20"/>
          <w:sz w:val="20"/>
          <w:szCs w:val="20"/>
          <w:rtl w:val="true"/>
        </w:rPr>
        <w:t xml:space="preserve">؛ و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و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و راجع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 في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باشتراط التصديق في الكبير العاقل</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6031</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الوجيز في فقه الشافعي،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حقّه خاصّةً</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الكيذري في إصباح الشيعة،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مصادر الحنفيّة، و حكاه عنه الماوردي في 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ابن قدامة في 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 ما بين الشارحتين من كلام المصنّف</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يحيى بن سعيد الحلّي في الجامع للشرائع،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لكن فيما إذا كانوا من الورثة</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الاستلحاق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الاستحقاق</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راجع النهاية،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و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image" Target="media/image2.jpeg"/><Relationship Id="rId650" Type="http://schemas.openxmlformats.org/officeDocument/2006/relationships/image" Target="media/image2.jpeg"/><Relationship Id="rId651" Type="http://schemas.openxmlformats.org/officeDocument/2006/relationships/footer" Target="footer644.xml"/><Relationship Id="rId652" Type="http://schemas.openxmlformats.org/officeDocument/2006/relationships/footnotes" Target="footnotes.xml"/><Relationship Id="rId653" Type="http://schemas.openxmlformats.org/officeDocument/2006/relationships/numbering" Target="numbering.xml"/><Relationship Id="rId654" Type="http://schemas.openxmlformats.org/officeDocument/2006/relationships/fontTable" Target="fontTable.xml"/><Relationship Id="rId655" Type="http://schemas.openxmlformats.org/officeDocument/2006/relationships/settings" Target="settings.xml"/><Relationship Id="rId6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653</Pages>
  <Words>116759</Words>
  <Characters>484701</Characters>
  <CharactersWithSpaces>597811</CharactersWithSpaces>
  <Paragraphs>4142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2026-08-21T04:24:24Z</dcterms:created>
  <dc:creator>ghaemiyeh.com</dc:creator>
  <dc:description/>
  <dc:language>en-US</dc:language>
  <cp:lastModifiedBy/>
  <dcterms:modified xsi:type="dcterms:W3CDTF">2026-08-21T07:54:51Z</dcterms:modified>
  <cp:revision>1</cp:revision>
  <dc:subject/>
  <dc:title>موسوعة الشهید الثانی جلد 24</dc:title>
</cp:coreProperties>
</file>

<file path=docProps/custom.xml><?xml version="1.0" encoding="utf-8"?>
<Properties xmlns="http://schemas.openxmlformats.org/officeDocument/2006/custom-properties" xmlns:vt="http://schemas.openxmlformats.org/officeDocument/2006/docPropsVTypes"/>
</file>