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حقوق زنان و کودکان از منظر فقیه اهل بیت عصمت و طهارت علیهم السلام حضرت آیه الله العظمی صانعی مدظله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32528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532530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532532_287045965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5532534_2870459653">
            <w:r>
              <w:rPr>
                <w:webHidden/>
                <w:rStyle w:val="IndexLink"/>
                <w:rtl w:val="true"/>
              </w:rPr>
              <w:t>سخن نخست</w:t>
            </w:r>
            <w:r>
              <w:rPr>
                <w:rStyle w:val="IndexLink"/>
                <w:rtl w:val="true"/>
              </w:rPr>
              <w:tab/>
            </w:r>
            <w:r>
              <w:rPr>
                <w:rStyle w:val="IndexLink"/>
              </w:rPr>
              <w:t>12</w:t>
            </w:r>
          </w:hyperlink>
        </w:p>
        <w:p>
          <w:pPr>
            <w:pStyle w:val="Contents2"/>
            <w:tabs>
              <w:tab w:val="clear" w:pos="8743"/>
              <w:tab w:val="right" w:pos="9026" w:leader="dot"/>
            </w:tabs>
            <w:rPr/>
          </w:pPr>
          <w:hyperlink w:anchor="__RefHeading___Toc5532536_2870459653">
            <w:r>
              <w:rPr>
                <w:webHidden/>
                <w:rStyle w:val="IndexLink"/>
                <w:rtl w:val="true"/>
              </w:rPr>
              <w:t>دفتر اول</w:t>
            </w:r>
            <w:r>
              <w:rPr>
                <w:rStyle w:val="IndexLink"/>
                <w:rtl w:val="true"/>
              </w:rPr>
              <w:tab/>
            </w:r>
            <w:r>
              <w:rPr>
                <w:rStyle w:val="IndexLink"/>
              </w:rPr>
              <w:t>19</w:t>
            </w:r>
          </w:hyperlink>
        </w:p>
        <w:p>
          <w:pPr>
            <w:pStyle w:val="Contents3"/>
            <w:tabs>
              <w:tab w:val="clear" w:pos="8459"/>
              <w:tab w:val="right" w:pos="9026" w:leader="dot"/>
            </w:tabs>
            <w:rPr/>
          </w:pPr>
          <w:hyperlink w:anchor="__RefHeading___Toc5532538_2870459653">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5532540_2870459653">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5532542_2870459653">
            <w:r>
              <w:rPr>
                <w:webHidden/>
                <w:rStyle w:val="IndexLink"/>
                <w:rtl w:val="true"/>
              </w:rPr>
              <w:t>سنّ و مسئولیّت کیفری</w:t>
            </w:r>
            <w:r>
              <w:rPr>
                <w:rStyle w:val="IndexLink"/>
                <w:rtl w:val="true"/>
              </w:rPr>
              <w:tab/>
            </w:r>
            <w:r>
              <w:rPr>
                <w:rStyle w:val="IndexLink"/>
              </w:rPr>
              <w:t>23</w:t>
            </w:r>
          </w:hyperlink>
        </w:p>
        <w:p>
          <w:pPr>
            <w:pStyle w:val="Contents3"/>
            <w:tabs>
              <w:tab w:val="clear" w:pos="8459"/>
              <w:tab w:val="right" w:pos="9026" w:leader="dot"/>
            </w:tabs>
            <w:rPr/>
          </w:pPr>
          <w:hyperlink w:anchor="__RefHeading___Toc5532544_2870459653">
            <w:r>
              <w:rPr>
                <w:webHidden/>
                <w:rStyle w:val="IndexLink"/>
                <w:rtl w:val="true"/>
              </w:rPr>
              <w:t>جنسیت در شهادت</w:t>
            </w:r>
            <w:r>
              <w:rPr>
                <w:rStyle w:val="IndexLink"/>
                <w:rtl w:val="true"/>
              </w:rPr>
              <w:tab/>
            </w:r>
            <w:r>
              <w:rPr>
                <w:rStyle w:val="IndexLink"/>
              </w:rPr>
              <w:t>41</w:t>
            </w:r>
          </w:hyperlink>
        </w:p>
        <w:p>
          <w:pPr>
            <w:pStyle w:val="Contents3"/>
            <w:tabs>
              <w:tab w:val="clear" w:pos="8459"/>
              <w:tab w:val="right" w:pos="9026" w:leader="dot"/>
            </w:tabs>
            <w:rPr/>
          </w:pPr>
          <w:hyperlink w:anchor="__RefHeading___Toc5532546_2870459653">
            <w:r>
              <w:rPr>
                <w:webHidden/>
                <w:rStyle w:val="IndexLink"/>
                <w:rtl w:val="true"/>
              </w:rPr>
              <w:t>دیه</w:t>
            </w:r>
            <w:r>
              <w:rPr>
                <w:rStyle w:val="IndexLink"/>
                <w:rtl w:val="true"/>
              </w:rPr>
              <w:tab/>
            </w:r>
            <w:r>
              <w:rPr>
                <w:rStyle w:val="IndexLink"/>
              </w:rPr>
              <w:t>55</w:t>
            </w:r>
          </w:hyperlink>
        </w:p>
        <w:p>
          <w:pPr>
            <w:pStyle w:val="Contents3"/>
            <w:tabs>
              <w:tab w:val="clear" w:pos="8459"/>
              <w:tab w:val="right" w:pos="9026" w:leader="dot"/>
            </w:tabs>
            <w:rPr/>
          </w:pPr>
          <w:hyperlink w:anchor="__RefHeading___Toc5532548_2870459653">
            <w:r>
              <w:rPr>
                <w:webHidden/>
                <w:rStyle w:val="IndexLink"/>
                <w:rtl w:val="true"/>
              </w:rPr>
              <w:t>قصاص</w:t>
            </w:r>
            <w:r>
              <w:rPr>
                <w:rStyle w:val="IndexLink"/>
                <w:rtl w:val="true"/>
              </w:rPr>
              <w:tab/>
            </w:r>
            <w:r>
              <w:rPr>
                <w:rStyle w:val="IndexLink"/>
              </w:rPr>
              <w:t>63</w:t>
            </w:r>
          </w:hyperlink>
        </w:p>
        <w:p>
          <w:pPr>
            <w:pStyle w:val="Contents4"/>
            <w:tabs>
              <w:tab w:val="clear" w:pos="8176"/>
              <w:tab w:val="right" w:pos="9026" w:leader="dot"/>
            </w:tabs>
            <w:rPr/>
          </w:pPr>
          <w:hyperlink w:anchor="__RefHeading___Toc5532550_2870459653">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5532552_2870459653">
            <w:r>
              <w:rPr>
                <w:webHidden/>
                <w:rStyle w:val="IndexLink"/>
                <w:rtl w:val="true"/>
              </w:rPr>
              <w:t>تعیین سنّ مسئولیّت كیفری در اجرای قوانین مجازات اسلامی برای كودكان و نوجوانان</w:t>
            </w:r>
            <w:r>
              <w:rPr>
                <w:rStyle w:val="IndexLink"/>
                <w:rtl w:val="true"/>
              </w:rPr>
              <w:tab/>
            </w:r>
            <w:r>
              <w:rPr>
                <w:rStyle w:val="IndexLink"/>
              </w:rPr>
              <w:t>73</w:t>
            </w:r>
          </w:hyperlink>
        </w:p>
        <w:p>
          <w:pPr>
            <w:pStyle w:val="Contents4"/>
            <w:tabs>
              <w:tab w:val="clear" w:pos="8176"/>
              <w:tab w:val="right" w:pos="9026" w:leader="dot"/>
            </w:tabs>
            <w:rPr/>
          </w:pPr>
          <w:hyperlink w:anchor="__RefHeading___Toc5532554_2870459653">
            <w:r>
              <w:rPr>
                <w:webHidden/>
                <w:rStyle w:val="IndexLink"/>
                <w:rtl w:val="true"/>
              </w:rPr>
              <w:t>الف</w:t>
            </w:r>
            <w:r>
              <w:rPr>
                <w:rStyle w:val="IndexLink"/>
                <w:rtl w:val="true"/>
              </w:rPr>
              <w:t xml:space="preserve">) </w:t>
            </w:r>
            <w:r>
              <w:rPr>
                <w:rStyle w:val="IndexLink"/>
                <w:rtl w:val="true"/>
              </w:rPr>
              <w:t>تعزيرات</w:t>
            </w:r>
            <w:r>
              <w:rPr>
                <w:rStyle w:val="IndexLink"/>
                <w:rtl w:val="true"/>
              </w:rPr>
              <w:tab/>
            </w:r>
            <w:r>
              <w:rPr>
                <w:rStyle w:val="IndexLink"/>
              </w:rPr>
              <w:t>74</w:t>
            </w:r>
          </w:hyperlink>
        </w:p>
        <w:p>
          <w:pPr>
            <w:pStyle w:val="Contents4"/>
            <w:tabs>
              <w:tab w:val="clear" w:pos="8176"/>
              <w:tab w:val="right" w:pos="9026" w:leader="dot"/>
            </w:tabs>
            <w:rPr/>
          </w:pPr>
          <w:hyperlink w:anchor="__RefHeading___Toc5532556_2870459653">
            <w:r>
              <w:rPr>
                <w:webHidden/>
                <w:rStyle w:val="IndexLink"/>
                <w:rtl w:val="true"/>
              </w:rPr>
              <w:t>ب</w:t>
            </w:r>
            <w:r>
              <w:rPr>
                <w:rStyle w:val="IndexLink"/>
                <w:rtl w:val="true"/>
              </w:rPr>
              <w:t xml:space="preserve">) </w:t>
            </w:r>
            <w:r>
              <w:rPr>
                <w:rStyle w:val="IndexLink"/>
                <w:rtl w:val="true"/>
              </w:rPr>
              <w:t>حدود</w:t>
            </w:r>
            <w:r>
              <w:rPr>
                <w:rStyle w:val="IndexLink"/>
                <w:rtl w:val="true"/>
              </w:rPr>
              <w:tab/>
            </w:r>
            <w:r>
              <w:rPr>
                <w:rStyle w:val="IndexLink"/>
              </w:rPr>
              <w:t>77</w:t>
            </w:r>
          </w:hyperlink>
        </w:p>
        <w:p>
          <w:pPr>
            <w:pStyle w:val="Contents4"/>
            <w:tabs>
              <w:tab w:val="clear" w:pos="8176"/>
              <w:tab w:val="right" w:pos="9026" w:leader="dot"/>
            </w:tabs>
            <w:rPr/>
          </w:pPr>
          <w:hyperlink w:anchor="__RefHeading___Toc5532558_2870459653">
            <w:r>
              <w:rPr>
                <w:webHidden/>
                <w:rStyle w:val="IndexLink"/>
                <w:rtl w:val="true"/>
              </w:rPr>
              <w:t>ج</w:t>
            </w:r>
            <w:r>
              <w:rPr>
                <w:rStyle w:val="IndexLink"/>
                <w:rtl w:val="true"/>
              </w:rPr>
              <w:t xml:space="preserve">) </w:t>
            </w:r>
            <w:r>
              <w:rPr>
                <w:rStyle w:val="IndexLink"/>
                <w:rtl w:val="true"/>
              </w:rPr>
              <w:t>قصاص</w:t>
            </w:r>
            <w:r>
              <w:rPr>
                <w:rStyle w:val="IndexLink"/>
                <w:rtl w:val="true"/>
              </w:rPr>
              <w:tab/>
            </w:r>
            <w:r>
              <w:rPr>
                <w:rStyle w:val="IndexLink"/>
              </w:rPr>
              <w:t>79</w:t>
            </w:r>
          </w:hyperlink>
        </w:p>
        <w:p>
          <w:pPr>
            <w:pStyle w:val="Contents2"/>
            <w:tabs>
              <w:tab w:val="clear" w:pos="8743"/>
              <w:tab w:val="right" w:pos="9026" w:leader="dot"/>
            </w:tabs>
            <w:rPr/>
          </w:pPr>
          <w:hyperlink w:anchor="__RefHeading___Toc5532560_2870459653">
            <w:r>
              <w:rPr>
                <w:webHidden/>
                <w:rStyle w:val="IndexLink"/>
                <w:rtl w:val="true"/>
              </w:rPr>
              <w:t>دفتر دوم</w:t>
            </w:r>
            <w:r>
              <w:rPr>
                <w:rStyle w:val="IndexLink"/>
                <w:rtl w:val="true"/>
              </w:rPr>
              <w:tab/>
            </w:r>
            <w:r>
              <w:rPr>
                <w:rStyle w:val="IndexLink"/>
              </w:rPr>
              <w:t>81</w:t>
            </w:r>
          </w:hyperlink>
        </w:p>
        <w:p>
          <w:pPr>
            <w:pStyle w:val="Contents3"/>
            <w:tabs>
              <w:tab w:val="clear" w:pos="8459"/>
              <w:tab w:val="right" w:pos="9026" w:leader="dot"/>
            </w:tabs>
            <w:rPr/>
          </w:pPr>
          <w:hyperlink w:anchor="__RefHeading___Toc5532562_2870459653">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5532564_2870459653">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5532566_2870459653">
            <w:r>
              <w:rPr>
                <w:webHidden/>
                <w:rStyle w:val="IndexLink"/>
                <w:rtl w:val="true"/>
              </w:rPr>
              <w:t>گفت و گو</w:t>
            </w:r>
            <w:r>
              <w:rPr>
                <w:rStyle w:val="IndexLink"/>
                <w:rtl w:val="true"/>
              </w:rPr>
              <w:tab/>
            </w:r>
            <w:r>
              <w:rPr>
                <w:rStyle w:val="IndexLink"/>
              </w:rPr>
              <w:t>85</w:t>
            </w:r>
          </w:hyperlink>
        </w:p>
        <w:p>
          <w:pPr>
            <w:pStyle w:val="Contents3"/>
            <w:tabs>
              <w:tab w:val="clear" w:pos="8459"/>
              <w:tab w:val="right" w:pos="9026" w:leader="dot"/>
            </w:tabs>
            <w:rPr/>
          </w:pPr>
          <w:hyperlink w:anchor="__RefHeading___Toc5532568_2870459653">
            <w:r>
              <w:rPr>
                <w:webHidden/>
                <w:rStyle w:val="IndexLink"/>
                <w:rtl w:val="true"/>
              </w:rPr>
              <w:t>تفاوت ميان ولايت و حضانت</w:t>
            </w:r>
            <w:r>
              <w:rPr>
                <w:rStyle w:val="IndexLink"/>
                <w:rtl w:val="true"/>
              </w:rPr>
              <w:tab/>
            </w:r>
            <w:r>
              <w:rPr>
                <w:rStyle w:val="IndexLink"/>
              </w:rPr>
              <w:t>86</w:t>
            </w:r>
          </w:hyperlink>
        </w:p>
        <w:p>
          <w:pPr>
            <w:pStyle w:val="Contents3"/>
            <w:tabs>
              <w:tab w:val="clear" w:pos="8459"/>
              <w:tab w:val="right" w:pos="9026" w:leader="dot"/>
            </w:tabs>
            <w:rPr/>
          </w:pPr>
          <w:hyperlink w:anchor="__RefHeading___Toc5532570_2870459653">
            <w:r>
              <w:rPr>
                <w:webHidden/>
                <w:rStyle w:val="IndexLink"/>
                <w:rtl w:val="true"/>
              </w:rPr>
              <w:t>تقدم حق الولايه مادر بر جدّ پدري</w:t>
            </w:r>
            <w:r>
              <w:rPr>
                <w:rStyle w:val="IndexLink"/>
                <w:rtl w:val="true"/>
              </w:rPr>
              <w:tab/>
            </w:r>
            <w:r>
              <w:rPr>
                <w:rStyle w:val="IndexLink"/>
              </w:rPr>
              <w:t>87</w:t>
            </w:r>
          </w:hyperlink>
        </w:p>
        <w:p>
          <w:pPr>
            <w:pStyle w:val="Contents3"/>
            <w:tabs>
              <w:tab w:val="clear" w:pos="8459"/>
              <w:tab w:val="right" w:pos="9026" w:leader="dot"/>
            </w:tabs>
            <w:rPr/>
          </w:pPr>
          <w:hyperlink w:anchor="__RefHeading___Toc5532572_2870459653">
            <w:r>
              <w:rPr>
                <w:webHidden/>
                <w:rStyle w:val="IndexLink"/>
                <w:rtl w:val="true"/>
              </w:rPr>
              <w:t>برخي از شروط حضانت</w:t>
            </w:r>
            <w:r>
              <w:rPr>
                <w:rStyle w:val="IndexLink"/>
                <w:rtl w:val="true"/>
              </w:rPr>
              <w:tab/>
            </w:r>
            <w:r>
              <w:rPr>
                <w:rStyle w:val="IndexLink"/>
              </w:rPr>
              <w:t>91</w:t>
            </w:r>
          </w:hyperlink>
        </w:p>
        <w:p>
          <w:pPr>
            <w:pStyle w:val="Contents4"/>
            <w:tabs>
              <w:tab w:val="clear" w:pos="8176"/>
              <w:tab w:val="right" w:pos="9026" w:leader="dot"/>
            </w:tabs>
            <w:rPr/>
          </w:pPr>
          <w:hyperlink w:anchor="__RefHeading___Toc5532574_2870459653">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5532576_2870459653">
            <w:r>
              <w:rPr>
                <w:webHidden/>
                <w:rStyle w:val="IndexLink"/>
                <w:rtl w:val="true"/>
              </w:rPr>
              <w:t>امين و متعهد بودن</w:t>
            </w:r>
            <w:r>
              <w:rPr>
                <w:rStyle w:val="IndexLink"/>
                <w:rtl w:val="true"/>
              </w:rPr>
              <w:tab/>
            </w:r>
            <w:r>
              <w:rPr>
                <w:rStyle w:val="IndexLink"/>
              </w:rPr>
              <w:t>91</w:t>
            </w:r>
          </w:hyperlink>
        </w:p>
        <w:p>
          <w:pPr>
            <w:pStyle w:val="Contents4"/>
            <w:tabs>
              <w:tab w:val="clear" w:pos="8176"/>
              <w:tab w:val="right" w:pos="9026" w:leader="dot"/>
            </w:tabs>
            <w:rPr/>
          </w:pPr>
          <w:hyperlink w:anchor="__RefHeading___Toc5532578_2870459653">
            <w:r>
              <w:rPr>
                <w:webHidden/>
                <w:rStyle w:val="IndexLink"/>
                <w:rtl w:val="true"/>
              </w:rPr>
              <w:t>نداشتن مرض مُسري</w:t>
            </w:r>
            <w:r>
              <w:rPr>
                <w:rStyle w:val="IndexLink"/>
                <w:rtl w:val="true"/>
              </w:rPr>
              <w:tab/>
            </w:r>
            <w:r>
              <w:rPr>
                <w:rStyle w:val="IndexLink"/>
              </w:rPr>
              <w:t>92</w:t>
            </w:r>
          </w:hyperlink>
        </w:p>
        <w:p>
          <w:pPr>
            <w:pStyle w:val="Contents3"/>
            <w:tabs>
              <w:tab w:val="clear" w:pos="8459"/>
              <w:tab w:val="right" w:pos="9026" w:leader="dot"/>
            </w:tabs>
            <w:rPr/>
          </w:pPr>
          <w:hyperlink w:anchor="__RefHeading___Toc5532580_2870459653">
            <w:r>
              <w:rPr>
                <w:webHidden/>
                <w:rStyle w:val="IndexLink"/>
                <w:rtl w:val="true"/>
              </w:rPr>
              <w:t xml:space="preserve">حق حضانت کودکان </w:t>
            </w:r>
            <w:r>
              <w:rPr>
                <w:rStyle w:val="IndexLink"/>
                <w:rtl w:val="true"/>
              </w:rPr>
              <w:softHyphen/>
            </w:r>
            <w:r>
              <w:rPr>
                <w:rStyle w:val="IndexLink"/>
                <w:rtl w:val="true"/>
              </w:rPr>
              <w:t>در فتاواي حضرت آيت اللّه العظمي صانعي</w:t>
            </w:r>
            <w:r>
              <w:rPr>
                <w:rStyle w:val="IndexLink"/>
                <w:rtl w:val="true"/>
              </w:rPr>
              <w:tab/>
            </w:r>
            <w:r>
              <w:rPr>
                <w:rStyle w:val="IndexLink"/>
              </w:rPr>
              <w:t>97</w:t>
            </w:r>
          </w:hyperlink>
        </w:p>
        <w:p>
          <w:pPr>
            <w:pStyle w:val="Contents2"/>
            <w:tabs>
              <w:tab w:val="clear" w:pos="8743"/>
              <w:tab w:val="right" w:pos="9026" w:leader="dot"/>
            </w:tabs>
            <w:rPr/>
          </w:pPr>
          <w:hyperlink w:anchor="__RefHeading___Toc5532582_2870459653">
            <w:r>
              <w:rPr>
                <w:webHidden/>
                <w:rStyle w:val="IndexLink"/>
                <w:rtl w:val="true"/>
              </w:rPr>
              <w:t>دفتر سوم</w:t>
            </w:r>
            <w:r>
              <w:rPr>
                <w:rStyle w:val="IndexLink"/>
                <w:rtl w:val="true"/>
              </w:rPr>
              <w:tab/>
            </w:r>
            <w:r>
              <w:rPr>
                <w:rStyle w:val="IndexLink"/>
              </w:rPr>
              <w:t>107</w:t>
            </w:r>
          </w:hyperlink>
        </w:p>
        <w:p>
          <w:pPr>
            <w:pStyle w:val="Contents3"/>
            <w:tabs>
              <w:tab w:val="clear" w:pos="8459"/>
              <w:tab w:val="right" w:pos="9026" w:leader="dot"/>
            </w:tabs>
            <w:rPr/>
          </w:pPr>
          <w:hyperlink w:anchor="__RefHeading___Toc5532584_2870459653">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5532586_2870459653">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5532588_2870459653">
            <w:r>
              <w:rPr>
                <w:webHidden/>
                <w:rStyle w:val="IndexLink"/>
                <w:rtl w:val="true"/>
              </w:rPr>
              <w:t>بيانيه حضرت آيت اللّه العظمي صانعي به مناسبت روز جهاني كودك</w:t>
            </w:r>
            <w:r>
              <w:rPr>
                <w:rStyle w:val="IndexLink"/>
                <w:rtl w:val="true"/>
              </w:rPr>
              <w:tab/>
            </w:r>
            <w:r>
              <w:rPr>
                <w:rStyle w:val="IndexLink"/>
              </w:rPr>
              <w:t>112</w:t>
            </w:r>
          </w:hyperlink>
        </w:p>
        <w:p>
          <w:pPr>
            <w:pStyle w:val="Contents3"/>
            <w:tabs>
              <w:tab w:val="clear" w:pos="8459"/>
              <w:tab w:val="right" w:pos="9026" w:leader="dot"/>
            </w:tabs>
            <w:rPr/>
          </w:pPr>
          <w:hyperlink w:anchor="__RefHeading___Toc5532590_2870459653">
            <w:r>
              <w:rPr>
                <w:webHidden/>
                <w:rStyle w:val="IndexLink"/>
                <w:rtl w:val="true"/>
              </w:rPr>
              <w:t>گفت و گو</w:t>
            </w:r>
            <w:r>
              <w:rPr>
                <w:rStyle w:val="IndexLink"/>
                <w:rtl w:val="true"/>
              </w:rPr>
              <w:tab/>
            </w:r>
            <w:r>
              <w:rPr>
                <w:rStyle w:val="IndexLink"/>
              </w:rPr>
              <w:t>114</w:t>
            </w:r>
          </w:hyperlink>
        </w:p>
        <w:p>
          <w:pPr>
            <w:pStyle w:val="Contents3"/>
            <w:tabs>
              <w:tab w:val="clear" w:pos="8459"/>
              <w:tab w:val="right" w:pos="9026" w:leader="dot"/>
            </w:tabs>
            <w:rPr/>
          </w:pPr>
          <w:hyperlink w:anchor="__RefHeading___Toc5532592_2870459653">
            <w:r>
              <w:rPr>
                <w:webHidden/>
                <w:rStyle w:val="IndexLink"/>
                <w:rtl w:val="true"/>
              </w:rPr>
              <w:t>عوامل رعایت حقوق کودک</w:t>
            </w:r>
            <w:r>
              <w:rPr>
                <w:rStyle w:val="IndexLink"/>
                <w:rtl w:val="true"/>
              </w:rPr>
              <w:tab/>
            </w:r>
            <w:r>
              <w:rPr>
                <w:rStyle w:val="IndexLink"/>
              </w:rPr>
              <w:t>119</w:t>
            </w:r>
          </w:hyperlink>
        </w:p>
        <w:p>
          <w:pPr>
            <w:pStyle w:val="Contents4"/>
            <w:tabs>
              <w:tab w:val="clear" w:pos="8176"/>
              <w:tab w:val="right" w:pos="9026" w:leader="dot"/>
            </w:tabs>
            <w:rPr/>
          </w:pPr>
          <w:hyperlink w:anchor="__RefHeading___Toc5532594_2870459653">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5532596_2870459653">
            <w:r>
              <w:rPr>
                <w:webHidden/>
                <w:rStyle w:val="IndexLink"/>
              </w:rPr>
              <w:t>1</w:t>
            </w:r>
            <w:r>
              <w:rPr>
                <w:rStyle w:val="IndexLink"/>
                <w:rtl w:val="true"/>
              </w:rPr>
              <w:t xml:space="preserve">) </w:t>
            </w:r>
            <w:r>
              <w:rPr>
                <w:rStyle w:val="IndexLink"/>
                <w:rtl w:val="true"/>
              </w:rPr>
              <w:t>ریشه کن کردن فقر</w:t>
            </w:r>
            <w:r>
              <w:rPr>
                <w:rStyle w:val="IndexLink"/>
                <w:rtl w:val="true"/>
              </w:rPr>
              <w:tab/>
            </w:r>
            <w:r>
              <w:rPr>
                <w:rStyle w:val="IndexLink"/>
              </w:rPr>
              <w:t>119</w:t>
            </w:r>
          </w:hyperlink>
        </w:p>
        <w:p>
          <w:pPr>
            <w:pStyle w:val="Contents4"/>
            <w:tabs>
              <w:tab w:val="clear" w:pos="8176"/>
              <w:tab w:val="right" w:pos="9026" w:leader="dot"/>
            </w:tabs>
            <w:rPr/>
          </w:pPr>
          <w:hyperlink w:anchor="__RefHeading___Toc5532598_2870459653">
            <w:r>
              <w:rPr>
                <w:webHidden/>
                <w:rStyle w:val="IndexLink"/>
              </w:rPr>
              <w:t>2</w:t>
            </w:r>
            <w:r>
              <w:rPr>
                <w:rStyle w:val="IndexLink"/>
                <w:rtl w:val="true"/>
              </w:rPr>
              <w:t xml:space="preserve">) </w:t>
            </w:r>
            <w:r>
              <w:rPr>
                <w:rStyle w:val="IndexLink"/>
                <w:rtl w:val="true"/>
              </w:rPr>
              <w:t>ایجاد زمینه تحصیل و فراگیری دانش</w:t>
            </w:r>
            <w:r>
              <w:rPr>
                <w:rStyle w:val="IndexLink"/>
                <w:rtl w:val="true"/>
              </w:rPr>
              <w:tab/>
            </w:r>
            <w:r>
              <w:rPr>
                <w:rStyle w:val="IndexLink"/>
              </w:rPr>
              <w:t>120</w:t>
            </w:r>
          </w:hyperlink>
        </w:p>
        <w:p>
          <w:pPr>
            <w:pStyle w:val="Contents4"/>
            <w:tabs>
              <w:tab w:val="clear" w:pos="8176"/>
              <w:tab w:val="right" w:pos="9026" w:leader="dot"/>
            </w:tabs>
            <w:rPr/>
          </w:pPr>
          <w:hyperlink w:anchor="__RefHeading___Toc5532600_2870459653">
            <w:r>
              <w:rPr>
                <w:webHidden/>
                <w:rStyle w:val="IndexLink"/>
              </w:rPr>
              <w:t>3</w:t>
            </w:r>
            <w:r>
              <w:rPr>
                <w:rStyle w:val="IndexLink"/>
                <w:rtl w:val="true"/>
              </w:rPr>
              <w:t xml:space="preserve">) </w:t>
            </w:r>
            <w:r>
              <w:rPr>
                <w:rStyle w:val="IndexLink"/>
                <w:rtl w:val="true"/>
              </w:rPr>
              <w:t>تنظیم خانواده و فرزند کمتر</w:t>
            </w:r>
            <w:r>
              <w:rPr>
                <w:rStyle w:val="IndexLink"/>
                <w:rtl w:val="true"/>
              </w:rPr>
              <w:tab/>
            </w:r>
            <w:r>
              <w:rPr>
                <w:rStyle w:val="IndexLink"/>
              </w:rPr>
              <w:t>120</w:t>
            </w:r>
          </w:hyperlink>
        </w:p>
        <w:p>
          <w:pPr>
            <w:pStyle w:val="Contents4"/>
            <w:tabs>
              <w:tab w:val="clear" w:pos="8176"/>
              <w:tab w:val="right" w:pos="9026" w:leader="dot"/>
            </w:tabs>
            <w:rPr/>
          </w:pPr>
          <w:hyperlink w:anchor="__RefHeading___Toc5532602_2870459653">
            <w:r>
              <w:rPr>
                <w:webHidden/>
                <w:rStyle w:val="IndexLink"/>
              </w:rPr>
              <w:t>4</w:t>
            </w:r>
            <w:r>
              <w:rPr>
                <w:rStyle w:val="IndexLink"/>
                <w:rtl w:val="true"/>
              </w:rPr>
              <w:t xml:space="preserve">) </w:t>
            </w:r>
            <w:r>
              <w:rPr>
                <w:rStyle w:val="IndexLink"/>
                <w:rtl w:val="true"/>
              </w:rPr>
              <w:t xml:space="preserve">تربیت دینی </w:t>
            </w:r>
            <w:r>
              <w:rPr>
                <w:rStyle w:val="IndexLink"/>
                <w:rtl w:val="true"/>
              </w:rPr>
              <w:t xml:space="preserve">- </w:t>
            </w:r>
            <w:r>
              <w:rPr>
                <w:rStyle w:val="IndexLink"/>
                <w:rtl w:val="true"/>
              </w:rPr>
              <w:t>علمی</w:t>
            </w:r>
            <w:r>
              <w:rPr>
                <w:rStyle w:val="IndexLink"/>
                <w:rtl w:val="true"/>
              </w:rPr>
              <w:tab/>
            </w:r>
            <w:r>
              <w:rPr>
                <w:rStyle w:val="IndexLink"/>
              </w:rPr>
              <w:t>121</w:t>
            </w:r>
          </w:hyperlink>
        </w:p>
        <w:p>
          <w:pPr>
            <w:pStyle w:val="Contents4"/>
            <w:tabs>
              <w:tab w:val="clear" w:pos="8176"/>
              <w:tab w:val="right" w:pos="9026" w:leader="dot"/>
            </w:tabs>
            <w:rPr/>
          </w:pPr>
          <w:hyperlink w:anchor="__RefHeading___Toc5532604_2870459653">
            <w:r>
              <w:rPr>
                <w:webHidden/>
                <w:rStyle w:val="IndexLink"/>
              </w:rPr>
              <w:t>5</w:t>
            </w:r>
            <w:r>
              <w:rPr>
                <w:rStyle w:val="IndexLink"/>
                <w:rtl w:val="true"/>
              </w:rPr>
              <w:t xml:space="preserve">) </w:t>
            </w:r>
            <w:r>
              <w:rPr>
                <w:rStyle w:val="IndexLink"/>
                <w:rtl w:val="true"/>
              </w:rPr>
              <w:t>احترام به کودکان</w:t>
            </w:r>
            <w:r>
              <w:rPr>
                <w:rStyle w:val="IndexLink"/>
                <w:rtl w:val="true"/>
              </w:rPr>
              <w:tab/>
            </w:r>
            <w:r>
              <w:rPr>
                <w:rStyle w:val="IndexLink"/>
              </w:rPr>
              <w:t>122</w:t>
            </w:r>
          </w:hyperlink>
        </w:p>
        <w:p>
          <w:pPr>
            <w:pStyle w:val="Contents4"/>
            <w:tabs>
              <w:tab w:val="clear" w:pos="8176"/>
              <w:tab w:val="right" w:pos="9026" w:leader="dot"/>
            </w:tabs>
            <w:rPr/>
          </w:pPr>
          <w:hyperlink w:anchor="__RefHeading___Toc5532606_2870459653">
            <w:r>
              <w:rPr>
                <w:webHidden/>
                <w:rStyle w:val="IndexLink"/>
              </w:rPr>
              <w:t>6</w:t>
            </w:r>
            <w:r>
              <w:rPr>
                <w:rStyle w:val="IndexLink"/>
                <w:rtl w:val="true"/>
              </w:rPr>
              <w:t xml:space="preserve">) </w:t>
            </w:r>
            <w:r>
              <w:rPr>
                <w:rStyle w:val="IndexLink"/>
                <w:rtl w:val="true"/>
              </w:rPr>
              <w:t>تشکیل دادگاه ویژه کودک آزاری</w:t>
            </w:r>
            <w:r>
              <w:rPr>
                <w:rStyle w:val="IndexLink"/>
                <w:rtl w:val="true"/>
              </w:rPr>
              <w:tab/>
            </w:r>
            <w:r>
              <w:rPr>
                <w:rStyle w:val="IndexLink"/>
              </w:rPr>
              <w:t>125</w:t>
            </w:r>
          </w:hyperlink>
        </w:p>
        <w:p>
          <w:pPr>
            <w:pStyle w:val="Contents4"/>
            <w:tabs>
              <w:tab w:val="clear" w:pos="8176"/>
              <w:tab w:val="right" w:pos="9026" w:leader="dot"/>
            </w:tabs>
            <w:rPr/>
          </w:pPr>
          <w:hyperlink w:anchor="__RefHeading___Toc5532608_2870459653">
            <w:r>
              <w:rPr>
                <w:webHidden/>
                <w:rStyle w:val="IndexLink"/>
                <w:rtl w:val="true"/>
              </w:rPr>
              <w:t>تفاوت مجازات بزرگ</w:t>
            </w:r>
            <w:r>
              <w:rPr>
                <w:rStyle w:val="IndexLink"/>
                <w:rtl w:val="true"/>
              </w:rPr>
              <w:softHyphen/>
            </w:r>
            <w:r>
              <w:rPr>
                <w:rStyle w:val="IndexLink"/>
                <w:rtl w:val="true"/>
              </w:rPr>
              <w:t>سالان با کودکان</w:t>
            </w:r>
            <w:r>
              <w:rPr>
                <w:rStyle w:val="IndexLink"/>
                <w:rtl w:val="true"/>
              </w:rPr>
              <w:tab/>
            </w:r>
            <w:r>
              <w:rPr>
                <w:rStyle w:val="IndexLink"/>
              </w:rPr>
              <w:t>127</w:t>
            </w:r>
          </w:hyperlink>
        </w:p>
        <w:p>
          <w:pPr>
            <w:pStyle w:val="Contents4"/>
            <w:tabs>
              <w:tab w:val="clear" w:pos="8176"/>
              <w:tab w:val="right" w:pos="9026" w:leader="dot"/>
            </w:tabs>
            <w:rPr/>
          </w:pPr>
          <w:hyperlink w:anchor="__RefHeading___Toc5532610_2870459653">
            <w:r>
              <w:rPr>
                <w:webHidden/>
                <w:rStyle w:val="IndexLink"/>
                <w:rtl w:val="true"/>
              </w:rPr>
              <w:t>حرمت کودک آزاری در اسلام</w:t>
            </w:r>
            <w:r>
              <w:rPr>
                <w:rStyle w:val="IndexLink"/>
                <w:rtl w:val="true"/>
              </w:rPr>
              <w:tab/>
            </w:r>
            <w:r>
              <w:rPr>
                <w:rStyle w:val="IndexLink"/>
              </w:rPr>
              <w:t>128</w:t>
            </w:r>
          </w:hyperlink>
        </w:p>
        <w:p>
          <w:pPr>
            <w:pStyle w:val="Contents4"/>
            <w:tabs>
              <w:tab w:val="clear" w:pos="8176"/>
              <w:tab w:val="right" w:pos="9026" w:leader="dot"/>
            </w:tabs>
            <w:rPr/>
          </w:pPr>
          <w:hyperlink w:anchor="__RefHeading___Toc5532612_2870459653">
            <w:r>
              <w:rPr>
                <w:webHidden/>
                <w:rStyle w:val="IndexLink"/>
                <w:rtl w:val="true"/>
              </w:rPr>
              <w:t>بهره‌گيري از اندیشمندان حوزه و دانشگاه</w:t>
            </w:r>
            <w:r>
              <w:rPr>
                <w:rStyle w:val="IndexLink"/>
                <w:rtl w:val="true"/>
              </w:rPr>
              <w:tab/>
            </w:r>
            <w:r>
              <w:rPr>
                <w:rStyle w:val="IndexLink"/>
              </w:rPr>
              <w:t>128</w:t>
            </w:r>
          </w:hyperlink>
        </w:p>
        <w:p>
          <w:pPr>
            <w:pStyle w:val="Contents4"/>
            <w:tabs>
              <w:tab w:val="clear" w:pos="8176"/>
              <w:tab w:val="right" w:pos="9026" w:leader="dot"/>
            </w:tabs>
            <w:rPr/>
          </w:pPr>
          <w:hyperlink w:anchor="__RefHeading___Toc5532614_2870459653">
            <w:r>
              <w:rPr>
                <w:webHidden/>
                <w:rStyle w:val="IndexLink"/>
                <w:rtl w:val="true"/>
              </w:rPr>
              <w:t>آموزش لازم براي جلوگيري از ايدز</w:t>
            </w:r>
            <w:r>
              <w:rPr>
                <w:rStyle w:val="IndexLink"/>
                <w:rtl w:val="true"/>
              </w:rPr>
              <w:tab/>
            </w:r>
            <w:r>
              <w:rPr>
                <w:rStyle w:val="IndexLink"/>
              </w:rPr>
              <w:t>130</w:t>
            </w:r>
          </w:hyperlink>
        </w:p>
        <w:p>
          <w:pPr>
            <w:pStyle w:val="Contents3"/>
            <w:tabs>
              <w:tab w:val="clear" w:pos="8459"/>
              <w:tab w:val="right" w:pos="9026" w:leader="dot"/>
            </w:tabs>
            <w:rPr/>
          </w:pPr>
          <w:hyperlink w:anchor="__RefHeading___Toc5532616_2870459653">
            <w:r>
              <w:rPr>
                <w:webHidden/>
                <w:rStyle w:val="IndexLink"/>
                <w:rtl w:val="true"/>
              </w:rPr>
              <w:t>مجازات اعدام براي نوجوانان</w:t>
            </w:r>
            <w:r>
              <w:rPr>
                <w:rStyle w:val="IndexLink"/>
                <w:rtl w:val="true"/>
              </w:rPr>
              <w:tab/>
            </w:r>
            <w:r>
              <w:rPr>
                <w:rStyle w:val="IndexLink"/>
              </w:rPr>
              <w:t>132</w:t>
            </w:r>
          </w:hyperlink>
        </w:p>
        <w:p>
          <w:pPr>
            <w:pStyle w:val="Contents4"/>
            <w:tabs>
              <w:tab w:val="clear" w:pos="8176"/>
              <w:tab w:val="right" w:pos="9026" w:leader="dot"/>
            </w:tabs>
            <w:rPr/>
          </w:pPr>
          <w:hyperlink w:anchor="__RefHeading___Toc5532618_2870459653">
            <w:r>
              <w:rPr>
                <w:webHidden/>
                <w:rStyle w:val="IndexLink"/>
                <w:rtl w:val="true"/>
              </w:rPr>
              <w:t>الف</w:t>
            </w:r>
            <w:r>
              <w:rPr>
                <w:rStyle w:val="IndexLink"/>
                <w:rtl w:val="true"/>
              </w:rPr>
              <w:t xml:space="preserve">) </w:t>
            </w:r>
            <w:r>
              <w:rPr>
                <w:rStyle w:val="IndexLink"/>
                <w:rtl w:val="true"/>
              </w:rPr>
              <w:t>ديدگاه فقها پيرامون جاري نبودن حدود در زمان غيبت</w:t>
            </w:r>
            <w:r>
              <w:rPr>
                <w:rStyle w:val="IndexLink"/>
                <w:rtl w:val="true"/>
              </w:rPr>
              <w:tab/>
            </w:r>
            <w:r>
              <w:rPr>
                <w:rStyle w:val="IndexLink"/>
              </w:rPr>
              <w:t>132</w:t>
            </w:r>
          </w:hyperlink>
        </w:p>
        <w:p>
          <w:pPr>
            <w:pStyle w:val="Contents4"/>
            <w:tabs>
              <w:tab w:val="clear" w:pos="8176"/>
              <w:tab w:val="right" w:pos="9026" w:leader="dot"/>
            </w:tabs>
            <w:rPr/>
          </w:pPr>
          <w:hyperlink w:anchor="__RefHeading___Toc5532620_2870459653">
            <w:r>
              <w:rPr>
                <w:webHidden/>
                <w:rStyle w:val="IndexLink"/>
                <w:rtl w:val="true"/>
              </w:rPr>
              <w:t>ب</w:t>
            </w:r>
            <w:r>
              <w:rPr>
                <w:rStyle w:val="IndexLink"/>
                <w:rtl w:val="true"/>
              </w:rPr>
              <w:t xml:space="preserve">) </w:t>
            </w:r>
            <w:r>
              <w:rPr>
                <w:rStyle w:val="IndexLink"/>
                <w:rtl w:val="true"/>
              </w:rPr>
              <w:t>عدم اثبات برخی حدود بر اساس آئین دادرسی اسلام</w:t>
            </w:r>
            <w:r>
              <w:rPr>
                <w:rStyle w:val="IndexLink"/>
                <w:rtl w:val="true"/>
              </w:rPr>
              <w:tab/>
            </w:r>
            <w:r>
              <w:rPr>
                <w:rStyle w:val="IndexLink"/>
              </w:rPr>
              <w:t>133</w:t>
            </w:r>
          </w:hyperlink>
        </w:p>
        <w:p>
          <w:pPr>
            <w:pStyle w:val="Contents4"/>
            <w:tabs>
              <w:tab w:val="clear" w:pos="8176"/>
              <w:tab w:val="right" w:pos="9026" w:leader="dot"/>
            </w:tabs>
            <w:rPr/>
          </w:pPr>
          <w:hyperlink w:anchor="__RefHeading___Toc5532622_2870459653">
            <w:r>
              <w:rPr>
                <w:webHidden/>
                <w:rStyle w:val="IndexLink"/>
                <w:rtl w:val="true"/>
              </w:rPr>
              <w:t>تلاش حضرت علی علیه السلام برای جاري نکردن حکم سنگسار</w:t>
            </w:r>
            <w:r>
              <w:rPr>
                <w:rStyle w:val="IndexLink"/>
                <w:rtl w:val="true"/>
              </w:rPr>
              <w:tab/>
            </w:r>
            <w:r>
              <w:rPr>
                <w:rStyle w:val="IndexLink"/>
              </w:rPr>
              <w:t>134</w:t>
            </w:r>
          </w:hyperlink>
        </w:p>
        <w:p>
          <w:pPr>
            <w:pStyle w:val="Contents4"/>
            <w:tabs>
              <w:tab w:val="clear" w:pos="8176"/>
              <w:tab w:val="right" w:pos="9026" w:leader="dot"/>
            </w:tabs>
            <w:rPr/>
          </w:pPr>
          <w:hyperlink w:anchor="__RefHeading___Toc5532624_2870459653">
            <w:r>
              <w:rPr>
                <w:webHidden/>
                <w:rStyle w:val="IndexLink"/>
                <w:rtl w:val="true"/>
              </w:rPr>
              <w:t>ج</w:t>
            </w:r>
            <w:r>
              <w:rPr>
                <w:rStyle w:val="IndexLink"/>
                <w:rtl w:val="true"/>
              </w:rPr>
              <w:t xml:space="preserve">) </w:t>
            </w:r>
            <w:r>
              <w:rPr>
                <w:rStyle w:val="IndexLink"/>
                <w:rtl w:val="true"/>
              </w:rPr>
              <w:t xml:space="preserve">قصاص مجرم کمتر از </w:t>
            </w:r>
            <w:r>
              <w:rPr>
                <w:rStyle w:val="IndexLink"/>
              </w:rPr>
              <w:t>18</w:t>
            </w:r>
            <w:r>
              <w:rPr>
                <w:rStyle w:val="IndexLink"/>
                <w:rtl w:val="true"/>
              </w:rPr>
              <w:t xml:space="preserve"> </w:t>
            </w:r>
            <w:r>
              <w:rPr>
                <w:rStyle w:val="IndexLink"/>
                <w:rtl w:val="true"/>
              </w:rPr>
              <w:t>سال</w:t>
            </w:r>
            <w:r>
              <w:rPr>
                <w:rStyle w:val="IndexLink"/>
                <w:rtl w:val="true"/>
              </w:rPr>
              <w:tab/>
            </w:r>
            <w:r>
              <w:rPr>
                <w:rStyle w:val="IndexLink"/>
              </w:rPr>
              <w:t>139</w:t>
            </w:r>
          </w:hyperlink>
        </w:p>
        <w:p>
          <w:pPr>
            <w:pStyle w:val="Contents4"/>
            <w:tabs>
              <w:tab w:val="clear" w:pos="8176"/>
              <w:tab w:val="right" w:pos="9026" w:leader="dot"/>
            </w:tabs>
            <w:rPr/>
          </w:pPr>
          <w:hyperlink w:anchor="__RefHeading___Toc5532626_2870459653">
            <w:r>
              <w:rPr>
                <w:webHidden/>
                <w:rStyle w:val="IndexLink"/>
                <w:rtl w:val="true"/>
              </w:rPr>
              <w:t>تساوي حقوق مسلمان با غير مسلمان</w:t>
            </w:r>
            <w:r>
              <w:rPr>
                <w:rStyle w:val="IndexLink"/>
                <w:rtl w:val="true"/>
              </w:rPr>
              <w:tab/>
            </w:r>
            <w:r>
              <w:rPr>
                <w:rStyle w:val="IndexLink"/>
              </w:rPr>
              <w:t>140</w:t>
            </w:r>
          </w:hyperlink>
        </w:p>
        <w:p>
          <w:pPr>
            <w:pStyle w:val="Contents3"/>
            <w:tabs>
              <w:tab w:val="clear" w:pos="8459"/>
              <w:tab w:val="right" w:pos="9026" w:leader="dot"/>
            </w:tabs>
            <w:rPr/>
          </w:pPr>
          <w:hyperlink w:anchor="__RefHeading___Toc5532628_2870459653">
            <w:r>
              <w:rPr>
                <w:webHidden/>
                <w:rStyle w:val="IndexLink"/>
                <w:rtl w:val="true"/>
              </w:rPr>
              <w:t>حرمت کودک آزاري در فتاواي حضرت آيت اللّه العظمي صانعي</w:t>
            </w:r>
            <w:r>
              <w:rPr>
                <w:rStyle w:val="IndexLink"/>
                <w:rtl w:val="true"/>
              </w:rPr>
              <w:tab/>
            </w:r>
            <w:r>
              <w:rPr>
                <w:rStyle w:val="IndexLink"/>
              </w:rPr>
              <w:t>146</w:t>
            </w:r>
          </w:hyperlink>
        </w:p>
        <w:p>
          <w:pPr>
            <w:pStyle w:val="Contents4"/>
            <w:tabs>
              <w:tab w:val="clear" w:pos="8176"/>
              <w:tab w:val="right" w:pos="9026" w:leader="dot"/>
            </w:tabs>
            <w:rPr/>
          </w:pPr>
          <w:hyperlink w:anchor="__RefHeading___Toc5532630_2870459653">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5532632_2870459653">
            <w:r>
              <w:rPr>
                <w:webHidden/>
                <w:rStyle w:val="IndexLink"/>
                <w:rtl w:val="true"/>
              </w:rPr>
              <w:t>تشکيل نظام ويژه دادرسي براي کودکان و نوجوانان</w:t>
            </w:r>
            <w:r>
              <w:rPr>
                <w:rStyle w:val="IndexLink"/>
                <w:rtl w:val="true"/>
              </w:rPr>
              <w:tab/>
            </w:r>
            <w:r>
              <w:rPr>
                <w:rStyle w:val="IndexLink"/>
              </w:rPr>
              <w:t>151</w:t>
            </w:r>
          </w:hyperlink>
        </w:p>
        <w:p>
          <w:pPr>
            <w:pStyle w:val="Contents2"/>
            <w:tabs>
              <w:tab w:val="clear" w:pos="8743"/>
              <w:tab w:val="right" w:pos="9026" w:leader="dot"/>
            </w:tabs>
            <w:rPr/>
          </w:pPr>
          <w:hyperlink w:anchor="__RefHeading___Toc5532634_2870459653">
            <w:r>
              <w:rPr>
                <w:webHidden/>
                <w:rStyle w:val="IndexLink"/>
                <w:rtl w:val="true"/>
              </w:rPr>
              <w:t>کتابنامه</w:t>
            </w:r>
            <w:r>
              <w:rPr>
                <w:rStyle w:val="IndexLink"/>
                <w:rtl w:val="true"/>
              </w:rPr>
              <w:tab/>
            </w:r>
            <w:r>
              <w:rPr>
                <w:rStyle w:val="IndexLink"/>
              </w:rPr>
              <w:t>156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92_87971"/>
      <w:bookmarkStart w:id="1" w:name="pg9392_87971"/>
      <w:bookmarkEnd w:id="1"/>
    </w:p>
    <w:p>
      <w:pPr>
        <w:pStyle w:val="Heading2"/>
        <w:numPr>
          <w:ilvl w:val="1"/>
          <w:numId w:val="1"/>
        </w:numPr>
        <w:rPr/>
      </w:pPr>
      <w:bookmarkStart w:id="2" w:name="pg9392_87971"/>
      <w:bookmarkStart w:id="3" w:name="__RefHeading___Toc553252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صانعی ، یوسف ،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مصاحبه شونده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زنان و کودکان از منظر فقیه اهل بیت عصمت و طهارت علیهم السلام حضرت آیه الله العظمی صانعی 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موسسه فرهنگی فقه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الثقلین،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9786005280296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صانعی ، یوسف ، </w:t>
      </w:r>
      <w:r>
        <w:rPr>
          <w:rFonts w:eastAsia="IRNazanin" w:cs="IRNazanin"/>
          <w:color w:val="111111"/>
          <w:sz w:val="28"/>
          <w:szCs w:val="28"/>
          <w:lang w:bidi="fa-IR"/>
        </w:rPr>
        <w:t>1316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مصاحبه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فقه الثقلین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BP230/12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297/324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3274713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32530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موسسه فرهنگی فقه الثقلین </w:t>
      </w:r>
    </w:p>
    <w:p>
      <w:pPr>
        <w:pStyle w:val="BookText"/>
        <w:rPr/>
      </w:pPr>
      <w:r>
        <w:rPr>
          <w:rFonts w:ascii="IRNazanin" w:hAnsi="IRNazanin" w:eastAsia="IRNazanin"/>
          <w:color w:val="111111"/>
          <w:sz w:val="28"/>
          <w:sz w:val="28"/>
          <w:szCs w:val="28"/>
          <w:rtl w:val="true"/>
          <w:lang w:bidi="fa-IR"/>
        </w:rPr>
        <w:t>پاسخ به مسائل شرعی</w:t>
      </w:r>
    </w:p>
    <w:p>
      <w:pPr>
        <w:pStyle w:val="BookText"/>
        <w:rPr/>
      </w:pPr>
      <w:r>
        <w:rPr>
          <w:rFonts w:ascii="IRNazanin" w:hAnsi="IRNazanin" w:eastAsia="IRNazanin"/>
          <w:color w:val="111111"/>
          <w:sz w:val="28"/>
          <w:sz w:val="28"/>
          <w:szCs w:val="28"/>
          <w:rtl w:val="true"/>
          <w:lang w:bidi="fa-IR"/>
        </w:rPr>
        <w:t xml:space="preserve">دفتر حضرت آیت الله العظمی صانعی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37744767</w:t>
      </w:r>
      <w:r>
        <w:rPr>
          <w:rFonts w:eastAsia="IRNazanin" w:cs="IRNazanin"/>
          <w:color w:val="111111"/>
          <w:sz w:val="28"/>
          <w:szCs w:val="28"/>
          <w:rtl w:val="true"/>
          <w:lang w:bidi="fa-IR"/>
        </w:rPr>
        <w:t xml:space="preserve"> / </w:t>
      </w:r>
      <w:r>
        <w:rPr>
          <w:rFonts w:eastAsia="IRNazanin" w:cs="IRNazanin"/>
          <w:color w:val="111111"/>
          <w:sz w:val="28"/>
          <w:szCs w:val="28"/>
          <w:lang w:bidi="fa-IR"/>
        </w:rPr>
        <w:t>37744010</w:t>
      </w:r>
      <w:r>
        <w:rPr>
          <w:rFonts w:eastAsia="IRNazanin" w:cs="IRNazanin"/>
          <w:color w:val="111111"/>
          <w:sz w:val="28"/>
          <w:szCs w:val="28"/>
          <w:rtl w:val="true"/>
          <w:lang w:bidi="fa-IR"/>
        </w:rPr>
        <w:t xml:space="preserve"> / </w:t>
      </w:r>
      <w:r>
        <w:rPr>
          <w:rFonts w:eastAsia="IRNazanin" w:cs="IRNazanin"/>
          <w:color w:val="111111"/>
          <w:sz w:val="28"/>
          <w:szCs w:val="28"/>
          <w:lang w:bidi="fa-IR"/>
        </w:rPr>
        <w:t>37744009</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37831660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37831661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37831662</w:t>
      </w:r>
    </w:p>
    <w:p>
      <w:p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37735080</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نشانی قم بلوار شهید محمد ،منتظری کوچه هشتم ، پلاک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کارگر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66564001</w:t>
      </w:r>
    </w:p>
    <w:p>
      <w:pPr>
        <w:pStyle w:val="BookText"/>
        <w:rPr/>
      </w:pPr>
      <w:r>
        <w:rPr>
          <w:rFonts w:ascii="IRNazanin" w:hAnsi="IRNazanin" w:eastAsia="IRNazanin"/>
          <w:color w:val="111111"/>
          <w:sz w:val="28"/>
          <w:sz w:val="28"/>
          <w:szCs w:val="28"/>
          <w:rtl w:val="true"/>
          <w:lang w:bidi="fa-IR"/>
        </w:rPr>
        <w:t>دفاتر تهران</w:t>
      </w:r>
    </w:p>
    <w:p>
      <w:pPr>
        <w:pStyle w:val="BookText"/>
        <w:rPr/>
      </w:pPr>
      <w:r>
        <w:rPr>
          <w:rFonts w:ascii="IRNazanin" w:hAnsi="IRNazanin" w:eastAsia="IRNazanin"/>
          <w:color w:val="111111"/>
          <w:sz w:val="28"/>
          <w:sz w:val="28"/>
          <w:szCs w:val="28"/>
          <w:rtl w:val="true"/>
          <w:lang w:bidi="fa-IR"/>
        </w:rPr>
        <w:t>پاسداران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22885300</w:t>
      </w:r>
      <w:r>
        <w:rPr>
          <w:rFonts w:eastAsia="IRNazanin" w:cs="IRNazanin"/>
          <w:color w:val="111111"/>
          <w:sz w:val="28"/>
          <w:szCs w:val="28"/>
          <w:rtl w:val="true"/>
          <w:lang w:bidi="fa-IR"/>
        </w:rPr>
        <w:t xml:space="preserve"> / </w:t>
      </w:r>
      <w:r>
        <w:rPr>
          <w:rFonts w:eastAsia="IRNazanin" w:cs="IRNazanin"/>
          <w:color w:val="111111"/>
          <w:sz w:val="28"/>
          <w:szCs w:val="28"/>
          <w:lang w:bidi="fa-IR"/>
        </w:rPr>
        <w:t>22768181/22884600</w:t>
      </w:r>
    </w:p>
    <w:p>
      <w:p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66409278</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22847095</w:t>
      </w:r>
    </w:p>
    <w:p>
      <w:pPr>
        <w:pStyle w:val="BookText"/>
        <w:rPr/>
      </w:pPr>
      <w:r>
        <w:rPr>
          <w:rFonts w:ascii="IRNazanin" w:hAnsi="IRNazanin" w:eastAsia="IRNazanin"/>
          <w:color w:val="111111"/>
          <w:sz w:val="28"/>
          <w:sz w:val="28"/>
          <w:szCs w:val="28"/>
          <w:rtl w:val="true"/>
          <w:lang w:bidi="fa-IR"/>
        </w:rPr>
        <w:t>شهرک غرب 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88583415</w:t>
      </w:r>
      <w:r>
        <w:rPr>
          <w:rFonts w:eastAsia="IRNazanin" w:cs="IRNazanin"/>
          <w:color w:val="111111"/>
          <w:sz w:val="28"/>
          <w:szCs w:val="28"/>
          <w:rtl w:val="true"/>
          <w:lang w:bidi="fa-IR"/>
        </w:rPr>
        <w:t xml:space="preserve"> / </w:t>
      </w:r>
      <w:r>
        <w:rPr>
          <w:rFonts w:eastAsia="IRNazanin" w:cs="IRNazanin"/>
          <w:color w:val="111111"/>
          <w:sz w:val="28"/>
          <w:szCs w:val="28"/>
          <w:lang w:bidi="fa-IR"/>
        </w:rPr>
        <w:t>88583425</w:t>
      </w:r>
      <w:r>
        <w:rPr>
          <w:rFonts w:eastAsia="IRNazanin" w:cs="IRNazanin"/>
          <w:color w:val="111111"/>
          <w:sz w:val="28"/>
          <w:szCs w:val="28"/>
          <w:rtl w:val="true"/>
          <w:lang w:bidi="fa-IR"/>
        </w:rPr>
        <w:t xml:space="preserve"> / </w:t>
      </w:r>
      <w:r>
        <w:rPr>
          <w:rFonts w:eastAsia="IRNazanin" w:cs="IRNazanin"/>
          <w:color w:val="111111"/>
          <w:sz w:val="28"/>
          <w:szCs w:val="28"/>
          <w:lang w:bidi="fa-IR"/>
        </w:rPr>
        <w:t>88582697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88580821</w:t>
      </w:r>
    </w:p>
    <w:p>
      <w:pPr>
        <w:pStyle w:val="BookText"/>
        <w:rPr/>
      </w:pPr>
      <w:r>
        <w:rPr>
          <w:rFonts w:ascii="IRNazanin" w:hAnsi="IRNazanin" w:eastAsia="IRNazanin"/>
          <w:color w:val="111111"/>
          <w:sz w:val="28"/>
          <w:sz w:val="28"/>
          <w:szCs w:val="28"/>
          <w:rtl w:val="true"/>
          <w:lang w:bidi="fa-IR"/>
        </w:rPr>
        <w:t>مشهد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32251152</w:t>
      </w:r>
      <w:r>
        <w:rPr>
          <w:rFonts w:eastAsia="IRNazanin" w:cs="IRNazanin"/>
          <w:color w:val="111111"/>
          <w:sz w:val="28"/>
          <w:szCs w:val="28"/>
          <w:rtl w:val="true"/>
          <w:lang w:bidi="fa-IR"/>
        </w:rPr>
        <w:t xml:space="preserve"> / </w:t>
      </w:r>
      <w:r>
        <w:rPr>
          <w:rFonts w:eastAsia="IRNazanin" w:cs="IRNazanin"/>
          <w:color w:val="111111"/>
          <w:sz w:val="28"/>
          <w:szCs w:val="28"/>
          <w:lang w:bidi="fa-IR"/>
        </w:rPr>
        <w:t>32222277</w:t>
      </w:r>
      <w:r>
        <w:rPr>
          <w:rFonts w:eastAsia="IRNazanin" w:cs="IRNazanin"/>
          <w:color w:val="111111"/>
          <w:sz w:val="28"/>
          <w:szCs w:val="28"/>
          <w:rtl w:val="true"/>
          <w:lang w:bidi="fa-IR"/>
        </w:rPr>
        <w:t xml:space="preserve">/ </w:t>
      </w:r>
      <w:r>
        <w:rPr>
          <w:rFonts w:eastAsia="IRNazanin" w:cs="IRNazanin"/>
          <w:color w:val="111111"/>
          <w:sz w:val="28"/>
          <w:szCs w:val="28"/>
          <w:lang w:bidi="fa-IR"/>
        </w:rPr>
        <w:t>32243142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32230324</w:t>
      </w:r>
      <w:r>
        <w:rPr>
          <w:rFonts w:eastAsia="IRNazanin" w:cs="IRNazanin"/>
          <w:color w:val="111111"/>
          <w:sz w:val="28"/>
          <w:szCs w:val="28"/>
          <w:rtl w:val="true"/>
          <w:lang w:bidi="fa-IR"/>
        </w:rPr>
        <w:t xml:space="preserve"> (</w:t>
      </w:r>
      <w:r>
        <w:rPr>
          <w:rFonts w:eastAsia="IRNazanin" w:cs="IRNazanin"/>
          <w:color w:val="111111"/>
          <w:sz w:val="28"/>
          <w:szCs w:val="28"/>
          <w:lang w:bidi="fa-IR"/>
        </w:rPr>
        <w:t>051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34497660</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36271093</w:t>
      </w:r>
      <w:r>
        <w:rPr>
          <w:rFonts w:eastAsia="IRNazanin" w:cs="IRNazanin"/>
          <w:color w:val="111111"/>
          <w:sz w:val="28"/>
          <w:szCs w:val="28"/>
          <w:rtl w:val="true"/>
          <w:lang w:bidi="fa-IR"/>
        </w:rPr>
        <w:t xml:space="preserve"> / </w:t>
      </w:r>
      <w:r>
        <w:rPr>
          <w:rFonts w:eastAsia="IRNazanin" w:cs="IRNazanin"/>
          <w:color w:val="111111"/>
          <w:sz w:val="28"/>
          <w:szCs w:val="28"/>
          <w:lang w:bidi="fa-IR"/>
        </w:rPr>
        <w:t>36281917</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42616551/42621173</w:t>
      </w:r>
    </w:p>
    <w:p>
      <w:p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34493391</w:t>
      </w:r>
      <w:r>
        <w:rPr>
          <w:rFonts w:eastAsia="IRNazanin" w:cs="IRNazanin"/>
          <w:color w:val="111111"/>
          <w:sz w:val="28"/>
          <w:szCs w:val="28"/>
          <w:rtl w:val="true"/>
          <w:lang w:bidi="fa-IR"/>
        </w:rPr>
        <w:t xml:space="preserve"> (</w:t>
      </w:r>
      <w:r>
        <w:rPr>
          <w:rFonts w:eastAsia="IRNazanin" w:cs="IRNazanin"/>
          <w:color w:val="111111"/>
          <w:sz w:val="28"/>
          <w:szCs w:val="28"/>
          <w:lang w:bidi="fa-IR"/>
        </w:rPr>
        <w:t>031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402/32222294/3224349832230400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نمابر </w:t>
      </w:r>
      <w:r>
        <w:rPr>
          <w:rFonts w:eastAsia="IRNazanin" w:cs="IRNazanin"/>
          <w:color w:val="111111"/>
          <w:sz w:val="28"/>
          <w:szCs w:val="28"/>
          <w:rtl w:val="true"/>
          <w:lang w:bidi="fa-IR"/>
        </w:rPr>
        <w:t xml:space="preserve">: </w:t>
      </w:r>
      <w:r>
        <w:rPr>
          <w:rFonts w:eastAsia="IRNazanin" w:cs="IRNazanin"/>
          <w:color w:val="111111"/>
          <w:sz w:val="28"/>
          <w:szCs w:val="28"/>
          <w:lang w:bidi="fa-IR"/>
        </w:rPr>
        <w:t>32226700</w:t>
      </w:r>
      <w:r>
        <w:rPr>
          <w:rFonts w:eastAsia="IRNazanin" w:cs="IRNazanin"/>
          <w:color w:val="111111"/>
          <w:sz w:val="28"/>
          <w:szCs w:val="28"/>
          <w:rtl w:val="true"/>
          <w:lang w:bidi="fa-IR"/>
        </w:rPr>
        <w:t xml:space="preserve"> (</w:t>
      </w:r>
      <w:r>
        <w:rPr>
          <w:rFonts w:eastAsia="IRNazanin" w:cs="IRNazanin"/>
          <w:color w:val="111111"/>
          <w:sz w:val="28"/>
          <w:szCs w:val="28"/>
          <w:lang w:bidi="fa-IR"/>
        </w:rPr>
        <w:t>071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32272200/32272300</w:t>
      </w:r>
    </w:p>
    <w:p>
      <w:pPr>
        <w:pStyle w:val="BookText"/>
        <w:rPr/>
      </w:pPr>
      <w:r>
        <w:rPr>
          <w:rFonts w:ascii="IRNazanin" w:hAnsi="IRNazanin" w:eastAsia="IRNazanin"/>
          <w:color w:val="111111"/>
          <w:sz w:val="28"/>
          <w:sz w:val="28"/>
          <w:szCs w:val="28"/>
          <w:rtl w:val="true"/>
          <w:lang w:bidi="fa-IR"/>
        </w:rPr>
        <w:t>تبریز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35232023/35264626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w:t>
      </w:r>
    </w:p>
    <w:p>
      <w:p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32259777</w:t>
      </w:r>
      <w:r>
        <w:rPr>
          <w:rFonts w:eastAsia="IRNazanin" w:cs="IRNazanin"/>
          <w:color w:val="111111"/>
          <w:sz w:val="28"/>
          <w:szCs w:val="28"/>
          <w:rtl w:val="true"/>
          <w:lang w:bidi="fa-IR"/>
        </w:rPr>
        <w:t xml:space="preserve"> (</w:t>
      </w:r>
      <w:r>
        <w:rPr>
          <w:rFonts w:eastAsia="IRNazanin" w:cs="IRNazanin"/>
          <w:color w:val="111111"/>
          <w:sz w:val="28"/>
          <w:szCs w:val="28"/>
          <w:lang w:bidi="fa-IR"/>
        </w:rPr>
        <w:t>086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35252774</w:t>
      </w:r>
      <w:r>
        <w:rPr>
          <w:rFonts w:eastAsia="IRNazanin" w:cs="IRNazanin"/>
          <w:color w:val="111111"/>
          <w:sz w:val="28"/>
          <w:szCs w:val="28"/>
          <w:rtl w:val="true"/>
          <w:lang w:bidi="fa-IR"/>
        </w:rPr>
        <w:t xml:space="preserve"> (</w:t>
      </w:r>
      <w:r>
        <w:rPr>
          <w:rFonts w:eastAsia="IRNazanin" w:cs="IRNazanin"/>
          <w:color w:val="111111"/>
          <w:sz w:val="28"/>
          <w:szCs w:val="28"/>
          <w:lang w:bidi="fa-IR"/>
        </w:rPr>
        <w:t>041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32332270/32233270</w:t>
      </w:r>
      <w:r>
        <w:rPr>
          <w:rFonts w:eastAsia="IRNazanin" w:cs="IRNazanin"/>
          <w:color w:val="111111"/>
          <w:sz w:val="28"/>
          <w:szCs w:val="28"/>
          <w:rtl w:val="true"/>
          <w:lang w:bidi="fa-IR"/>
        </w:rPr>
        <w:t xml:space="preserve"> (</w:t>
      </w:r>
      <w:r>
        <w:rPr>
          <w:rFonts w:eastAsia="IRNazanin" w:cs="IRNazanin"/>
          <w:color w:val="111111"/>
          <w:sz w:val="28"/>
          <w:szCs w:val="28"/>
          <w:lang w:bidi="fa-IR"/>
        </w:rPr>
        <w:t>017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پاسخگویی به مسائل حج</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37831660</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09122510007</w:t>
      </w:r>
    </w:p>
    <w:p>
      <w:pPr>
        <w:pStyle w:val="BookText"/>
        <w:rPr/>
      </w:pPr>
      <w:r>
        <w:rPr>
          <w:rFonts w:ascii="IRNazanin" w:hAnsi="IRNazanin" w:eastAsia="IRNazanin"/>
          <w:color w:val="111111"/>
          <w:sz w:val="28"/>
          <w:sz w:val="28"/>
          <w:szCs w:val="28"/>
          <w:rtl w:val="true"/>
          <w:lang w:bidi="fa-IR"/>
        </w:rPr>
        <w:t>آدرس اینترنت</w:t>
      </w:r>
    </w:p>
    <w:p>
      <w:pPr>
        <w:pStyle w:val="BookText"/>
        <w:rPr/>
      </w:pPr>
      <w:r>
        <w:rPr>
          <w:rFonts w:ascii="IRNazanin" w:hAnsi="IRNazanin" w:eastAsia="IRNazanin"/>
          <w:color w:val="111111"/>
          <w:sz w:val="28"/>
          <w:sz w:val="28"/>
          <w:szCs w:val="28"/>
          <w:rtl w:val="true"/>
          <w:lang w:bidi="fa-IR"/>
        </w:rPr>
        <w:t>پاسخ به استفتائات</w:t>
      </w:r>
    </w:p>
    <w:p>
      <w:pPr>
        <w:pStyle w:val="BookText"/>
        <w:rPr/>
      </w:pPr>
      <w:r>
        <w:rPr>
          <w:rFonts w:eastAsia="Times New Roman" w:cs="Times New Roman" w:ascii="Times New Roman" w:hAnsi="Times New Roman"/>
          <w:color w:val="111111"/>
          <w:sz w:val="28"/>
          <w:szCs w:val="28"/>
          <w:lang w:val="en-US" w:bidi="en-US"/>
        </w:rPr>
        <w:t>www.saanei.org</w:t>
      </w:r>
    </w:p>
    <w:p>
      <w:pPr>
        <w:pStyle w:val="BookText"/>
        <w:rPr/>
      </w:pPr>
      <w:r>
        <w:rPr>
          <w:rFonts w:ascii="IRNazanin" w:hAnsi="IRNazanin" w:eastAsia="IRNazanin"/>
          <w:color w:val="111111"/>
          <w:sz w:val="28"/>
          <w:sz w:val="28"/>
          <w:szCs w:val="28"/>
          <w:rtl w:val="true"/>
          <w:lang w:bidi="fa-IR"/>
        </w:rPr>
        <w:t>تماس با دفتر معظم له</w:t>
      </w:r>
    </w:p>
    <w:p>
      <w:pPr>
        <w:pStyle w:val="BookText"/>
        <w:rPr/>
      </w:pPr>
      <w:r>
        <w:rPr>
          <w:rFonts w:ascii="IRNazanin" w:hAnsi="IRNazanin" w:eastAsia="IRNazanin"/>
          <w:color w:val="111111"/>
          <w:sz w:val="28"/>
          <w:sz w:val="28"/>
          <w:szCs w:val="28"/>
          <w:rtl w:val="true"/>
          <w:lang w:bidi="fa-IR"/>
        </w:rPr>
        <w:t>تهیه کتاب</w:t>
      </w:r>
    </w:p>
    <w:p>
      <w:pPr>
        <w:pStyle w:val="BookText"/>
        <w:rPr/>
      </w:pPr>
      <w:r>
        <w:rPr>
          <w:rFonts w:ascii="IRNazanin" w:hAnsi="IRNazanin" w:eastAsia="IRNazanin"/>
          <w:color w:val="111111"/>
          <w:sz w:val="28"/>
          <w:sz w:val="28"/>
          <w:szCs w:val="28"/>
          <w:rtl w:val="true"/>
          <w:lang w:bidi="fa-IR"/>
        </w:rPr>
        <w:t>سرویس پیام کوتاه</w:t>
      </w:r>
    </w:p>
    <w:p>
      <w:pPr>
        <w:pStyle w:val="BookText"/>
        <w:rPr/>
      </w:pPr>
      <w:r>
        <w:rPr>
          <w:rFonts w:eastAsia="Times New Roman" w:cs="Times New Roman" w:ascii="Times New Roman" w:hAnsi="Times New Roman"/>
          <w:color w:val="111111"/>
          <w:sz w:val="28"/>
          <w:szCs w:val="28"/>
          <w:lang w:val="en-US" w:bidi="en-US"/>
        </w:rPr>
        <w:t>Istifta @saanei.org</w:t>
      </w:r>
    </w:p>
    <w:p>
      <w:pPr>
        <w:pStyle w:val="BookText"/>
        <w:rPr/>
      </w:pPr>
      <w:r>
        <w:rPr>
          <w:rFonts w:eastAsia="Times New Roman" w:cs="Times New Roman" w:ascii="Times New Roman" w:hAnsi="Times New Roman"/>
          <w:color w:val="111111"/>
          <w:sz w:val="28"/>
          <w:szCs w:val="28"/>
          <w:lang w:val="en-US" w:bidi="en-US"/>
        </w:rPr>
        <w:t>Saanei@saanei.org</w:t>
      </w:r>
    </w:p>
    <w:p>
      <w:pPr>
        <w:pStyle w:val="BookText"/>
        <w:rPr/>
      </w:pPr>
      <w:r>
        <w:rPr>
          <w:rFonts w:eastAsia="Times New Roman" w:cs="Times New Roman" w:ascii="Times New Roman" w:hAnsi="Times New Roman"/>
          <w:color w:val="111111"/>
          <w:sz w:val="28"/>
          <w:szCs w:val="28"/>
          <w:lang w:val="en-US" w:bidi="en-US"/>
        </w:rPr>
        <w:t>Info@saanei.org</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30007960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اندیشه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حقوق زنان و کودکان</w:t>
      </w:r>
    </w:p>
    <w:p>
      <w:pPr>
        <w:pStyle w:val="BookText"/>
        <w:rPr/>
      </w:pPr>
      <w:r>
        <w:rPr>
          <w:rFonts w:ascii="IRNazanin" w:hAnsi="IRNazanin" w:eastAsia="IRNazanin"/>
          <w:color w:val="111111"/>
          <w:sz w:val="28"/>
          <w:sz w:val="28"/>
          <w:szCs w:val="28"/>
          <w:rtl w:val="true"/>
          <w:lang w:bidi="fa-IR"/>
        </w:rPr>
        <w:t>از منظر فقیه اهل بیت عصمت و طهارت علیهم‌السلام حضرت آیه‌الله‌العظمی صانعی مدظله</w:t>
      </w:r>
    </w:p>
    <w:p>
      <w:pPr>
        <w:pStyle w:val="BookText"/>
        <w:rPr/>
      </w:pPr>
      <w:r>
        <w:rPr>
          <w:rFonts w:ascii="IRNazanin" w:hAnsi="IRNazanin" w:eastAsia="IRNazanin"/>
          <w:color w:val="111111"/>
          <w:sz w:val="28"/>
          <w:sz w:val="28"/>
          <w:szCs w:val="28"/>
          <w:rtl w:val="true"/>
          <w:lang w:bidi="fa-IR"/>
        </w:rPr>
        <w:t>با تجدید نظر و اصلاحات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1398</w:t>
      </w:r>
      <w:r>
        <w:rPr>
          <w:rFonts w:eastAsia="Times New Roman" w:cs="Times New Roman" w:ascii="Times New Roman" w:hAnsi="Times New Roman"/>
          <w:color w:val="111111"/>
          <w:sz w:val="28"/>
          <w:szCs w:val="28"/>
          <w:rtl w:val="true"/>
          <w:lang w:val="en-US" w:bidi="en-US"/>
        </w:rPr>
        <w:t xml:space="preserve"> </w:t>
      </w:r>
      <w:bookmarkStart w:id="7" w:name="pg9392_87975"/>
    </w:p>
    <w:p>
      <w:pPr>
        <w:pStyle w:val="Heading2"/>
        <w:numPr>
          <w:ilvl w:val="1"/>
          <w:numId w:val="1"/>
        </w:numPr>
        <w:rPr/>
      </w:pPr>
      <w:bookmarkStart w:id="8" w:name="__RefHeading___Toc5532532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سخن نخست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دفتر اول حقوق زنان و احکام مجازات در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سنّ و مسئولیّت کیفری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جنسیت در شهادت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دیه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قصاص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تعیین سنّ مسئولیّت كیفری در اجرای قوانین مجازات اسلامی برای كودكان و نوجوانان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 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تعزيرات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دفتر دوم حق حضانت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گفت و گو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تفاوت ميان ولايت و حضانت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تقدم حق الولايه مادر بر جدّ پدري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برخي از شروط حضانت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امين و متعهد بودن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نداشتن مرض مُسري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حق حضانت کودکان در فتاواي حضرت آيت اللّه العظمي صانعي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دفتر سوم حقوق کودکان و نوجوانان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بيانيه حضرت آيت اللّه العظمي صانعي به مناسبت روز جهاني كودك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گفت و گو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عوامل رعایت حقوق کودک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ریشه کن کردن فقر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زمینه تحصیل و فراگیری دانش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تنظیم خانواده و فرزند کمتر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احترام به کودکان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تشکیل دادگاه ویژه کودک آزاری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تفاوت مجازات بزرگسالان با کودکان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حرمت کودک آزاری در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بهره‌گيري از اندیشمندان حوزه و دانشگاه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آموزش لازم براي جلوگيري از ايدز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مجازات اعدام براي نوجوانان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فقها پيرامون جاري نبودن حدود در زمان غيبت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اثبات برخی حدود بر اساس آئین دادرسی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تلاش حضرت علی علیه السلام برای جاري نکردن حکم سنگسار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مجرم کمتر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تساوي حقوق مسلمان با غير مسلمان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حرمت کودک آزاري در فتاواي حضرت آيت اللّه العظمي صانعي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تشکيل نظام ويژه دادرسي براي کودکان و نوجوانان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bookmarkStart w:id="10" w:name="pg9392_87978"/>
    </w:p>
    <w:p>
      <w:pPr>
        <w:pStyle w:val="Heading2"/>
        <w:numPr>
          <w:ilvl w:val="1"/>
          <w:numId w:val="1"/>
        </w:numPr>
        <w:rPr/>
      </w:pPr>
      <w:bookmarkStart w:id="11" w:name="__RefHeading___Toc5532534_2870459653"/>
      <w:bookmarkStart w:id="12" w:name="_Toc4"/>
      <w:bookmarkEnd w:id="10"/>
      <w:bookmarkEnd w:id="11"/>
      <w:r>
        <w:rPr>
          <w:rtl w:val="true"/>
        </w:rPr>
        <w:t>سخن نخست</w:t>
      </w:r>
      <w:bookmarkEnd w:id="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اساس حرکت بشر بر پایة عقل است و هر کسی که از عدالت و آزادی و خرد ورزی سخن می‌گوید، محبوب بشر است و هر کس از جنگ و آدم‌کشی حرف می‌زند، منفور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امروز، دنیای علم و صلح طلبی و حقوق بشر است و در این دنیا با این وصف سلاح اتم و غیر اتم دیگر کاربرد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روشنفکران و اسلام شناسانی که هم جوامع بشری را می‌شناسند و هم اسلام را، باید بنشینند و با اندیشمندان سایر مذاهب برای نیل به مشترکات انسانیّت با یکدیگر گفتگو کنند و من امیدوارم در گفتگوی تمدن‌ها به جایی برسیم که دیگر در دنیا سخنی از جنگ و ترور در میان نباشد و همه مسائل با گفتگو و مذاکره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بيانات حضرت آيت الله العظمی صانعی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ديرباز درجوامع سنتي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شرقي يا غربي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زنان وکودکان و حقوق آنان معرکة آرا بوده و </w:t>
      </w:r>
    </w:p>
    <w:p>
      <w:pPr>
        <w:pStyle w:val="BookText"/>
        <w:rPr/>
      </w:pP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زنان در عرصه‌اي از تاريخ به اين نکته بر مي‌خوريم که به آنان به عنوان جنس دوم نگريسته مي‌شده و با اين قشر بزرگ بشري که نيمي از جمعيترا تشکيل مي‌دهند، بسان کالا برخورد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آينده سازان هر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 بي‌گاه از حقوق متعلّق به يک انسان بما هو انسان، محروم بوده‌اند و ديدگاه بزرگسالان نسبت به حقوق انساني آنان دچار ضعف و کاستي‌هايي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اين‌که در نگاه جامعه شناختي نمي‌توان از اهميت شگرف اين دو قشر در شکل‌گيري و ساختارسازي جوامع غافل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اديان الهي به طور عام، و دين و شريعت خاتم به‌گونه خاصي، از بدو تولد در شبه جزيره عربستان، هماره با اين سؤال و مانع از سوي مُلحدان مواجه بودند که چرا حقوق جنس مؤنث و کودکان درپاره‌اي از موارد با جنس مذکر همسان است؟ در عربستان آن روز، هنگام ظهور نبي خاتم صلی الله علیه و آله ، اعطاي حقوق مشابه به آنان جزو خطوط قرمزي محسوب مي‌شد که عبور از آن، مشکلات عديده‌اي در وظيفه رسالت پيامبر صلی الله علیه و آله ايجاد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پيامبر اسلام و پس از ايشان،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مقاطع مختلف تاريخ اسلام چه در گفتار و چه در کردار با ظرافت خاصّي حقوق حتمي اين دو قشر را مورد تأکيد قرار داده‌اند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گذر از سنت به تجدّد، انسان به دنبال ايفاي نقش گسترده در جهت احقاق حقوق زنان و کودکان </w:t>
      </w:r>
    </w:p>
    <w:p>
      <w:pPr>
        <w:pStyle w:val="BookText"/>
        <w:rPr/>
      </w:pPr>
      <w:r>
        <w:rPr>
          <w:rFonts w:ascii="IRNazanin" w:hAnsi="IRNazanin" w:eastAsia="IRNazanin"/>
          <w:color w:val="111111"/>
          <w:sz w:val="28"/>
          <w:sz w:val="28"/>
          <w:szCs w:val="28"/>
          <w:rtl w:val="true"/>
          <w:lang w:bidi="fa-IR"/>
        </w:rPr>
        <w:t>بود؛ اما پس از کنکاش در موادي که به‌عنوان حقوق زنان و کودکان مطرح شده و مي‌شود مي‌توان به جدّ ادعا کرد که ريشة اين مصوّبات و ميثاق‌ها قبل از هرچيز در اديان الهي و به‌ويژه دين حنيف اسلام ريخته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ادعاي بشر قرن بيستم اين باشد که خود و به تنهايي و فارق از آموزه‌هاي دين طلايه‌دار تصويب قوانيني در فرآيند احقاق حقوق آنان بوده‌اند، ادعايي به گزاف است؛ چرا که در هزاره و سده‌هاي گذشته، بشري که فطرت و عقلش دچار گرد و غبار تعصّب، جهالت و تحجّر شده بود، نتوانست آنها را به‌خوبي درک و هضم نمايد تا اين که پس از سال‌ها کشمکش، عقلاي بشر در پرتو همان تعاليم وحياني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به‌ويژه اسلام محمدي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از بي‌راه به راه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حقوق زنان و کودکان فرآيندي گسترده دارد و در ميان اين مباحث، احکام مجازات، رابطه سن، جنسيّت و مسئوليّت کيفري، شهادت زنان و همساني آن با مردان، قصاص، حضانت و ديگر نمونه‌ها هميشه مورد بحث و جدل ميان فعالان ديني و غير ديني بوده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ادعاي اين که اسلام دين کامل و شامل است، هماره اين پرسش مطرح شده که اين دين چه نگرشي نسبت به حقوق بشر و به ويژه زنان و کودکان دارد؟ برخي به دليل نداشتن آگاهي کامل از انگيزش‌هاي ديني در اين فرآيند، دين را به تضييع حقوق آنان متهم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پيداست برداشت‌هاي متحجرانه از متون و قرائت‌هاي ناسازگار با </w:t>
      </w:r>
    </w:p>
    <w:p>
      <w:pPr>
        <w:pStyle w:val="BookText"/>
        <w:rPr/>
      </w:pPr>
      <w:r>
        <w:rPr>
          <w:rFonts w:ascii="Amiri" w:hAnsi="Amiri" w:eastAsia="Amiri" w:cs="Amiri"/>
          <w:color w:val="111111"/>
          <w:sz w:val="28"/>
          <w:sz w:val="28"/>
          <w:szCs w:val="28"/>
          <w:rtl w:val="true"/>
          <w:lang w:bidi="ar-SA"/>
        </w:rPr>
        <w:t xml:space="preserve">عمق شريعت رحماني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عقلاني اسلام؛ در اين قضاوت ناعادلانه مؤثر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واقعيّت امر اين است که نگاه ظاهري و سطحي به دينو عدم اتکا به فقه نوانديشانه، بالنده و پويا، که زمان و مکان را عناصري مهم در فهم دين مي‌داند، نمي‌تواند به جدال شبهه‌انگيزان رفته و به برخي شبهات و پرسش‌ها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عناصري که نام برده شده به‌عنوان چراغ راه در فهم آيات، روايات و ديگر متون ديني مورد امعان نظر قرار گيرد، بي‌شک مي‌توان از يک نگاه برون ديني به نگاه درون ديني نسبت به حقوق بشر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اين مهم آن است که انديشمندان همواره راه گفتگو و هم‌انديشي را دچار انسداد و ايستايي نکنند و در وهله اول ضمن احترام متقابل به طرف گفتگو، با دليل و برهان متناسب با فطرت و عقل، به نقد و بررسي حقوقي انديشه‌هاي جديد که زاييده فکر بشر است پرداخته و پس از آن، به تطبيق آن با آموزه‌هاي ديني بپردازند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اين مجموعه؛</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برهه‌اي از زمان، این زمینه آماده شد که گذشته از اندیشمندان وطنی، دیگر اندیشمندان و فعالان حقوق بشری از اقصی نقاط جهان، به ایران سرازیر شوند تا در فرآیند گفتگو و تعاطی اندیشه، به محضر بزرگان دینی آمده و درباره نگاه و برداشت دینی آنان از مفاهیم حقوق بشری به بحث و مباحثه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مجموعه به همّت علاقه‌مندان و شاگردان حضرت </w:t>
      </w:r>
    </w:p>
    <w:p>
      <w:pPr>
        <w:pStyle w:val="BookText"/>
        <w:rPr/>
      </w:pPr>
      <w:r>
        <w:rPr>
          <w:rFonts w:ascii="IRNazanin" w:hAnsi="IRNazanin" w:eastAsia="IRNazanin"/>
          <w:color w:val="111111"/>
          <w:sz w:val="28"/>
          <w:sz w:val="28"/>
          <w:szCs w:val="28"/>
          <w:rtl w:val="true"/>
          <w:lang w:bidi="fa-IR"/>
        </w:rPr>
        <w:t xml:space="preserve">آيت‌الله العظمي صانعي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مستند سازی و مورد ویرایش قرار گرفته است، حاصل گفتگو و مباحثه دو محقق و پژوهش‌گر دانشگاهی با حضرت آیت اللهالعظمی صانعی است که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دکتر مهرپور، و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کریستین سالازار مسیحی مذهب است، و طبیعی می‌نماید که هر یک از منظری خاص به پرسمان بپردازند؛ و 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خبرنگاری از روزنامه ایران است که در حوزة زنان و حقوق آنان فعّال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دفتراول اين مجموعه؛که حاصل گفتگوی آقای دکتر مهرپور با معظم‌له می‌باشد به مباحثی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 ومسؤلیّت کیفری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جنسیّت درشهادت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اين دفتر هم به فتواي تفصيلي حضرت آيت الله العظمي صانعي پيرامون قوانين مجازات اسلامي با عناوين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تعزيرات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تعيين سنّ مسئوليّت کيفري پرداخته شده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دفتر توجه به این نکته ضروری به نظر می‌رسد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حضرت آیت الله صانعی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رأی و نظریه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معظم‌له در آن زمان بیان شده است، ولی به مرور زمان آن آرا سیر تکاملی یافته و باعث پديد آمدن نظریه جدیدی در مسایل حقوق زنان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جهت اطلاع خوانندگان محترم، تمامی آرای فعلی معظم‌له در پاورقی کتاب، در ذیل مطالب </w:t>
      </w:r>
    </w:p>
    <w:p>
      <w:pPr>
        <w:pStyle w:val="BookText"/>
        <w:rPr/>
      </w:pPr>
      <w:r>
        <w:rPr>
          <w:rFonts w:ascii="IRNazanin" w:hAnsi="IRNazanin" w:eastAsia="IRNazanin"/>
          <w:color w:val="111111"/>
          <w:sz w:val="28"/>
          <w:sz w:val="28"/>
          <w:szCs w:val="28"/>
          <w:rtl w:val="true"/>
          <w:lang w:bidi="fa-IR"/>
        </w:rPr>
        <w:t>مورد نظر بدان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دفتر دوم؛ خبرنگار روزنامه ایران پرسش‌هایی را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حضانت کودک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می‌کندکه با پاسخ‌های متقن حضرت آيت الله، به مطالب سودمندی در این باره اشاره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دفتر، جهت اطلاع بيشتر خوانندگان محترم، فتاوا و نظرات کاربردی معظم‌له در حوزة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حضانت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مجموعه اضافه گردیده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دفتر سوم؛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کریستین سالازار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نمایندة وقتِ یونیسف در ايران، در محضر معظم‌له در گفتگویی نسبتاً مفصّل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کودک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آزاری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کودکِ خطاکار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سؤالاتي را مطرح مي‌کند و به دنبال دریافت دیدگاه‌هاي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با تحليل و اجتهاد آیت‌الله العظمی صانعی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خود در کشورهای گوناگون با اندیشمندان مختلف به بحث و گفتگو نشسته و تمايل زيادي به شنيدن آرا و انديشه‌هاي اسلامي از ديدگاه فقيه نوانديش دارد به مناسبت، اشتياق خود را نسبت به طرح برخي مباحث اسلامي پيرامون آيين دادرسي نوجوانان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اعدام کودکان زير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سال مطرح مي‌کند و حضرت آيت الله العظمي صانعي نيز مباحث فقهيِ اجراي حدود اسلامي را در زمان غيبت کبري و سخت‌گيري‌هاي اثبات برخي حدود اسلامي را براساس آيين دادرسي اسلام بيان فرموده و در ادامه به مبحث رأفت، رحمت و عاطفة اسلامي در مسأله جرم‌شناسي و مجرم به مثلث دولت، </w:t>
      </w:r>
    </w:p>
    <w:p>
      <w:pPr>
        <w:pStyle w:val="BookText"/>
        <w:rPr/>
      </w:pPr>
      <w:r>
        <w:rPr>
          <w:rFonts w:ascii="IRNazanin" w:hAnsi="IRNazanin" w:eastAsia="IRNazanin"/>
          <w:color w:val="111111"/>
          <w:sz w:val="28"/>
          <w:sz w:val="28"/>
          <w:szCs w:val="28"/>
          <w:rtl w:val="true"/>
          <w:lang w:bidi="fa-IR"/>
        </w:rPr>
        <w:t>ملّت و اولياء دم مشترکاً اشاره مي‌نمايند و در تبيين ديدگاه اسلام و فقه اماميه در تساوي حقوق مسلمان با غير مسلمان مطالب مفيدي را ارايه مي‌فرمايند که جنابکريستين سالازار پس از دریافت پاسخِ پرسش‌های خود از زبان معظم‌له، در اثناي اين بيانات تحت تأثیر انديشه‌هاي ايشان قرار گرفته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همین مطالب مختصری که از اسلام مطرح کردید، مرا بیشتر تشویق کردید که مسلمان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درپايان اين دفتر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دو دفتر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اطلاع و سهولتِ دريافت خوانندگان محترم از فتاواي کاربردي معظم‌له در حوزة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آزاري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برخي از پرسش و پاسخ‌هاي مربوطه تقديم علاقه‌مندان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سلسله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ديدگاه‌هاي اصيل و بنيادي،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شماره اوّل اين سلسله بدان اشاره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طرح و حل برخي چالش‌هاي ديني و انديشه‌ايِ موجود در فضاي جامعه، پا به حوزة گفتمان اسلامي با الهام از منابع دين و شريعت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آنکه در ايجاد بستر مناسب در تحقيق ميداني موضوعات مورد ابتلاي جامعه اسلامي و انساني به هدف و مطلوب والاي پروردگار متعال و انبيا و اولياي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يافته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p>
    <w:p>
      <w:pPr>
        <w:pStyle w:val="BookText"/>
        <w:rPr/>
      </w:pPr>
      <w:r>
        <w:rPr>
          <w:rFonts w:ascii="IRNazanin" w:hAnsi="IRNazanin" w:eastAsia="IRNazanin"/>
          <w:color w:val="111111"/>
          <w:sz w:val="28"/>
          <w:sz w:val="28"/>
          <w:szCs w:val="28"/>
          <w:rtl w:val="true"/>
          <w:lang w:bidi="fa-IR"/>
        </w:rPr>
        <w:t xml:space="preserve">اينک جلد دوم اين مجموعه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زنان و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صاحب‌نظران و علاقه‌مندان آن مي‌گردد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والحمدلله ربّ العالمين </w:t>
      </w:r>
      <w:bookmarkStart w:id="13" w:name="pg9392_87985"/>
    </w:p>
    <w:p>
      <w:pPr>
        <w:pStyle w:val="Heading2"/>
        <w:numPr>
          <w:ilvl w:val="1"/>
          <w:numId w:val="1"/>
        </w:numPr>
        <w:rPr/>
      </w:pPr>
      <w:bookmarkStart w:id="14" w:name="__RefHeading___Toc5532536_2870459653"/>
      <w:bookmarkStart w:id="15" w:name="_Toc5"/>
      <w:bookmarkEnd w:id="13"/>
      <w:bookmarkEnd w:id="14"/>
      <w:r>
        <w:rPr>
          <w:rtl w:val="true"/>
        </w:rPr>
        <w:t>دفتر اول</w:t>
      </w:r>
      <w:bookmarkEnd w:id="15"/>
    </w:p>
    <w:p>
      <w:pPr>
        <w:pStyle w:val="Heading3"/>
        <w:numPr>
          <w:ilvl w:val="2"/>
          <w:numId w:val="1"/>
        </w:numPr>
        <w:rPr/>
      </w:pPr>
      <w:bookmarkStart w:id="16" w:name="__RefHeading___Toc5532538_287045965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حقوق زنان و احکام مجازات در اسلام</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 و مسئوليت کيفري جنسيّت در شهادت ديه قصاص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9392_87987"/>
      <w:bookmarkStart w:id="19" w:name="pg9392_87987"/>
      <w:bookmarkEnd w:id="19"/>
    </w:p>
    <w:p>
      <w:pPr>
        <w:pStyle w:val="Heading3"/>
        <w:numPr>
          <w:ilvl w:val="2"/>
          <w:numId w:val="1"/>
        </w:numPr>
        <w:rPr/>
      </w:pPr>
      <w:bookmarkStart w:id="20" w:name="pg9392_87987"/>
      <w:bookmarkStart w:id="21" w:name="__RefHeading___Toc5532540_2870459653"/>
      <w:bookmarkStart w:id="22" w:name="_Toc7"/>
      <w:bookmarkEnd w:id="20"/>
      <w:bookmarkEnd w:id="21"/>
      <w:r>
        <w:rPr>
          <w:rtl w:val="true"/>
        </w:rPr>
        <w:t>اشاره</w:t>
      </w:r>
      <w:bookmarkEnd w:id="22"/>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هم‌خوان نبودن حقوق زن و مرد در قوانین بین‌المللی و اعلامیه جهانی حقوق بشر، با برداشت سنتی از برخي احکام اسلامی در اين باره، باعث ایجاد شبهات بسیاری در میان فعالان حقوق بشر، حقوقدانان، نهادهای مدنی و سیاسی، فعالان اجتماعی و تساوی طلبان در سطح مجامع علمی و جوامع انساني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پیش رو، مصاحبه و در واقع مباحثه علمی میان دو فرهیخته برخاسته از حوزه و دانشگاه است که از دو دیدگاه، مباحث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چهار بخش مورد بحث و بررسي قرار داده‌اند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و مسئولیت کیفری؛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جنسیت در شهادت؛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العظمی صانعی در این گفتگو با استناد به دلایل عقلی و نقلی و برداشت نواندیشانه از متون مورد استناد، نظرات و دیدگاه‌هایی را مطرح کرده‌اند که می‌تواند به شبهات مطرح شده دربارة تعارض و ناسازگاری احکام اسلامی و فقهی با قوانین بین‌المللی پاسخ مناسب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گفتگو که توسط آقای دکتر حسين مهرپور انجام شده در روزنامه اطلاعات طی سه شماره در تاریخ‌هاي</w:t>
      </w:r>
      <w:r>
        <w:rPr>
          <w:rFonts w:eastAsia="IRNazanin" w:cs="IRNazanin"/>
          <w:color w:val="111111"/>
          <w:sz w:val="28"/>
          <w:szCs w:val="28"/>
          <w:rtl w:val="true"/>
          <w:lang w:bidi="fa-IR"/>
        </w:rPr>
        <w:t xml:space="preserve">: </w:t>
      </w:r>
      <w:r>
        <w:rPr>
          <w:rFonts w:eastAsia="IRNazanin" w:cs="IRNazanin"/>
          <w:color w:val="111111"/>
          <w:sz w:val="28"/>
          <w:szCs w:val="28"/>
          <w:lang w:bidi="fa-IR"/>
        </w:rPr>
        <w:t>10/6/1378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منتشر شده است و هم‌اينک نيز پس از ويرايش جديد، به همراه مستندسازي و برخي اضافات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استفتاءِ مهم از محضر معظم‌له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سنّ و مسئوليّت کيفري در اجراي قوانين مجازات اسلامي براي کودکان و نوجوانان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به دليل اهميت موضوع از سويي، و فضل و کمال علمي مطالب و مباحث مطروحه در اين گفتگو در جلد دوم سلسله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مي‌گردد</w:t>
      </w:r>
      <w:r>
        <w:rPr>
          <w:rFonts w:eastAsia="IRNazanin" w:cs="IRNazanin"/>
          <w:color w:val="111111"/>
          <w:sz w:val="28"/>
          <w:szCs w:val="28"/>
          <w:rtl w:val="true"/>
          <w:lang w:bidi="fa-IR"/>
        </w:rPr>
        <w:t xml:space="preserve">. </w:t>
      </w:r>
      <w:bookmarkStart w:id="23" w:name="pg9392_87989"/>
    </w:p>
    <w:p>
      <w:pPr>
        <w:pStyle w:val="Heading3"/>
        <w:numPr>
          <w:ilvl w:val="2"/>
          <w:numId w:val="1"/>
        </w:numPr>
        <w:rPr/>
      </w:pPr>
      <w:bookmarkStart w:id="24" w:name="__RefHeading___Toc5532542_2870459653"/>
      <w:bookmarkStart w:id="25" w:name="_Toc8"/>
      <w:bookmarkEnd w:id="23"/>
      <w:bookmarkEnd w:id="24"/>
      <w:r>
        <w:rPr>
          <w:rtl w:val="true"/>
        </w:rPr>
        <w:t>سنّ و مسئولیّت کیفری</w:t>
      </w:r>
      <w:bookmarkEnd w:id="25"/>
    </w:p>
    <w:p>
      <w:pPr>
        <w:pStyle w:val="BookText"/>
        <w:rPr/>
      </w:pP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مهرپور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مهمی که امروزه در دنیا مطرح است، مسئله تساوی زن و مرد در حقوق و احکام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بین‌المللی و اعلامیه جهانی حقوق بشر و دیگر مقررات بین المللی بر تساوی حقوق زن و مرد و عدم تبعیض بین آنها تأکید شده است؛ اما همان‌طور که می‌دانید در احکام اسلامی، زن و مرد از نظر حقوقی تفاوت‌هایی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تفاوت‌های طبیعی میان زن و مرد مسلّم است؛ اما سؤال این است که آیا این تفاوتها به تفاوت در احکام و قوانین منجر می‌شود یا نه؟ با توجه به قوانینی که در بسیاری از کشورهای اسلامی در مورد زنان وضع شده است نوعی فرو نگری و</w:t>
      </w:r>
    </w:p>
    <w:p>
      <w:pPr>
        <w:pStyle w:val="BookText"/>
        <w:rPr/>
      </w:pPr>
      <w:r>
        <w:rPr>
          <w:rFonts w:ascii="IRNazanin" w:hAnsi="IRNazanin" w:eastAsia="IRNazanin"/>
          <w:color w:val="111111"/>
          <w:sz w:val="28"/>
          <w:sz w:val="28"/>
          <w:szCs w:val="28"/>
          <w:rtl w:val="true"/>
          <w:lang w:bidi="fa-IR"/>
        </w:rPr>
        <w:t>تبعیض نسبت به آنان دیده می‌شود که از جنبۀ بین‌المللی سؤال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مهم‌ترین تفاوت‌هایی که میان زن و مرد وجود دارد به چهار دسته تقسیم می‌شود که آنها را به طور مستقل مطرح می‌کنم و تقاضا دارم نظرتان را در مورد آنها ارائه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مسأله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و مسئولیت کیفری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مسائلی که در مسئولیت کیفری افراد نقش دارد سن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 کسی که خلافی انجام داده به حد بلوغ شرعی نرسیده باشد، طفل محسوب می‌گردد و مسئولیت کیفری متوجه او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کیفری متوجه افرادی می‌شود که به حد بلوغ شرعی 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بلوغ شرعی برای دختران نُه سال تمام قمری و برای پسران پانزده سال تمام قمری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دخترها شش سال قبل از پسرها به بلوغ شرعی می‌رسند و طبعاً اگر خطایی انجام دهند، در سنی کمتر از پسرها مجازات می‌شوند؛ یعنی اگر دختر ده ساله‌ای خلافی مرتکب شود خودش مجازات می‌شود ولی اگر پسر دوازده ساله‌ای جرمی انجام دهد، مسئولیت کیفری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العظمی صانعی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مسائلی که در جهان و اسلام حل شده، این است که طفل مسئولیت ندارد و وقتی به سن بلوغ رسید، مسئول می‌شود؛ امّا شبهه شما در این مورد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اسلام سن تکلیف و مسئولیت‌پذیری دختر و پسر تفاوتش زیاد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از نُه سالگی مکلّف می‌شود و پسر از پانزده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تفاوت سن تکلیف، هم در اعمال عبادی مؤثّر است و هم در انواع مجازات‌های قانونی؛ اگر دختری هشت ساله دزدی کند کمی از ناخنش را خراش </w:t>
      </w:r>
    </w:p>
    <w:p>
      <w:pPr>
        <w:pStyle w:val="BookText"/>
        <w:rPr/>
      </w:pPr>
      <w:r>
        <w:rPr>
          <w:rFonts w:ascii="IRNazanin" w:hAnsi="IRNazanin" w:eastAsia="IRNazanin"/>
          <w:color w:val="111111"/>
          <w:sz w:val="28"/>
          <w:sz w:val="28"/>
          <w:szCs w:val="28"/>
          <w:rtl w:val="true"/>
          <w:lang w:bidi="fa-IR"/>
        </w:rPr>
        <w:t>می‌د‌هند، اگر دختر ده ساله دزدی کند، با شرایطی دستش را قطع می‌کنند؛ اما اگر پسر سيزده ساله دزدی کند ناخنشرا خراش می‌دهند و دستش قطع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سن بلوغ دختر و پسر را شش سال دانستید و آن را به جنسیت دختر و پسر برگرداندید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مسأله‌ای که طرح کردید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تفاوت دختر و پسر در سن تکلیف و دیگری در سنّ مجازات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جنبة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بگویم که به نظر ما تفاوت سن تکلیف دختر و پسر شش سال نیست، بلکه دو سال است؛ سن بلوغ دختر سيزده سال</w:t>
      </w:r>
      <w:r>
        <w:rPr>
          <w:rStyle w:val="FootnoteAnchor"/>
          <w:rtl w:val="true"/>
        </w:rPr>
        <w:footnoteReference w:id="3"/>
      </w:r>
      <w:r>
        <w:rPr>
          <w:rFonts w:ascii="IRNazanin" w:hAnsi="IRNazanin" w:eastAsia="IRNazanin"/>
          <w:color w:val="111111"/>
          <w:sz w:val="28"/>
          <w:sz w:val="28"/>
          <w:szCs w:val="28"/>
          <w:rtl w:val="true"/>
          <w:lang w:bidi="fa-IR"/>
        </w:rPr>
        <w:t>و سن بلوغ پسر پانزده سال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بالغ شدن پسر یکی از این سه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روییدن موی درشت زیر شکم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عورت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بیرون آمدن منی؛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شدن پانزده سال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بلوغ در دختران را بیان فرمایید؟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بلوغ در دختران یکی از این چهار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روییدن موی درشت زیر شکم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عورت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بیرون آمدن منی، هر چند گفته می‌شود که منی از زن خارج نمی‌شود؛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دیدن خون حیض؛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هیچ یک از علایم فوق محقق نشد، ملاک تمام شدن سیزده سال قمری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توضيح المسائل آيت الله العظمي صانعي، ص</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سؤال </w:t>
      </w:r>
      <w:r>
        <w:rPr>
          <w:rFonts w:eastAsia="IRNazanin" w:cs="IRNazanin"/>
          <w:color w:val="111111"/>
          <w:sz w:val="28"/>
          <w:szCs w:val="28"/>
          <w:lang w:bidi="fa-IR"/>
        </w:rPr>
        <w:t>2815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2816</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دختر و پسر در بلوغ عبادی و تکلیفی، دو سال با هم فاصله دارند و این به جایی هم ضرر نمی‌رساند و با مسائل حقوقی هم منافاتي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دنیای پزشکی هم پذیرفته‌اند که بلوغ جنسیِ دختر، قبلاز بلوغ جنسیِ پسر است و ثابت شده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دخترها در سيزده سالگی بالغ می‌شوند؛ ولی پسر‌ها در سن سيزده سالگی حالت مردانگی پیدا نمی‌کنند و غدد جنسی آنها ترشح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بلوغ جنسی در دختر و پسر تفاوت تکوینی دارد و قابل انکار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بحث عبادات و سن تکلیف از باب نشانه‌ها و علایم، ابتدا به رشد غدد جنسی توجه مي‌نمايد و بعد از آن به سن تکلیف اشاره مي‌کند، آن هم در صورتی که نشانه‌ای در غدد جنسی بروز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حقوق مدنی، همان‌طور که می‌دانید فقط بلوغ جنسی ملاک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مطرح است؛ در قرآن به مسئله رشد اشاره کرده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آنَستُم ِمنهُم رُشداً فَادفَعُوا إلَیهِم أموٰالَهُم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
      </w:r>
      <w:r>
        <w:rPr>
          <w:rFonts w:ascii="IRNazanin" w:hAnsi="IRNazanin" w:eastAsia="IRNazanin"/>
          <w:color w:val="111111"/>
          <w:sz w:val="28"/>
          <w:sz w:val="28"/>
          <w:szCs w:val="28"/>
          <w:rtl w:val="true"/>
          <w:lang w:bidi="fa-IR"/>
        </w:rPr>
        <w:t xml:space="preserve">بنابراین در اجرای قانون مدنی، مهم نیست سنّ دختر و پسر چند سال باشد، آنچه مهم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انسان، گرچه نابالغ هم باشد ولی وقتی رشید شد، اموالش در اختیارش قرار می‌گیرد و می‌تواند در آن تصرّف کند</w:t>
      </w:r>
      <w:r>
        <w:rPr>
          <w:rFonts w:eastAsia="IRNazanin" w:cs="IRNazanin"/>
          <w:color w:val="111111"/>
          <w:sz w:val="28"/>
          <w:szCs w:val="28"/>
          <w:rtl w:val="true"/>
          <w:lang w:bidi="fa-IR"/>
        </w:rPr>
        <w:t>.</w:t>
      </w:r>
      <w:r>
        <w:rPr>
          <w:rStyle w:val="FootnoteAnchor"/>
          <w:rtl w:val="true"/>
        </w:rPr>
        <w:footnoteReference w:id="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رساله توضيح المسائل معظم‌له، ص</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2264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بچه‌ای که بالغ نشده و یا بالغ شده، اما رشد ندارد، شرعاً نمی‌تواند در مال خود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شرط صحّت تصرّف در مال دو امر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و 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جنبة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قانون مجازات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علم و آگاهی در حدی که فرد بداند کاری که می‌کند عملش مجرمانه بوده و مجازات معیّن دارد و سن و سال در استحقاق مجازات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پسری شانزده ساله یا هيجده ساله، علم به جرم و این‌که عملش استحقاق جزا دارد نداشته باشد، در حقیقت رشد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کسی که آدم‌کشی با سیلی زدن در نظرش تفاوتی نداشته باشد، علم به جرم آدم‌کشی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جرمی به او تفهیم نشده باشد، قابل مجازات نیست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حتی به 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القلم یَرفَعُ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الصبّی حتّی یَحتلمَ، و عن المَجنونِ حَتّی یَفیقَ، وَ عَن النائم حَتّی یَستیقظَ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قلمِ تکليف از سه کس برداشته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ازکودک تا بالغ گردد، از مجنون تا زمان هشياري و عقل يافتن و خوابيده تا زماني که بيدار شود؛ هم، اشکال کردیم که در این‌جا صباوت مطرح است نه سن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احتلام به معنای جمع شدن حواس است، نوعاً کسی که محتلم شد عقلش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احتلام، نشانة رشد عقلی است و به همین دلیل در اين حديث، در کنار صبی، دیوانه و انسان خوابيده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محتلم نشده، هنوز افکارش جمع نشده است؛ چون در غالب موارد تصمیمي می‌گیرد و سپس از آن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ترشّح غدد جنسی باعث تغییر روحیه </w:t>
      </w:r>
    </w:p>
    <w:p>
      <w:pPr>
        <w:pStyle w:val="BookText"/>
        <w:rPr/>
      </w:pPr>
      <w:r>
        <w:rPr>
          <w:rFonts w:ascii="IRNazanin" w:hAnsi="IRNazanin" w:eastAsia="IRNazanin"/>
          <w:color w:val="111111"/>
          <w:sz w:val="28"/>
          <w:sz w:val="28"/>
          <w:szCs w:val="28"/>
          <w:rtl w:val="true"/>
          <w:lang w:bidi="fa-IR"/>
        </w:rPr>
        <w:t>می‌شود و فرد را از حالت صباوت و کودکی و تصمیم‌گیری عجولانه خارج می‌کند، دیگر تفاوتی میان دختر و پسر قائل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تفاوت به رشد رسيدن میان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دختر زودتر و پسر دیرتر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شرط اصلی در مجازات رشد است نه سنّ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مقتضای اطلاق و عموم ادله قصاص</w:t>
      </w:r>
      <w:r>
        <w:rPr>
          <w:rStyle w:val="FootnoteAnchor"/>
          <w:rtl w:val="true"/>
        </w:rPr>
        <w:footnoteReference w:id="8"/>
      </w:r>
      <w:r>
        <w:rPr>
          <w:rFonts w:ascii="IRNazanin" w:hAnsi="IRNazanin" w:eastAsia="IRNazanin"/>
          <w:color w:val="111111"/>
          <w:sz w:val="28"/>
          <w:sz w:val="28"/>
          <w:szCs w:val="28"/>
          <w:rtl w:val="true"/>
          <w:lang w:bidi="fa-IR"/>
        </w:rPr>
        <w:t>و دیات آن است که صبیّ ممیّز، که اهل درک و تشخیص است و خود، خوبی‌ها و بدی‌ها و مجازات داشتن اعمال بد را درک می‌کند، مسئول اعمال خویش است؛ امّا صبیّ غیر ممیّز که مانند دیوانه است و باید خویشان و اقوام و عاقله‌اش از او مواظبت نمایند، مسئولیت مالی اعمالش بر عاقله است و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الصبيان خطأٌ تَحمله 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مجرمانه عمدي صبيّ خطا محسوب می‌شود و عاقله بايد ديه آن را پرداخت نمايد؛ مربوط به چنین موردی می‌باشد و مطابق با قواعد و مذاق شرع است چون بر عاقله است که جلوي جنایت‌ها و ضرب و جرح‌های او را بگیرد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و اما اینکه ممیّزمدرک خوبی‌ها و بدی‌ها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که در اول بحث </w:t>
      </w:r>
    </w:p>
    <w:p>
      <w:pPr>
        <w:pStyle w:val="BookText"/>
        <w:rPr/>
      </w:pP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عمدش با عمد دیگران در موارد سبق تصمیم و قصد قتل ظاهراً تفاوتی ندارد، دليلش اطلاقات و عمومات قصاص است؛ اما دلايلی که برای الحاقش به غیر ممیّز ذکر شده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قطع نظر از ضعفی که در سندش ممکن است باشد، انصراف از ممیّز داشته و اختصاص به غیرمميّز دارد، 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هم از جهاتی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قصاص علی الافراد نمی‌باشد تا مرفوع شود، بلکه علی الموضوع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 معتقدیم طفل و صبیّ چه دختر و چه پسر، مطلقاً مجازات ندارند؛ بلکه جرمِ همراه با درک و شعور، مجازات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می‌خواهند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امر تکوینی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جلوگیری از مجازات داخل کنند، کارشان هم از نظر عقلی و هم از جهت نقلی و شرعی اشکال دارد، که اجمال هر دو را عرض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مهرپور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هر حال یک ملاک خارجی ملموس برای متمایز کردن صبیّ از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 لازم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ملاک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دهيد، تکلیف مردم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مدنی هم، در حال حاضر تکلیف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باید مشخص شود تا چه زمان و سنّي این شخص را کودک می‌دانیم و از چه زمانی او را بزرگ محسوب می‌کنیم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العظمی صانعی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شما ملاکرا سنّ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بحثی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جزء </w:t>
      </w:r>
    </w:p>
    <w:p>
      <w:pPr>
        <w:pStyle w:val="BookText"/>
        <w:rPr/>
      </w:pPr>
      <w:r>
        <w:rPr>
          <w:rFonts w:ascii="IRNazanin" w:hAnsi="IRNazanin" w:eastAsia="IRNazanin"/>
          <w:color w:val="111111"/>
          <w:sz w:val="28"/>
          <w:sz w:val="28"/>
          <w:szCs w:val="28"/>
          <w:rtl w:val="true"/>
          <w:lang w:bidi="fa-IR"/>
        </w:rPr>
        <w:t>مقررات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طبق مبنای غالب، سنّ را قرار دهید، اما وقتی مورد خلافی برای آن پیدا کردید، مي‌توانيد ادعا کنيد این فرد چهارده ساله به رشد رسیده است و با تشخیص یا با سبق تصمیم، کسی را کشته است و در اینجا دیگر با او مثل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سالان رفتار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مهرپور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این مبنای غالب را در مسئولیت کیفری بیاوریم و با دختر و پسر یکسان برخورد کنیم و سن بلوغ را ملاک قرار ندهیم؟</w:t>
      </w:r>
    </w:p>
    <w:p>
      <w:pPr>
        <w:pStyle w:val="BookText"/>
        <w:rPr/>
      </w:pPr>
      <w:r>
        <w:rPr>
          <w:rFonts w:ascii="IRNazanin" w:hAnsi="IRNazanin" w:eastAsia="IRNazanin"/>
          <w:color w:val="111111"/>
          <w:sz w:val="28"/>
          <w:sz w:val="28"/>
          <w:szCs w:val="28"/>
          <w:rtl w:val="true"/>
          <w:lang w:bidi="fa-IR"/>
        </w:rPr>
        <w:t>آيت الله العظمی صانعی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در مورد رأی دادن این طور رفتار کردید و اشکالی پیش نیامد؟ بنده معتقدم اگر فقه اسلام به درستی پیاده شود، همۀ دنیا در مقابل آن تسلیم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مهرپور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کمی مفصل‌تر در مورد این موضوع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مجازات‌ها را به طور مجزا بررسی کنیم، آیا ملاک مجازات در همۀ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ندارد؟</w:t>
      </w:r>
    </w:p>
    <w:p>
      <w:pPr>
        <w:pStyle w:val="BookText"/>
        <w:rPr/>
      </w:pPr>
      <w:r>
        <w:rPr>
          <w:rFonts w:ascii="IRNazanin" w:hAnsi="IRNazanin" w:eastAsia="IRNazanin"/>
          <w:color w:val="111111"/>
          <w:sz w:val="28"/>
          <w:sz w:val="28"/>
          <w:szCs w:val="28"/>
          <w:rtl w:val="true"/>
          <w:lang w:bidi="fa-IR"/>
        </w:rPr>
        <w:t>آيت الله العظمی صانعی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انواع مجازات به سه دسته تقسیم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تعزیرات،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جزء حدود نیست چه قصاص نفس و چه قصاص عضو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باب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دختر و پسر در جاری شدن حدود تأثیر دارد و بر دختر از سيزده سال و بر پسر از</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 سال حد جاری می‌شود؛ گناهانی که حد برای آنها تعیین می‌شود، یا منشأ جنسی و یا منشأ غیرجنسی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زنا گناهی است که منشأ آن غریزه جنسی است، همین طور 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گناهانی که منشأ آنها غریزه جنسی است سنّ دختر و پسر لحاظ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 اسلام تصریح دارد که غریزه جنسی دختر زودتر از پسر ظاهر می‌شود و هم در عالم تکوین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در اینجا برای بلوغ دختر و پسر یک اماره و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در سيزده سال و پسر در پانزده سال به بلوغ سنی می‌رسند و ممکن است مرتکب جرم و خطای جنسی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نمی‌کنم اختلاف در مجازات، تبعیض باشد؛ چون به اختلاف تکوینی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گناهاني مانند سرقت و شرب خمر از گناهانی هستند که منشأ غیرجنسی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سرقت، اگر فرد اقرار به سرقت کند مجازات می‌شود چون اقرار معنایش این است که خودش گناهش را قبول دارد و باید مجازات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این اشکال پیش می‌آید که چرا دختر در سيزده سال و پسر در پانزده سال مجازات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اگر معیار را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يَحتَلمَ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فردی که محتلم شده قدرت تصمیم‌گیری دارد؛ حالا تفاوت ندارد زن باشد یا مرد، زيرا از حالت کودکی خارج شده و به زن یا مرد تبدیل شده و دیگر کودک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معیار مجازات این می‌شود که وقتی فرد به بلوغ رسید، آیه برایش خوانده شد و متوجه جرم </w:t>
      </w:r>
    </w:p>
    <w:p>
      <w:pPr>
        <w:pStyle w:val="BookText"/>
        <w:rPr/>
      </w:pPr>
      <w:r>
        <w:rPr>
          <w:rFonts w:ascii="IRNazanin" w:hAnsi="IRNazanin" w:eastAsia="IRNazanin"/>
          <w:color w:val="111111"/>
          <w:sz w:val="28"/>
          <w:sz w:val="28"/>
          <w:szCs w:val="28"/>
          <w:rtl w:val="true"/>
          <w:lang w:bidi="fa-IR"/>
        </w:rPr>
        <w:t>خود شد، دیگر در حالت کودکی مرتکب جرم نشده و در حال بزرگ‌سالی مرتکب جرم شده است؛ یعنی در حالت مردانگی و زنانگی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بنا بر طبیعتش در موقع خاصی زودتر به حُلُم می‌رسد و پسر در موقع خاص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باز جنسیّت سبب این نشده که یکی زودتر مجازات شود و دیگری دیرتر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تبعیض نیست، بلکه تفاوت و در واقع، تساوی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مهرپور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در نظام قانون مدنی، مقطع سنّی ازدواج دختر، پایین‌تر از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دیگر هم شاید همین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معمولاً بین سن رشد و بلوغ تفاوت نمی‌گذارند، در حالی که در طبیعت و عالم تکوین چنین تفاوتی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فرمایش شما، در مسئولیت جزایی و مسائل حقوقی آنچه مهم است، رشد عقلانی است و این محرز است که رشد دختر زودتر از رشد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می‌شود این تفاوت را امتیازی برای دختر محسوب کرد؛ چون شخصیت دختر زودتر از شخصیت پسر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می‌تواند زودتر از پسر در امور مالی خود دخل و تصرّف کند و مسئولیتش هم بیشتر است و حتی می‌توان ادعا کرد که در انتخابات و رأی دادن هم نباید دختر و پسر را یکسان در نظر گرفت و باید برای دختر سهم بیشتری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اجتماعی هم باید این نظر را داشت که دختر سيزده ساله بیشتر مسائل اجتماعی را درک می‌کند و رشد عقلانی و اجتماعی بیشتری دارد؛ اما در عرف و عادت، همه این مسائل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علوم انسانی جدید و روانشناسی رشد و شخصیت، پذیرفته‌اند که تفاوت جنس در فعال شدن غدد جنسی تأثیر دارد؛ اما تأیید نشده است که تفاوت جنس در رشد عقلانی هم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العظمی صانعی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رشد عقلانی، تابع غدد جنسی نیست؛ بلکه تابع وراثت، محیط، اجتماع، تربيت و عوامل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مسئولیت‌های حقوق مدنی هم تابع بلوغ است و هم تابع رشد؛ چون درک مسائل مدنی نیازمند تجربه است و صِرف لحاظ سنّ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خانه بخرد باید تجربۀ خرید و فروش داشته باشد و تجربه با گذشت زمان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مالی و در حقوق مدنی و ازدواج احتیاج به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باید رشید باشد تا بتواند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ثيّبه</w:t>
      </w:r>
      <w:r>
        <w:rPr>
          <w:rStyle w:val="FootnoteAnchor"/>
          <w:rtl w:val="true"/>
        </w:rPr>
        <w:footnoteReference w:id="1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باشد باید رشیده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دربارۀ جرم‌هایی که حدود دارند؛ مثل این‌که دزدی بد است؛ این دیگر احتیاج به رشد و فرهنگ ندارد، همین که بفهمد دزدی بد است، کافی است؛ یا اگر آیه‌اش را برای فرد خوانده باشند که دزدی بد است، برای مجازات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بدیِ جرمی را بفهمد، رشد جزایی پیدا کرده و کسی که رشد جزایی پیدا کند، قابل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انسان، گناه و جرم را در غالب موارد قبل از سنّ بلوغ می‌فهمد، منتها اسلام این را منوط کرده به بروزنشانه‌هاي مردانگی و زنانگی، والّا هر بچه‌ای می‌فهمد </w:t>
      </w:r>
    </w:p>
    <w:p>
      <w:pPr>
        <w:pStyle w:val="BookText"/>
        <w:rPr/>
      </w:pPr>
      <w:r>
        <w:rPr>
          <w:rFonts w:ascii="IRNazanin" w:hAnsi="IRNazanin" w:eastAsia="IRNazanin"/>
          <w:color w:val="111111"/>
          <w:sz w:val="28"/>
          <w:sz w:val="28"/>
          <w:szCs w:val="28"/>
          <w:rtl w:val="true"/>
          <w:lang w:bidi="fa-IR"/>
        </w:rPr>
        <w:t>که سر راه مردم را گرفتن و جیب آنها را خالی کردن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فقط به این دلیل که درک دوران کودکی زودگذر است، حدود برای آن قرار نداده است؛ اما درک دوران مردانگی و زنانگی که زودگذر نیست، حدود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نمی‌خواهیم در مورد کل رشدها یک نظر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در جرم و ارتکاب جرم خیلی زود حاصل می‌شود؛ اما اسلام تصمیم در مورد رشد قبل از سنّ بلوغ را تصمیم قبل از اجتماع حواس می‌داند و تصمیم بعد از تکلیف را تصمیم بزرگ‌سالانه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بچة شش ساله بفهمد آدم کشی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مرحوم فلسفی، بچه هم بديِ خیانت در امانت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اسلام می‌گوید هنگامی که درک هست، آگاهی هست، اما هنوز حُلُم نیست؛ تصمیمات کودکانه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می‌سازد و خراب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فرد از تصمیمات کودکانه خارج شد مسئولیت جزایی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چه زمانی از تصمیمات کودکانه خارج می‌شود بستگی به تکوین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بر حسب طبع و غالب از سيزده سالگی از کودکی خارج می‌شود و پسر از پانزده سالگی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نتیجة کلی این شد که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رشد به صورت مطلق بلکه رشد جزایی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سنّ بلوغ هست و کودک ممکن است مرتکب آن شود؛ اما آن ارتکاب، ارتکاب کودکانه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ما قبول داریم، هماسلام گفته است و هم تکوین می‌گوید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مهرپور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قانون باید یک قاعدة کلی ارائه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این فرد هنوز درک و شعور يک معاملة ده تومانی را ندارد، چطور مسئولیت جزایی می‌توانیم برای او قائل شویم؟</w:t>
      </w:r>
    </w:p>
    <w:p>
      <w:pPr>
        <w:pStyle w:val="BookText"/>
        <w:rPr/>
      </w:pPr>
      <w:r>
        <w:rPr>
          <w:rFonts w:ascii="IRNazanin" w:hAnsi="IRNazanin" w:eastAsia="IRNazanin"/>
          <w:color w:val="111111"/>
          <w:sz w:val="28"/>
          <w:sz w:val="28"/>
          <w:szCs w:val="28"/>
          <w:rtl w:val="true"/>
          <w:lang w:bidi="fa-IR"/>
        </w:rPr>
        <w:t>آيت الله العظمی صانعی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بزرگ، این فرد حق تصرف در اموالش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حد متعارف معاملاتش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اگر حق تصرّف در اموالش را به او ندهیم ظلمی به او نکرده و مسئولیت فرد دیگری که ولي اوست را زیاد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فرد بخواهد عفت عمومی را لکه‌دار کند، دزدی کند و سر راه مردم را بگیرد، اینجا دیگر خروج از طفولیت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جرم‌های قبل از طفولیت مجازات ندارد و بعد از طفولیت مجازات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مورد تعزيرات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تعزیرات به طور کلی حوزة وسیعی دارد و کم و کيف آن در دست حکومت صالح است و به اشخاص ارتباطی ندارد؛ یعنی این‌طور نیست که شخص بگوید این تعزیر به صورت قانون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 و معيار تعزیر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یَراه الواليّ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یَراهُ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 همین است که تعزیرات در دست حکومت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یَراه 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اما در واقع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یَراهالواليّ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کسی است که با توجه به قرائن عقلی و عقلایی می‌تواند مجازاتی تعیین کند که مناسب با مجرم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می‌تواند در جامعه نسبت به کودک یک</w:t>
      </w:r>
    </w:p>
    <w:p>
      <w:pPr>
        <w:pStyle w:val="BookText"/>
        <w:rPr/>
      </w:pPr>
      <w:r>
        <w:rPr>
          <w:rFonts w:ascii="IRNazanin" w:hAnsi="IRNazanin" w:eastAsia="IRNazanin"/>
          <w:color w:val="111111"/>
          <w:sz w:val="28"/>
          <w:sz w:val="28"/>
          <w:szCs w:val="28"/>
          <w:rtl w:val="true"/>
          <w:lang w:bidi="fa-IR"/>
        </w:rPr>
        <w:t>برخورد داشته باشد، نسبت به ضعیف برخوردی دیگر و نسبت به غنی برخوردی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وضعیت بسياري از دادگاه‌ها این‌طور شده که یک قاضی، هم مرموزترین قتل‌ها را بررسی می‌کند و هم ارتکابِ به جرمِ یک کودک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در بیشتر کشورهای جهان، همان‌طور که زندان کودکان از بزرگ‌سالان جداست، قاضی کودکان هم از قاضی بزرگ‌سالان جداست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مورد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نداریم که حتماً باید فرد به بلوغ سنّی رسیده باشد و خردسال نباید قصاص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دلیل‌هایی که برای عدم قصاص خردسال اقامه شده است یکی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الصبیان خطأٌ تَحملُه العَاقِلة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غیربالغ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مجازات جرم، عمدش به گردن عاقلة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ما این است که معنای روایت این نیست، چون چنین حکمی برخلاف ضوابط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از روایت بیان دیگری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گنه کرد در بلخ آهنگری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شوشتر زدند گردن مسگری</w:t>
      </w:r>
      <w:r>
        <w:rPr>
          <w:rStyle w:val="FootnoteAnchor"/>
          <w:rtl w:val="true"/>
        </w:rPr>
        <w:footnoteReference w:id="1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آیه قرآن به صراحت مي‌گويد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وَلاتَزِرُ وازِرةٌ وِزْرَ أخْری</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
      </w:r>
      <w:r>
        <w:rPr>
          <w:rFonts w:ascii="IRNazanin" w:hAnsi="IRNazanin" w:eastAsia="IRNazanin"/>
          <w:color w:val="111111"/>
          <w:sz w:val="28"/>
          <w:sz w:val="28"/>
          <w:szCs w:val="28"/>
          <w:rtl w:val="true"/>
          <w:lang w:bidi="fa-IR"/>
        </w:rPr>
        <w:t xml:space="preserve">چگونه است که وقتی کودکي </w:t>
      </w:r>
    </w:p>
    <w:p>
      <w:pPr>
        <w:pStyle w:val="BookText"/>
        <w:rPr/>
      </w:pPr>
      <w:r>
        <w:rPr>
          <w:rFonts w:ascii="IRNazanin" w:hAnsi="IRNazanin" w:eastAsia="IRNazanin"/>
          <w:color w:val="111111"/>
          <w:sz w:val="28"/>
          <w:sz w:val="28"/>
          <w:szCs w:val="28"/>
          <w:rtl w:val="true"/>
          <w:lang w:bidi="fa-IR"/>
        </w:rPr>
        <w:t>مرتکب جرمی شد، باید عاقله تاوان جرمش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برخلاف قواعد و ضوابط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توجه به مناسبت حکم و موضوع می‌گوییم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 الصبيان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را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می‌خواهد کودکان غیر ممیّزی را بگوید که مسئولیت آنها بر عهدة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هنوز تحت سرپرستی عاقله هستند و عاقل 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کسی کودک را آزار داد، دیگران به او اعتراض می‌کنند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بچه را اذیت کردی؟ این که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بدی کرد به بزرگ‌ترش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حدیث، چنین کودکی است، کودکی که کنترلش در دست دیگران است و هنوز مشمول اصول تربیتی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حدیث در کنار کودک، دیوانه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المَجنُونِ خطأٌ تحملُهُ 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دیوانه کسی را کشت گناهش متوجه عاقلی است که مسئول نگهداری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الصِبیانِ خَطأٌ تَحملُه 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نتیجه‌ای بگیریم مطابق با فهم عقلایی، نتیجه‌گیریکرده‌ایم وگرنه کودکی که دیگر کنترلش در دست عاقل نیست پس خطایش هم به عهدة عاقل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مهرپور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مادۀ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مسئوليت خساراتی را که کودک و مجنون به‌بار می‌آورند بر عهده خودشان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خسارت از اموال خود آنها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قانون مجازات اسلامی همین را داریم؛ یعنی ما صبی و مجنون را از نظر مسئولیت مدنی مبرّا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صبی یا مجنون شیشه‌ای را شکست یا خسارت دیگری وارد کرد، خسارت از اموال خود او پرداخت می‌شود و سرپرست و ولیّ، طرف دعوا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قانون مسئولیت مدنی هم که بعد از قانون مدنی در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سرپرستی کودک و مجنون را بر عهده دارد، اگر در نگهداری آنها تقصير کند، از لحاظ مالی مسئول است و پرداخت خسارات مستقيماً بر عهدة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می‌بینیم تعارضی بین ماده هفت قانون مسئولیت مدنی و قانون مدنی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طبعاً مبتنی بر موازین شرعی است و طبق آن مسئولیت مالی به عهدة خود کودک و مجنون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قانون مجازات اسلامی در مورد قتل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یا مجنون عمداً کسی را کشت خطا محسوب می‌شود و قصاص لازم نیست و وقتی خطا محسوب شد، مجازاتش دیه می‌شود و پرداخت آن بر عهدة عاقله است</w:t>
      </w:r>
      <w:r>
        <w:rPr>
          <w:rFonts w:eastAsia="IRNazanin" w:cs="IRNazanin"/>
          <w:color w:val="111111"/>
          <w:sz w:val="28"/>
          <w:szCs w:val="28"/>
          <w:rtl w:val="true"/>
          <w:lang w:bidi="fa-IR"/>
        </w:rPr>
        <w:t>.</w:t>
      </w:r>
      <w:r>
        <w:rPr>
          <w:rStyle w:val="FootnoteAnchor"/>
          <w:rtl w:val="true"/>
        </w:rPr>
        <w:footnoteReference w:id="1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العظمی صانعی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صرف نظر از قوانین مدنی و مصوَّب بحث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بنده می‌توانم خود را قانعکنم اين است که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الصبیان خطأٌ تَحمله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نیست که اگر پسر چهارده ساله‌ای که خوب و بد را درک می‌کند، جرم و مجازاتش را می‌فهمد و حالا کسی را کشت، دیه‌اش بر عهدة عاقله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دیگر کنترلش از دست پدر و مادر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خودش مسئول اعمال خودش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مهرپور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عاقله و سرپرست همیشه یکی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بچه‌ای پدر ندارد و مرتکب قتل شده است و مثلاً پسرعمویی دارد که عاقلة او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همیشه این دو را یکی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العظمی صانعی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عاقله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عاقله، عقل، یعنی منع است؛ عاقله را عاقله می‌گویند چون جلوي کودک را می‌گیرد و اگر جایی خلافی از او سر زد با طبع عاقله ناسازگار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مهرپور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نباشد که خود به خود کسی قیّم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یا جد پدری ولیّ قهری است؛ اما اگر پدر یا جد پدری نبود؛ ولیّ، حاکم می‌شود و قیّم تعیین می‌کند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العظمی صانعی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ممکن است بگوییم اگر کسی را سرپرست قرار دادند، همان فرد ضامن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از این جمله چنین برداشتی داریم لوازم آن را هم باید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حکم داریم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تَزِرُوازِرَهٌ وِزْرَ أُخْرى</w:t>
      </w:r>
      <w:r>
        <w:rPr>
          <w:rFonts w:ascii="IRNazanin" w:hAnsi="IRNazanin" w:eastAsia="IRNazanin"/>
          <w:color w:val="111111"/>
          <w:sz w:val="28"/>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حکم شامل عاقله‌ای هم که مسئولیت سرپرستی او را دارد،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بنده اصل،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آگاهانه گناه انجام می‌دهد، باید مجازاتش را ببیند و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باعث رفع مجازات از او نمی‌شود و شاید نظر معروفی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احکام وضعیه را برنمی‌دارد، همین را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آنجایی شامل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صبی می‌شود که قلم، روی افراد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قلم روی افراد نمی‌آید و روی موضوعات است آن را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اگر سنّ مجازات پایین بیاید مانعی ندارد و پسر و دختر هم هیچ تفاوتی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عنصر معنوی جرم پدید آمد، مجازات بر عهدة مجرم است با هر سنّ و هر جنسیتی، و هر قدر سن مجازات پایین‌تر بیاید، آمار جنایات در جامعه پایین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باید یک سنّی را ملاک قرار دهیم؛ اما کارشناسان می‌توانند این سن را از هجده سال مثلاً به هفده سال تقلیل دهند و بگویند با پیشرفت وسایل در این دوره از زمان، یک کودک هفده ساله فهم و درک انجام جنایت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سن قرار داده شد، دیگر دختر و پسر ندارد و با هر دو یکسان رفتار می‌شود</w:t>
      </w:r>
      <w:r>
        <w:rPr>
          <w:rFonts w:eastAsia="IRNazanin" w:cs="IRNazanin"/>
          <w:color w:val="111111"/>
          <w:sz w:val="28"/>
          <w:szCs w:val="28"/>
          <w:rtl w:val="true"/>
          <w:lang w:bidi="fa-IR"/>
        </w:rPr>
        <w:t xml:space="preserve">. </w:t>
      </w:r>
      <w:bookmarkStart w:id="26" w:name="pg9392_88007"/>
    </w:p>
    <w:p>
      <w:pPr>
        <w:pStyle w:val="Heading3"/>
        <w:numPr>
          <w:ilvl w:val="2"/>
          <w:numId w:val="1"/>
        </w:numPr>
        <w:rPr/>
      </w:pPr>
      <w:bookmarkStart w:id="27" w:name="__RefHeading___Toc5532544_2870459653"/>
      <w:bookmarkStart w:id="28" w:name="_Toc9"/>
      <w:bookmarkEnd w:id="26"/>
      <w:bookmarkEnd w:id="27"/>
      <w:r>
        <w:rPr>
          <w:rtl w:val="true"/>
        </w:rPr>
        <w:t>جنسیت در شهادت</w:t>
      </w:r>
      <w:bookmarkEnd w:id="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مهرپور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مسأله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اعتبار شهادت هم، زن و مرد با یکدیگر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در باب شهادت، به موارد متفاوتي اشاره دارد که در میان همة این موارد، فقط قتل خطایی با شهادت دو زن و یک مرد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اشتباه نکنم در دو مورد دیگر هم شهادت سه یا چهار زن عادل به علاوه یک یا دو مرد عادل مسموع است و در بقیة موارد فقط شهادت مرد، گناه را ثابت می‌کند و شهادت زن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مواردی که شهادت زن پذیرفته شده است، شهادت دو زن برابر با شهادت یک مرد است و بدین ترتیب شهادت زن، نصف اعتبار شهادت مرد را داراست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در باب فقه هم احصا کردم، معمولاً در فقه هم در اکثر امور کیفری، شهادت زن پذیرفته نیست و فقط در امور مالی است که شهادت دو زن عادل با شهادت یک مرد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زمینه مستند قرآنی هم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وَاسْتَشْهِدُواْ شَهِيدَيْنِ من رِّجَالِكُمْ فَإِنْ لَمْ يَكُونا رَجُلَيْنِ فَرَجُلٌ وَ امْرَأَتانِ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چند مورد دیگر هم در باب شهادت آمده که اسمی از زن و مرد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باب زناست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الَّذينَ </w:t>
      </w:r>
    </w:p>
    <w:p>
      <w:pPr>
        <w:pStyle w:val="BookText"/>
        <w:rPr/>
      </w:pPr>
      <w:r>
        <w:rPr>
          <w:rFonts w:ascii="Amiri" w:hAnsi="Amiri" w:eastAsia="Amiri" w:cs="Amiri"/>
          <w:color w:val="111111"/>
          <w:sz w:val="28"/>
          <w:sz w:val="28"/>
          <w:szCs w:val="28"/>
          <w:rtl w:val="true"/>
          <w:lang w:bidi="ar-SA"/>
        </w:rPr>
        <w:t>يَرْمُونَ المُحْصَناتِ ثُمَّ لَمْ يَأْتُوا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اللاَّتي يَأْتينَ الْفاحِشَةَ مِنْ نِسائِكُمْ فَاسْتَشْهِدُوا عَلَيْهِنَّ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مِنْكُم</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دیگری در مورد وصیت و طلاق است که فقط دو شاهد عادل ذکر شده است و سخنی از زن و مرد بودن در میان نیست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در روایات و احادیث هم اعتبار شهادت دو زن برابر یک مرد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سطح بین المللی سؤال است و خود من چند سال پیش در کمیتة حقوق بشر مورد خطاب واقع شدم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اعتبار شهادت زن را نصف مرد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چند حقوقدان زن حضور داشتند، یکی از آقایان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خانم‌ها به اندازه من تحصیل کرده‌اند، می‌فهمند و درک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برای شهادت آنان ارزشی نصف من قائل هستید؟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العظمی صانعی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کلی این است که نباید نژاد، جنسیت و مانند آن، در ارزش افراد تأثیر بگذارد چرا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خَلَقْناكُمْ مِنْ ذَكَرٍ وَ أُنْثى</w:t>
      </w:r>
      <w:r>
        <w:rPr>
          <w:rFonts w:ascii="IRNazanin" w:hAnsi="IRNazanin" w:eastAsia="IRNazanin"/>
          <w:color w:val="111111"/>
          <w:sz w:val="28"/>
          <w:sz w:val="28"/>
          <w:szCs w:val="28"/>
          <w:rtl w:val="true"/>
          <w:lang w:bidi="fa-IR"/>
        </w:rPr>
        <w:t>،</w:t>
      </w:r>
      <w:r>
        <w:rPr>
          <w:rStyle w:val="FootnoteAnchor"/>
          <w:rtl w:val="true"/>
        </w:rPr>
        <w:footnoteReference w:id="20"/>
      </w:r>
      <w:r>
        <w:rPr>
          <w:rFonts w:ascii="Amiri" w:hAnsi="Amiri" w:eastAsia="Amiri" w:cs="Amiri"/>
          <w:color w:val="111111"/>
          <w:sz w:val="28"/>
          <w:sz w:val="28"/>
          <w:szCs w:val="28"/>
          <w:rtl w:val="true"/>
          <w:lang w:bidi="ar-SA"/>
        </w:rPr>
        <w:t>خَلَقَكُمْ مِنْ نَفْسٍ واحِدَة</w:t>
      </w:r>
      <w:r>
        <w:rPr>
          <w:rFonts w:ascii="IRNazanin" w:hAnsi="IRNazanin" w:eastAsia="IRNazanin"/>
          <w:color w:val="111111"/>
          <w:sz w:val="28"/>
          <w:sz w:val="28"/>
          <w:szCs w:val="28"/>
          <w:rtl w:val="true"/>
          <w:lang w:bidi="fa-IR"/>
        </w:rPr>
        <w:t>،</w:t>
      </w:r>
      <w:r>
        <w:rPr>
          <w:rStyle w:val="FootnoteAnchor"/>
          <w:rtl w:val="true"/>
        </w:rPr>
        <w:footnoteReference w:id="21"/>
      </w:r>
      <w:r>
        <w:rPr>
          <w:rFonts w:ascii="Amiri" w:hAnsi="Amiri" w:eastAsia="Amiri" w:cs="Amiri"/>
          <w:color w:val="111111"/>
          <w:sz w:val="28"/>
          <w:sz w:val="28"/>
          <w:szCs w:val="28"/>
          <w:rtl w:val="true"/>
          <w:lang w:bidi="ar-SA"/>
        </w:rPr>
        <w:t>أَنِّي لا أُضيعُ عَمَلَ عامِلٍ مِنْكُمْ مِنْ ذَكَرٍ أَوْ أُنْثی</w:t>
      </w:r>
      <w:r>
        <w:rPr>
          <w:rFonts w:ascii="IRNazanin" w:hAnsi="IRNazanin" w:eastAsia="IRNazanin"/>
          <w:color w:val="111111"/>
          <w:sz w:val="28"/>
          <w:sz w:val="28"/>
          <w:szCs w:val="28"/>
          <w:rtl w:val="true"/>
          <w:lang w:bidi="fa-IR"/>
        </w:rPr>
        <w:t>،</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فَضْلَ لِلْعَرَبِيِّ عَلَى الْعَجَمِيِّ وَ لَا لِلْأَحْمَرِ عَلَى الْأَسْوَدِ إِلَّا بِالتَّقْوَى</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 xml:space="preserve">با توجه به این آیات و روایات،تفاوتی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مرد و زن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مقدس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زن می‌تواند قاضی شود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ما هم این اعتقاد را داریم، دیگران همچنین چیزی را اعلام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زن می‌تواند ولی فقیه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فقاهت، مرجعیت و اجتهاد، مرد بودن را شرط نمی‌دانم</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مرد بودن نه در اجتهاد شرط است نه در مرجع تقلید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زن می‌تواند فقیه شود؛ می‌تواند مرجع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الفُقَهاءُ اُمناءُ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فقیه باید امین‌الرسل باشد، جنسیت اینجا مطرح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العلماء ورثة الأنبیاء</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علما وارث انبیا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فقط در مورد علمای مرد نیست و جنسیت در آن لحاظ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پسمی‌بینیم اسلام از نظر شخصیتی نه یک مورد نه دو مورد بلکه در دهها مورد </w:t>
      </w:r>
    </w:p>
    <w:p>
      <w:pPr>
        <w:pStyle w:val="BookText"/>
        <w:rPr/>
      </w:pPr>
      <w:r>
        <w:rPr>
          <w:rFonts w:ascii="IRNazanin" w:hAnsi="IRNazanin" w:eastAsia="IRNazanin"/>
          <w:color w:val="111111"/>
          <w:sz w:val="28"/>
          <w:sz w:val="28"/>
          <w:szCs w:val="28"/>
          <w:rtl w:val="true"/>
          <w:lang w:bidi="fa-IR"/>
        </w:rPr>
        <w:t>شخصیت مساوی برای زن و مرد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یک حدیث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انظروا إلی رجل منکم یعلم شیئاً من قضایانا</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این حدیث هم مسأله غالب است که گفته است بروید سراغ یک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آنچه اهميت دارد نظر علمی و فقهی است، چه صاحب نظر علمي و فقهي زن و چه مرد باشد تفاوتي ندارد؛ چه کسی گفته نظر زن بی‌ارزش و نظر مرد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این نظر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می‌شود نظر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مقام و منزلت، بی‌ارزش دانست؟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قبلاً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زن، مرجعیت او، رهبری او پذيرفته شده، شهادت</w:t>
      </w:r>
      <w:r>
        <w:rPr>
          <w:rStyle w:val="FootnoteAnchor"/>
          <w:rtl w:val="true"/>
        </w:rPr>
        <w:footnoteReference w:id="29"/>
      </w:r>
      <w:r>
        <w:rPr>
          <w:rFonts w:ascii="IRNazanin" w:hAnsi="IRNazanin" w:eastAsia="IRNazanin"/>
          <w:color w:val="111111"/>
          <w:sz w:val="28"/>
          <w:sz w:val="28"/>
          <w:szCs w:val="28"/>
          <w:rtl w:val="true"/>
          <w:lang w:bidi="fa-IR"/>
        </w:rPr>
        <w:t>و ریاست جمهوری او هم پذیرفته شده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قانون اساسی در مورد ریاست جمهوری آمدهاست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رجال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زن هم بتواند رئیس‌جمهور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مهرپور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نظر شرعی و قانونی در مورد رئیس‌جمهور شدن زن مانعی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العظمی صانعی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هیچ کدام از شرع و قانون منعی ایجاد نکرده‌اند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مهرپور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ولایت فقیه چه؟</w:t>
      </w:r>
    </w:p>
    <w:p>
      <w:pPr>
        <w:pStyle w:val="BookText"/>
        <w:rPr/>
      </w:pPr>
      <w:r>
        <w:rPr>
          <w:rFonts w:ascii="IRNazanin" w:hAnsi="IRNazanin" w:eastAsia="IRNazanin"/>
          <w:color w:val="111111"/>
          <w:sz w:val="28"/>
          <w:sz w:val="28"/>
          <w:szCs w:val="28"/>
          <w:rtl w:val="true"/>
          <w:lang w:bidi="fa-IR"/>
        </w:rPr>
        <w:t>آيت الله العظمی صانعی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ولایت فقيه هم اشکالی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قضاوت زن را بپذیرید که بنده پذیرفته‌ام و مقدّس اردبیلی احتمالش را داده است، دیگر پذیرفتن رهبر شدن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الْفُقَهَاءُ حُصُونُ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در واقع ولایت را پذیرفته‌اید؛ چون فقها زن و مرد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قدس سره در کتاب ولایت فقیه</w:t>
      </w:r>
      <w:r>
        <w:rPr>
          <w:rStyle w:val="FootnoteAnchor"/>
          <w:rtl w:val="true"/>
        </w:rPr>
        <w:footnoteReference w:id="31"/>
      </w:r>
      <w:r>
        <w:rPr>
          <w:rFonts w:ascii="IRNazanin" w:hAnsi="IRNazanin" w:eastAsia="IRNazanin"/>
          <w:color w:val="111111"/>
          <w:sz w:val="28"/>
          <w:sz w:val="28"/>
          <w:szCs w:val="28"/>
          <w:rtl w:val="true"/>
          <w:lang w:bidi="fa-IR"/>
        </w:rPr>
        <w:t>این حدیث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گفته نشده که منظور از علما، علمای ذکور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حصون اسلام هستند و مرد و زن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مهرپور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احادیث هستند که خلاف این مطلب را می‌رسانند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العظمی صانعی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آن احادیث ضعف سند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ریشة تمام آنها هم مظلومیت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معتبر در این مورد نداریم؛</w:t>
      </w:r>
    </w:p>
    <w:p>
      <w:pPr>
        <w:pStyle w:val="BookText"/>
        <w:rPr/>
      </w:pPr>
      <w:r>
        <w:rPr>
          <w:rFonts w:ascii="IRNazanin" w:hAnsi="IRNazanin" w:eastAsia="IRNazanin"/>
          <w:color w:val="111111"/>
          <w:sz w:val="28"/>
          <w:sz w:val="28"/>
          <w:szCs w:val="28"/>
          <w:rtl w:val="true"/>
          <w:lang w:bidi="fa-IR"/>
        </w:rPr>
        <w:t>يعني آن احاديث را جعل کردند تا ايشان را بي‌ارزش جلوه دهند و نگذارند جامعه از نظرات و ارزش‌هاي ايشان بهره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روایات را صاحب مستند</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القضاء نقل فرموده‌اند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اما در مورد اعتبار شهادت؛ اولاً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امتیاز نیست؛ بلکه یک دردسر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دنیا شهادت مطرح نیست، آنچه مطرح است قرائن است در واقع امروزه شهادت از آن جهت که شهادت است، معتبر نیست، بلکه از آن جهت که اماره و نشانه است،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تا به حال گفته میان زن و مرد در اماره و قرائن تفاوت وجود دارد؟ بسیار نادرند کسانی که بین زن و مرد در قرائن تفاوت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شاید چنین افرادی از صاحبنظران وجود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دنیای امروز مطرح است قرینه است نه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امروز اصلاً شهادت ما را ندارد؛ شهادت خاص خودش را دارد که ما هم آن را پذیرفته‌ایم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مورد قسمت اول بحث شما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دوم بحث شما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شهادت دو زن عادل پذیرفته نمی‌شود؛ اما شهادت دو مرد عادلپذیرفته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دلیل این مسأله را برای خود این‌طور توجيه می‌کنم که چون اسلام نمی‌خواهد زن، سر و کارش به دعوا و دادگاه بیافتد و هر روز به آنجا رفت و آمد کند، چنین حکمی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ترجیح می‌دهیم زن به کار خودش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خانه‌دار است، خانه‌داری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متفکّر است، کارش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جامعه روزی به این سو پیش برود که نقش زنان در آن، بسیار مؤثّرتر از نقش مردها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استعدادشان به مراتب بالاتر از مردهاست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پیش‌بینی هم می‌توان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بود که اسلام خواسته زن‌ها از کارشان بیکار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ادای شهادت چیزی جز گرفتاری به دادگاه رفتن و برگشتن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خواسته زن‌ها گرفتار دردسر نشوند؛ وگرنه امتیازی از زن‌ها ساقط و حقی تضييع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هدف خرد کردن شخصیت زن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 شخصیت زن را خرد کند که حق حکومت و ولایت، که مرتبه بسیار برتری نسبت به شهادت دارد، به آنان نمی‌داد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چرا که بدون توجه به نیازهای بشر در زندگی هیچ مکتبی موفق به جذب مردم به سوی خویش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پذیرش دین در جامعه سهولت در آن است که به فطری بودن و بر آورده شدن نیاز بشر برگردد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بَعَثَنِي بِالْحَنِيفِيَّةِ السَّهْلَةِ السَّمْحَةِ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خداوند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آفریدگار انسان خاکی است و آگاه‌تر از همه به نیازهای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پیامبران خود دستور داده است که به گونه‌ای در دعوت خود برنامه‌ریزی کنند که گسترش عدالت و رفع ظلم و تبعیض در جامعه را به دنبال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همین ملاک، خداوند حکیم در قرآن به پیامبر خویش یادآوری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که پروردگارت هیچ گاه به بندگانش ظلم نمی‌نماید و ارزش هر انسانی را بر انسان دیگر ترجیح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معیار تقرب به خدا را پرهیزگاری و اعمال صالحه دانسته، نه قومیت و جنسیت که آن هم باز به نفع انسان‌هاست؛ چرا که مانع از تعدی و 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تمامی احکام نیز باید بر مبنای عدالت استوار باشد و این اصل استثنا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تمامی پیروان مکاتب عدالت محور می‌توانند هر حکمی را که مخالف عدالت و موافق ظلم وتبعیض دیدند، مورد خدشه و شبهه قرار دهند؛ چرا که ملاک و میزان در هر حکمی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شارع حکیم هیچ گاه حکمی ظالمانه صادر نخواهد کرد و در مواردی که در کتاب و سنت در حکمی شائبه عدم عدالت وجود داشته باشد، باید به مبانی آن و طریق استنباط آن رجوع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این اصل و ملاک مهم در جعل احکام شرعی، یکی از احکامی که امروزه در آن شبهه تبعیض و عدم عدالت و برابری مطرح شده، مسأله عدم تساوی شهادت زنان با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تساوی هم در مباحث مربوط به دعاوی مطرح است و هم در اثبات برخی از احکام شرعی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هلال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دعاوی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عرضی و یا برخی از احکام شرعی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طلاق به طور کلی شهادت زنان نفی گردیده است که موجب بروز شبهه عدم عدالت در این حکم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شبهات طرح شده در موضوع شهادت زنان، با دو هدف باید به بررسی ادله شهادت زنان در کتاب و سنت و اقوال فقهاء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اصلاً چنین حکمی از طرف شارع صادر شده یا خیر؛ بدین معنا که 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حکیمی که تبعیض و ظلم را در احکام خویش نفی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مورد یک حکم کلی بر موضوعات فقهی و دعاوی که نیاز به شهادت شهود دارد، نموده است و ارزش شهادت دو زن را برابر شهادت یک مرد دانسته است؟ یا اینکه اصلاً چنین حکمی وضع نکرده است که در این صورت دیگر شبهه تبعیض وجود ندارد و نمی‌توان حکم اسلام را در شهادت زنان مود مناقشه و مخالف عدالت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مواردی به وسیله ادله متقن و نصوص صریح ثابت گردید که ارزش شهادت دو زن برابر شهادت یک مرد است و یا اینکه اصلاً شهادت زنان مورد پذیرش نیست، برای توجیه این حکم چه باید کرد؟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خوانندگان محترم را به این نکته توجه دهیم که این عبارات و استدلالات نظری حضرت استاد مربوط به زمان گذشته است و معظم‌له در زمینه شهادت زنان و در رابطه با اثبات نظریه خویش، راه حل‌های اساسی و متقنی دارند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فقهی شهادت زن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تفصیل از آنها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جهت اطلاع بیشتر، به کتاب فوق الذکر تألیف حجت الاسلام والمسلمین آقای فخرالدین صانعی، مراجعه گردد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مهرپور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نکته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به صورت مسلّم فرض می‌کنید؛ یعنی این‌که قضاوت، ولایت و حکومت زن اشکال ندارد، از دیدگاه اسلام و فقهای اسلام مسلّم نیست و بسیاری معتقدند زن نمی‌تواند چنین مسئولیت‌هایی را در جامعه به 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العظمی صانعی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قوانین اسلام را بر حَسَب صناعت فقهی، فقه جواهری و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می‌کنم و فتوای معروف و مشهور در این مورد مدّ نظرم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توجه به شواهد و قرائن و ادلّة فقهیه نتوانستم خودم را قانع کنم که اسلام چنین حقی برای زن‌ها قائل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مهرپور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شواهد و قرائن و ادلّه به گونه‌ای باشد که این مسأله را برای شما به صورت مسلّم درآورد، دیگران هم باید به چنین نتیجه و تشخیصی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دیگران هم بنا بر قرائن و شواهد و ادلة به نتیجه رسیده و فتوا داده‌اند که زن نمی‌تواند از چنین حقوقی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العظمی صانعی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که چنین فتواهایی دادند، بتوانند هم خودشان را قانع کنند و هم پاسخ بین المللی برای این مسأله داشته باشند،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صورت توانستم خودم را قانع کنم و اسلامی هم که به آن مؤمن هستم، دینی طرفدار حقوق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اعتبارات و ادلّه را در نظر گرفتم و به این نتیجه رسیدم، شخص دیگری ممکن است به نتیجة دیگری برسد، من ضامن نظر او نیستم، او هم در نظرش یا یک اجر دارد و یا دو اجر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للمصیب أجرین و للمخطئ أجراً واحداً</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مهرپور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دیگری در مورد شهادت زن مطرح است، فرض کنید تخلّفی رخ داده و پنج زن، شاهد 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شاهدی برای این تخلّف بخواهند، باید چهار زن در دادگاه حضور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پنج مرد این تخلّف را دیده باشند، رفتن دو نفر از آنان برای ادای شهادت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مواردی نشان دهندة ارزش کمتر شهادت زن‌هاست یا گرفتاری تعداد بیشتری از آنان؟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العظمی صانعی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خانم‌ها بهمحکمه نروند؛ به این دلیل می‌گوییم قاضی به جای استفاده از شهادت آنان، به دنبال ادلّة دیگری بگردد، تا زن‌ها پایشان به محکمه کشیده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استفاده از شهادت زن‌ها را مشکل کرده تا آنها کمتر به دادگاه رفت و آمد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من در مورد شهادت </w:t>
      </w:r>
    </w:p>
    <w:p>
      <w:pPr>
        <w:pStyle w:val="BookText"/>
        <w:rPr/>
      </w:pPr>
      <w:r>
        <w:rPr>
          <w:rFonts w:ascii="IRNazanin" w:hAnsi="IRNazanin" w:eastAsia="IRNazanin"/>
          <w:color w:val="111111"/>
          <w:sz w:val="28"/>
          <w:sz w:val="28"/>
          <w:szCs w:val="28"/>
          <w:rtl w:val="true"/>
          <w:lang w:bidi="fa-IR"/>
        </w:rPr>
        <w:t>زن‌ها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تلقی هم با دیدگاه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 عَیٌ و عَورة</w:t>
      </w:r>
      <w:r>
        <w:rPr>
          <w:rFonts w:eastAsia="IRNazanin" w:cs="IRNazanin"/>
          <w:color w:val="111111"/>
          <w:sz w:val="28"/>
          <w:szCs w:val="28"/>
          <w:rtl w:val="true"/>
          <w:lang w:bidi="fa-IR"/>
        </w:rPr>
        <w:t>»</w:t>
      </w:r>
      <w:r>
        <w:rPr>
          <w:rStyle w:val="FootnoteAnchor"/>
          <w:rtl w:val="true"/>
        </w:rPr>
        <w:footnoteReference w:id="3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سازگار است و هم با دیدگاهی که پیش‌بینی می‌کند زن‌ها در آینده وقتشان بسیار ارزشمندتر از آن است که آن را در دادگاه تلف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نه حقی از زن‌ها ضایع شده، نه ارزشی را از دست دادند و نه تضعیفی صورت گرفته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مسألۀ دیگر در مورد خود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هر شاهدی را برای شهادت دادن قبول می‌کنیم؟ شاهد باید عادل باشد؛ یعنی باید ملکة عدالت داشته باشد و مرتکب گناهان کبیره نشده و اصرار بر صغیره نداشته باشد؛ حتی خلاف مروّت هم انجام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کسی که می‌خواهد شهادت بدهد، باید تمام خصوصیات جرم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تاریخ قضایاسلامی، شما به ندرت یک حکم جزایی خواهید دید که قاضی فقط با حکم دو شاهد عادل، حکمی صادر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مواردی بسیار نادر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مهرپور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شما در پاسخ به این‌که چرا اسلام شهادت زن و مرد را مساوی نمی‌داند این است که اسلام نمی‌خواهد زن‌ها به دادگاه رفت و آمد داشته</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نکتة دیگری مطرح است و آن این‌که در طلاق باید دو مرد عادل شاهد باشند و شهادت دهند تا طلاق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زن عادل شاهد باشند و شهادت دهند، طلاق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العظمی صانعی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طلاق اصلاً ربطي به باب شهادت مورد بحث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طلاق، قید و 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در طلاق گذاشته شده که طلاق با حضور دو نفر صورت گیرد وگرنه کسانی که شاهد می‌شوند نه زن طلاق داده شده را می‌شناسند نه مرد طلاق دهنده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مطلِّق می‌گوید زن فلانی مطلّقه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شاهدها اصلاً نمی‌دانند فلانی اسمش چیست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بنابراین، اوّلاً اعتبار و شرط بودن شهادت در اجرای صیغه طلاق مربوط به مقام ثبوت است والّا واضح است که نسبت به مقام اثبات و شهادتِ 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باب دعاوی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شناخت و معرفت شاهد وجود دارد؛ چرا که اگر او را نشناسند، چگونه می‌توان شهادت او را أخذ نمود؟ و ثانیاً نشان دهنده آن است که حقی از طلاق دهنده ضایع نگردیده است؛ چرا که لازم نیست طلاق دهنده حتماً دو شاهد را بشناسد تا تکلیف زیادتری بر عهده‌اش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آن‌که کفایت ننمودن شهادت زنان در این مقام به خاطر جلوگیری از تسریع در امر طلاق در جامعه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فقهی شهادت زن در اسلام، 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مهرپور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 اسلام تفاوتی میان زن و مرد قائل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این‌طور است، در مورد شهادت هم نباید تفاوت قائل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وَاستَشهِدوُا شَهيدَينِ مِن رِجالِکُم فَإِنْ لَمْ يَكُونا رَجُلَيْنِ فَرَجُلٌ وَ امْرَأَتانِ مِمَّنْ تَرْضَوْنَ مِنَ الشُّهَداءِ أَنْ تَضِلَّ إِحْداهُما فَتُذَكِّرَ إِحْداهُمَا الْأُخْرى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چطور از زنان با گمراهی یاد شده ولی چنین صفتی به مردها نسبت داده نشده است؟</w:t>
      </w:r>
    </w:p>
    <w:p>
      <w:pPr>
        <w:pStyle w:val="BookText"/>
        <w:rPr/>
      </w:pPr>
      <w:r>
        <w:rPr>
          <w:rFonts w:ascii="IRNazanin" w:hAnsi="IRNazanin" w:eastAsia="IRNazanin"/>
          <w:color w:val="111111"/>
          <w:sz w:val="28"/>
          <w:sz w:val="28"/>
          <w:szCs w:val="28"/>
          <w:rtl w:val="true"/>
          <w:lang w:bidi="fa-IR"/>
        </w:rPr>
        <w:t>آيت الله العظمی صانعی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شما به معناي گمراهي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معنايش نسيان است به قرينه اين‌که در ادامه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ذکر در مقابل و ضد نسيان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زن ممکن است در امور منزل، در امور عاطفی و در امور مادری، گاهی چیزی را فراموش کند و در آیه تصریح شده است که دو زنلازم است که اگر یکی یادش رفت، دیگری یادش باشد</w:t>
      </w:r>
      <w:r>
        <w:rPr>
          <w:rFonts w:eastAsia="IRNazanin" w:cs="IRNazanin"/>
          <w:color w:val="111111"/>
          <w:sz w:val="28"/>
          <w:szCs w:val="28"/>
          <w:rtl w:val="true"/>
          <w:lang w:bidi="fa-IR"/>
        </w:rPr>
        <w:t>.</w:t>
      </w:r>
      <w:r>
        <w:rPr>
          <w:rStyle w:val="FootnoteAnchor"/>
          <w:rtl w:val="true"/>
        </w:rPr>
        <w:footnoteReference w:id="3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خدمتتان عرض کنم؛ به نظر من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دین طرف دار زنان است به معنای اینکه کارهای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 و دشوار را بر عهده مرد گذاشته و راحتی‌ها و آسایش‌ها را برای زن قرار داده است، سخنی گزاف نگفته‌ایم</w:t>
      </w:r>
      <w:r>
        <w:rPr>
          <w:rFonts w:eastAsia="IRNazanin" w:cs="IRNazanin"/>
          <w:color w:val="111111"/>
          <w:sz w:val="28"/>
          <w:szCs w:val="28"/>
          <w:rtl w:val="true"/>
          <w:lang w:bidi="fa-IR"/>
        </w:rPr>
        <w:t xml:space="preserve">. </w:t>
      </w:r>
      <w:bookmarkStart w:id="29" w:name="pg9392_88021"/>
    </w:p>
    <w:p>
      <w:pPr>
        <w:pStyle w:val="Heading3"/>
        <w:numPr>
          <w:ilvl w:val="2"/>
          <w:numId w:val="1"/>
        </w:numPr>
        <w:rPr/>
      </w:pPr>
      <w:bookmarkStart w:id="30" w:name="__RefHeading___Toc5532546_2870459653"/>
      <w:bookmarkStart w:id="31" w:name="_Toc10"/>
      <w:bookmarkEnd w:id="29"/>
      <w:bookmarkEnd w:id="30"/>
      <w:r>
        <w:rPr>
          <w:rtl w:val="true"/>
        </w:rPr>
        <w:t>دیه</w:t>
      </w:r>
      <w:bookmarkEnd w:id="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مهرپور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مسأله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یک آیه راجع به دیه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إلی أهلِهِ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آیه، نه چیزی در مورد زن و مرد بودن مطرح شده و نه در مورد میزان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روایات بازگردیم، روایات در این خصوص دوگونه‌اند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علمای اهل سنت و شیعه به آن تمسّک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المرأ ِ نِصفُ الرَّجلِ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مهمترین سندی است که اهل سنت به آن استناد می‌کنند و می‌گویند در نامه پیامبر صلی الله علیه و آله به عمرو بن حزم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مأ ٌمن الإبل</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است که اِبن‌علیّه و اَصمّ از علمای اهل سنت نقل کرده‌اند</w:t>
      </w:r>
      <w:r>
        <w:rPr>
          <w:rStyle w:val="FootnoteAnchor"/>
          <w:rtl w:val="true"/>
        </w:rPr>
        <w:footnoteReference w:id="41"/>
      </w:r>
      <w:r>
        <w:rPr>
          <w:rFonts w:ascii="IRNazanin" w:hAnsi="IRNazanin" w:eastAsia="IRNazanin"/>
          <w:color w:val="111111"/>
          <w:sz w:val="28"/>
          <w:sz w:val="28"/>
          <w:szCs w:val="28"/>
          <w:rtl w:val="true"/>
          <w:lang w:bidi="fa-IR"/>
        </w:rPr>
        <w:t xml:space="preserve">و بنابراین چون نفس بر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اطلاق است؛ در نتیجه دیه هر دو یکی می‌شود که البته این نظریه در میان فقهای اهل سنت و شیعه اعتبار چندانی ندارد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المرأ ِ نِصفُ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المُوطَّأ مالک بیان شده و در تاریخ طبری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در احکام القرآن مبنای دیه را رتبه و اعتبار اشخاص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مبنا براساس تفاضل و مرتبه باشد باید </w:t>
      </w:r>
    </w:p>
    <w:p>
      <w:pPr>
        <w:pStyle w:val="BookText"/>
        <w:rPr/>
      </w:pPr>
      <w:r>
        <w:rPr>
          <w:rFonts w:ascii="IRNazanin" w:hAnsi="IRNazanin" w:eastAsia="IRNazanin"/>
          <w:color w:val="111111"/>
          <w:sz w:val="28"/>
          <w:sz w:val="28"/>
          <w:szCs w:val="28"/>
          <w:rtl w:val="true"/>
          <w:lang w:bidi="fa-IR"/>
        </w:rPr>
        <w:t>مراتب افراد را بسنجیم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زن هم که پایین‌تر از مرتبة مرد است و لذا دیه‌اش هم نسبت بهمرد کم‌تر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مسألة دیگر در مورد دیة اعضا و جوارح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فقهای اهل سنت معتقدند دیة زن نصف مرد است، حالا چه کم باشد و چه زیاد، چه نفس باشد و چه اعضاء</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مشهور فقهای ما در قانون مجازات معتقدند که مرد و زن تا ثلث دیه کامل، مساوی‌اند و از ثلث به بالا، دیه نصف می‌شود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اغلب اهل تسنن هم همین اعتقاد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این اعتقاد روایتی معروف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امام سؤال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دیة یک انگشت زن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دية يک انگشت ده شتر؛ دو انگشت، بیست شتر؛ سه انگشت سی شتر؛ چهار انگشت که می‌شود، برمی‌گردد به بیست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وقتی این پاسخ را از امام می‌شنود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قبلاً این پاسخ را شنیده بودم 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جاء به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حکم به این صورت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پاسخش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حکم رسول الله صلی الله علیه و آله ، إنَّ المرأ تقابل الرجل إلى ثلث الدي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بلغت الثلث رجعت إلی النصف</w:t>
      </w:r>
      <w:r>
        <w:rPr>
          <w:rFonts w:eastAsia="IRNazanin" w:cs="IRNazanin"/>
          <w:color w:val="111111"/>
          <w:sz w:val="28"/>
          <w:szCs w:val="28"/>
          <w:rtl w:val="true"/>
          <w:lang w:bidi="fa-IR"/>
        </w:rPr>
        <w:t>».</w:t>
      </w:r>
      <w:r>
        <w:rPr>
          <w:rStyle w:val="FootnoteAnchor"/>
          <w:rtl w:val="true"/>
        </w:rPr>
        <w:footnoteReference w:id="4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عالی فتوا دادید که دیة زن و مرد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بفرمایید با توجه به این روایات، چگونه به این نتیجه رسیدید؟ به هر حال، تفاوت میان زن و مرد را باید براساس آیات و روایات اثبات کرد و یا آن را به صورت تعبدی پذیرفت، اما توجیه این مسأله به صورت تعبدی به نظر من خیلی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عنوان یک دین، قرار است حکومت کند و احکام اجتماعی را با توجه به روابط اجتماعی مردم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مسأله‌ای قابل توجیه نباشد، به </w:t>
      </w:r>
    </w:p>
    <w:p>
      <w:pPr>
        <w:pStyle w:val="BookText"/>
        <w:rPr/>
      </w:pPr>
      <w:r>
        <w:rPr>
          <w:rFonts w:ascii="IRNazanin" w:hAnsi="IRNazanin" w:eastAsia="IRNazanin"/>
          <w:color w:val="111111"/>
          <w:sz w:val="28"/>
          <w:sz w:val="28"/>
          <w:szCs w:val="28"/>
          <w:rtl w:val="true"/>
          <w:lang w:bidi="fa-IR"/>
        </w:rPr>
        <w:t xml:space="preserve">این معناست که یا مصلحتی نداشته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مصلحتنداشتن آن را نمی‌پذیریم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مصلحتی دارد که دور از دسترس همه است و در طول قرون، هر چه بشر پیشرفت کرده به آن پی نبرده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العظمی صانعی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روایات دیه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وحدت سیاق روایات طوری است که همة آنها به عمد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روایات، سنداً و دلالتاً، دلیلی نداریم که بگوییم دیة شبه عمد و خطا با دیه در عمد نسبت به زنان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من هم بر طبق همین ملاک است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چیزی که باقی می‌ماند و باید مسأله‌اش حل شود، 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شما اشاره کرديد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روشن یا هم عمد و خطا را دربرمی‌گیرد یا فقط به خطا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صحیحه بسیار معروف است و شخصیت خود ابان هم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عصر امام سجاد،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کرده و از محدّثینی است که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دارم شما در مسجد بنشينيد و فتوا بدهيد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هنگامیکه ابان از </w:t>
      </w:r>
    </w:p>
    <w:p>
      <w:pPr>
        <w:pStyle w:val="BookText"/>
        <w:rPr/>
      </w:pPr>
      <w:r>
        <w:rPr>
          <w:rFonts w:ascii="IRNazanin" w:hAnsi="IRNazanin" w:eastAsia="IRNazanin"/>
          <w:color w:val="111111"/>
          <w:sz w:val="28"/>
          <w:sz w:val="28"/>
          <w:szCs w:val="28"/>
          <w:rtl w:val="true"/>
          <w:lang w:bidi="fa-IR"/>
        </w:rPr>
        <w:t>امام علیه السلام در مورد دیه سؤال می‌کند، فردی فقیه و ملاّ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اين صحیحه مُبعِّداتی دارد که من تصوّر نمی‌کنم، بتوان حجیت آن را پذیرفت و آن را قابل احتجاج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این حدیث به خاطر شواهد و مبعداتی که ذکر می‌کنم، یا از روی تقیه صادر شده و یا سهو و نسیان و یا عوارض دیگری در آن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جریان اصول عقلائی عدم خطا و عدم تقیه در امثال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از نظر سند صحیح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بلکه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حجیت روایت منوط به آن جریان اصول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مُبعِّدات روایت این است که ادب و تربیت یک محدّث و فقیه اقتضا نمی‌کند، با امامی که خودش را تسلیم ارزش‌هاي علوم او کرده است، این‌گونه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ابان از امام علیه السلام سؤال می‌کند و امام علیه السلام در پاسخ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یک انگشت، ده شتر، در مقابل دو انگشت، بیست شتر، در مقابل سه انگشت، سی شتر و در مقابل چهار انگشت، بیست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ابان اینجا پیش خودش متعجب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وقتی صدمه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آن کاهش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حکم را شنیده بودم و مي‌پنداشتم از جانب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درک فقهی و شم الحدیثی من معتقدم ابان، نمی‌تواند چنین چیزی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چنین جوابي از </w:t>
      </w:r>
    </w:p>
    <w:p>
      <w:pPr>
        <w:pStyle w:val="BookText"/>
        <w:rPr/>
      </w:pPr>
      <w:r>
        <w:rPr>
          <w:rFonts w:ascii="IRNazanin" w:hAnsi="IRNazanin" w:eastAsia="IRNazanin"/>
          <w:color w:val="111111"/>
          <w:sz w:val="28"/>
          <w:sz w:val="28"/>
          <w:szCs w:val="28"/>
          <w:rtl w:val="true"/>
          <w:lang w:bidi="fa-IR"/>
        </w:rPr>
        <w:t>ناحيه ابان حجّت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تقریب به ذهن مثال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خود ما، کسی که ارادت تام به حضرت امام قدس سره داشت، خدمت ایشان می‌رفت و از امام سؤالی می‌پرسید و امام پاسخی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پاسخ با فکر سؤال کننده نمی‌ساخت و آن مرید خالص به امام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حرف شما را شاه هم گفته بود، شیطان هم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چنین چیزی را باور می‌کنید؟ اصلاً ادب در مقابل کسی که انسان به عظمت او از تمام جوانب اعتقاد دارد، چنین اقتضایی دارد؟ من که چنین تصوری ندارم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مُبَعِّد دوم این است که براساس اين روايت امام علیه السلام در جواب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دچار قياس شده‌اي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که شبهة مطرح شده از ناحيه ابان ناشي از قیاس نیست؛ بلکه نشأت گرفته از یک فهم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پر از فهم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يکی ده شتر، دو تا بيست شتر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می‌شود و باب ضمان وحی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مانند طواف خانه خدا نیست که بگوییم تعبّد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همه جا از این فهم عرفی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که ابان می‌گوید کجایش قیاس است که امام در جواب بفرمايند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 أَخذتَني بالقیاس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ابان فهم عرفی است، بلکه اگر قیاس هم هست قیاس اولویت است و اصلاً متعلق به باب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ابان اين است که چگونه مي‌شود ضرر بیشتر، و خسارت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کجايش قياس است، آنچه که در روايت آمده به ظاهر خلاف عقل و قانون ضمان عقلايی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وقتی قطع یک انگشت ده شتر، دو تا بیست تا، سه تا سی تا باشد طبعاً چهار تا انگشت قطع شود چهل تا شتر ديه‌اش می‌شود، نه بیست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امام معصومی که مسائل را با ذکر علل، تقریب به اذهان می‌کند، این‌گونه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 و حکیم باید تا آنجایی که می‌تواند، مطلب را اقناعی جا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من این‌طور می‌گویم، کم‌تر در فقه ما هست و شاید آن موارد نادر هم، علم ما به آن نرسد که منظور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امام سؤال شود، امام پاسخ بدهد و جواب برای ابان سنگین باشد و امام برای اقناع او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فقط من نمی‌گویم، پیامبر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نشد اقناع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ابان که به شخص گوینده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برنمی‌گشت که امام علیه السلام بگوید پیامبر صلی الله علیه و آله هم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ابان به دنبال جواب اشکال خودش است که از این حکمِ عدمِ تناسب ضرر و خسارت قانع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بنده ما یا باید این روایت را کنار بگذاریم و بگوییم حجت نیست، چون ادلة حجیت روایت که بنای عقلاست، این‌جور روایت‌ها را حجت نمی‌داند، و یا این‌که بگوییم به آن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نه سؤالش درست است و نه جوابش، و علاوه بر آن مطابق روش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شاگردان آنان هم نیست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فکر می‌کنم در اینجا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p>
    <w:p>
      <w:pPr>
        <w:pStyle w:val="BookText"/>
        <w:rPr/>
      </w:pPr>
      <w:r>
        <w:rPr>
          <w:rFonts w:ascii="IRNazanin" w:hAnsi="IRNazanin" w:eastAsia="IRNazanin"/>
          <w:color w:val="111111"/>
          <w:sz w:val="28"/>
          <w:sz w:val="28"/>
          <w:szCs w:val="28"/>
          <w:rtl w:val="true"/>
          <w:lang w:bidi="fa-IR"/>
        </w:rPr>
        <w:t>و امام خواستند بفرمایند که ما حرف عامه را می‌زنیم</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عامه هم که این را می‌گویند، از باب قیاس نمی‌گویند، آنها هم به گفتة رسول الله صلی الله علیه و آله تمسک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ممکن است اشکال کنید که مگر تقیه تا این حد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معتقدم بعضی اوقات تقیه آن‌قدر می‌شود که باید گفت از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بشود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زرارة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روزي مرا خواست و فرمود بر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بن 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بدگويي کردم، و عيب در تو گذاشتم، تو مدافع من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و دشمن به دنبال کساني هستند که از نزديکان ما هستند و ما از آنها ستايش مي‌کنيم؛ تا آنها را مورد اذيت و آزار و قتل قرار دهند و کسي که او را عيب‌جويي مي‌کنيم مورد ستايش قرار مي‌دهند، به پدرت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عمداً عيب‌جويي کردم چون تو مرد مشهور و محبوب نزد ما هستي و تو را مورد عيب قرار دادم تا از شر آنها مصون بماني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221</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بنگرید که چقدر کار بر مثل امام صادق علیه السلام مشکل شده که مجبور شود از زراره‌ای که از محدثین بزرگ، شاید چهار نفر در علم و تقوا و حفظ حدیث مثل او پیدا نشود و آن همه از او در روایات تعریف شده باشد، به ظاهر مذمّت نماید و او را مورد قدح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ما پر است از این تقیه‌ها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موقعیت امام معصوم علیه السلام را در آن دوران در نظرگرفت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احتمال می‌دهم محتواي حديث ابان</w:t>
      </w:r>
    </w:p>
    <w:p>
      <w:pPr>
        <w:pStyle w:val="BookText"/>
        <w:rPr/>
      </w:pPr>
      <w:r>
        <w:rPr>
          <w:rFonts w:ascii="IRNazanin" w:hAnsi="IRNazanin" w:eastAsia="IRNazanin"/>
          <w:color w:val="111111"/>
          <w:sz w:val="28"/>
          <w:sz w:val="28"/>
          <w:szCs w:val="28"/>
          <w:rtl w:val="true"/>
          <w:lang w:bidi="fa-IR"/>
        </w:rPr>
        <w:t>همان حکم عامه است؛ ریشة حکم هم از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نصف بودن دیه را از رسول الله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وگرنه ما در روایات خاصه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تقیه می‌کردند و می‌گفتند حکم عامه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 اینکه اصلاً نمی‌خواستند بگویند قیاس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رسول الله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 در نتيجه، اگر این روایت را حجت ندانیم، مي‌ماند و بقیه روایات دیه که متضمن بیان مقدار است و آیه شریفه هم مطلق دیه را گفته است که همگي شامل مرد و زن می‌شوند، و در مورد زن و مرد بودن چیزی بیان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و مرد در دیه مساوی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مهرپور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شما این روایت قابل اعتماد نیست؟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العظمی صانعی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اضطراب متن دارد</w:t>
      </w:r>
      <w:r>
        <w:rPr>
          <w:rFonts w:eastAsia="IRNazanin" w:cs="IRNazanin"/>
          <w:color w:val="111111"/>
          <w:sz w:val="28"/>
          <w:szCs w:val="28"/>
          <w:rtl w:val="true"/>
          <w:lang w:bidi="fa-IR"/>
        </w:rPr>
        <w:t xml:space="preserve">. </w:t>
      </w:r>
      <w:bookmarkStart w:id="32" w:name="pg9392_88029"/>
    </w:p>
    <w:p>
      <w:pPr>
        <w:pStyle w:val="Heading3"/>
        <w:numPr>
          <w:ilvl w:val="2"/>
          <w:numId w:val="1"/>
        </w:numPr>
        <w:rPr/>
      </w:pPr>
      <w:bookmarkStart w:id="33" w:name="__RefHeading___Toc5532548_2870459653"/>
      <w:bookmarkStart w:id="34" w:name="_Toc11"/>
      <w:bookmarkEnd w:id="32"/>
      <w:bookmarkEnd w:id="33"/>
      <w:r>
        <w:rPr>
          <w:rtl w:val="true"/>
        </w:rPr>
        <w:t>قصاص</w:t>
      </w:r>
      <w:bookmarkEnd w:id="34"/>
    </w:p>
    <w:p>
      <w:pPr>
        <w:pStyle w:val="Heading4"/>
        <w:numPr>
          <w:ilvl w:val="3"/>
          <w:numId w:val="1"/>
        </w:numPr>
        <w:rPr/>
      </w:pPr>
      <w:bookmarkStart w:id="35" w:name="__RefHeading___Toc5532550_2870459653"/>
      <w:bookmarkStart w:id="36" w:name="_Toc12"/>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دکتر مهرپور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مسأله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مستحضرید، بنابر فقه ما اگر مردی زنی را بکشد، برای قصاص مرد باید نصف دیه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روشن شود توجیهات عارضی این حکم چیست؟ آیا بر مبنای کمتر بودن ارزش زن نسبت به مرد است؟ چون در موارد دیگر هم ما در فقه داریم که فرد برتر و بالاتر را در مقابل فرد پست‌تر و فروتر قصاص نمی‌کنند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در فقه شيعي چنين نيست که افراد بالاتر در برابر افراد فروتر قصاص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امکان دارد در دو مورد حق با آقاي مهرپور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قصاص حرّ در برابر عبد، دومي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قصاص مسلمان در مقابل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اول که در حال حاضر مصداق ندارد و مورد دوم هم که حضرت آيت‌الله العظمي صانعي، اعتقاد دارند که مسلمان با غير مسلمان در حکم قصاص مساوي هستند و ديه آنها با يکديگر برابر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زندگي</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برابري 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روایتی داریم که بنابر آن اگر زنی مردی را بکشد، هم زن باید قصاص شود و هم بستگان زن باید نصف دیه را به خانواده مرد پرداخت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ظاهراً به این روایات عمل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مورد قصاص هم تعادل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فقهای اهل سنت به ردّ نصف دیه قائل نیستند، و معتقدند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یُقتل الرَّجل بالمَرأ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بعضی از فقهای اهل سنت، نظرشان مانند فقهای شیعه است و در بین فقهای شیعه هم این حکم اجماعی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سه نوع آیه دربارۀ قصاص 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 به صورت تفصيل آمده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الْقِصَاصُ فِي الْقَتْلَى الْحُرُّ بِالْحُرِّ وَ الْعَبْدُ بِالْعَبْدِ وَ الْأُنْثَى بِالْأُنْثَى</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به نظر من این آیه دو نکته را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تشریع حکم قصاص و مفید بودن آن؛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در 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شأن نزول آیه این است که قبلاً اگر کسی کشته می‌شد، خانواده مقتول یا افراد بیشتری از خانواده قاتل را می‌کشتند و یا فردی را که شأن بالاتری داشت، در مقابل او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می‌خواهد بگوید که فقط قاتل را قصاص کنید زن باشد یا مرد، عبد باشد یا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روایاتی که از ائمة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و به حضرت رسول صلی الله علیه و آله باز می‌گردد، بیان نشده که باید درباره زن نصف دیه پرداخت شود؛ ولی در بعضی از روایات، استرداد دیه یا راضی شدن خانوادة زن به گرفتن نصف دية، مطرح است</w:t>
      </w:r>
      <w:r>
        <w:rPr>
          <w:rFonts w:eastAsia="IRNazanin" w:cs="IRNazanin"/>
          <w:color w:val="111111"/>
          <w:sz w:val="28"/>
          <w:szCs w:val="28"/>
          <w:rtl w:val="true"/>
          <w:lang w:bidi="fa-IR"/>
        </w:rPr>
        <w:t>.</w:t>
      </w:r>
      <w:r>
        <w:rPr>
          <w:rStyle w:val="FootnoteAnchor"/>
          <w:rtl w:val="true"/>
        </w:rPr>
        <w:footnoteReference w:id="5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چنین احکامی، این شبهه پیش می‌آید که زن شأن پایین‌تری نسبت به مرد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پاسخ به این شبهه که مقام مرد بالاتر از زن است، درصدد توجیه برآمدند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مرد نان‌آور خانواده است و زن نان‌خور است، ارزش بیشتری برای مرد در نظر گرفته شده است؛ چون از دست رفتن مرد، ضربه اقتصادی به خانواده می‌زند، پس باید نصف دیه را بدهند که خانواده این مرد تا حدودی تأمین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پاسخ محکمی نیست؛ چون معیارها می‌تواند عوض شود کما این‌که در حال عوض شدن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بود که زن هیچ نقشی در تأمین معاش </w:t>
      </w:r>
    </w:p>
    <w:p>
      <w:pPr>
        <w:pStyle w:val="BookText"/>
        <w:rPr/>
      </w:pPr>
      <w:r>
        <w:rPr>
          <w:rFonts w:ascii="IRNazanin" w:hAnsi="IRNazanin" w:eastAsia="IRNazanin"/>
          <w:color w:val="111111"/>
          <w:sz w:val="28"/>
          <w:sz w:val="28"/>
          <w:szCs w:val="28"/>
          <w:rtl w:val="true"/>
          <w:lang w:bidi="fa-IR"/>
        </w:rPr>
        <w:t>خانواده نداشت، ولی الآن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آماری که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در کنفرانس جهانی زندر پکن ارائه کرد اعلام شد که یک چهارم زنان دنیا، متکفّل مخارج زندگی خانواده هستند و بیش از یک سوم هم در تأمین مخارج زندگیشان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مسائل نظرتان را در این مورد بفرمایید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العظمی صانعی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مسألة قتل عمد، چون مرد نان‌آور خانواده است، اسلام در مورد قصاص تفاوت قرار داده است و شما اشکال کردید که اگر نقش زن‌ها مانند مردها شود، دیگر چه تفاوتی باقی می‌ماند؟ بنده عرض می‌کنم اسلام با توجه به قوانین خاص خودش چنین حکمی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قوانین اسلام این است که نفقۀ زن و قرار دادن مهریه بر مرد واجب است و حتی شرط نداشتن مهر موجب بطلان نکاح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میان قانون اسلام و فرهنگ‌ها که ممکن است عوض شوند، تفاوت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اسلام است که نفقة زن و بچه‌ها بر عهده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درست نیست که با تفاوت فرهنگ بخواهیم آن را بر عهده زن بگذاریم و بعد بحث کنيم که حالا تکلیف قصاص چه می‌شود؟ اگر نان‌آور خانواده‌ای کشته شد، اهرم فشار دست اولیای 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یا می‌گویند می‌خواهیم طبق آیۀ </w:t>
      </w:r>
      <w:r>
        <w:rPr>
          <w:rFonts w:ascii="Amiri" w:hAnsi="Amiri" w:eastAsia="Amiri" w:cs="Amiri"/>
          <w:color w:val="111111"/>
          <w:sz w:val="28"/>
          <w:sz w:val="28"/>
          <w:szCs w:val="28"/>
          <w:rtl w:val="true"/>
          <w:lang w:bidi="ar-SA"/>
        </w:rPr>
        <w:t>وَ لَکُم فِی القِصاصِ حَیاةٌ</w:t>
      </w:r>
      <w:r>
        <w:rPr>
          <w:rStyle w:val="FootnoteAnchor"/>
          <w:rtl w:val="true"/>
        </w:rPr>
        <w:footnoteReference w:id="53"/>
      </w:r>
      <w:r>
        <w:rPr>
          <w:rFonts w:ascii="IRNazanin" w:hAnsi="IRNazanin" w:eastAsia="IRNazanin"/>
          <w:color w:val="111111"/>
          <w:sz w:val="28"/>
          <w:sz w:val="28"/>
          <w:szCs w:val="28"/>
          <w:rtl w:val="true"/>
          <w:lang w:bidi="fa-IR"/>
        </w:rPr>
        <w:t>قصاص کنیم که این آیه هم در مورد مرد است و هم در مورد زن و هر دو را می‌توان قصاص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مقابل قتلی </w:t>
      </w:r>
    </w:p>
    <w:p>
      <w:pPr>
        <w:pStyle w:val="BookText"/>
        <w:rPr/>
      </w:pPr>
      <w:r>
        <w:rPr>
          <w:rFonts w:ascii="IRNazanin" w:hAnsi="IRNazanin" w:eastAsia="IRNazanin"/>
          <w:color w:val="111111"/>
          <w:sz w:val="28"/>
          <w:sz w:val="28"/>
          <w:szCs w:val="28"/>
          <w:rtl w:val="true"/>
          <w:lang w:bidi="fa-IR"/>
        </w:rPr>
        <w:t>که واقع شده، پولی طلب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وقتی مردو نان‌آور خانواده‌ای کشته شد، اسلام طبق قانون خودش در این مورد فتوا می‌دهد، نه طبق فرهنگ هر زمانه‌ای که ممکن است در طی قرون و اعصار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اسلام، چون مرد نان‌آور خانواده است و با از دست رفتن او به خانواده و اقتصاد خانواده لطمه وارد می‌شود، این لطمه و صدمه باید از طریقی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 واجب النفقة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خودش دلش می‌خواهد کار کند و از شوهرش نفقه نگیرد،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تفاوت شرایط فرهنگی نمی‌توان در اصل حکم قصاص تغییری داد؛ ولی اگر اولیای زن، توان پرداخت فاضل دیه را نداشتند، به نظر این جانب پرداخت فاضل دیه ساقط است و اولیای زن مقتول می‌توانند بدون پرداخت فاضل دیه، مردِ قاتل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بنابر احتیاط بعد از توان پرداخت، فاضل دیه را باید بپردازند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عام شامل سوره‌های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آیه</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نحل، آیه</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بقره، آیه</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نساء،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حجرات،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قرآن کریم همه آدمیان را فرزندان آدم و حوّا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در مبداء آفرینش و استعدادهای انسانی میان آنها فرق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روایات کلی و مطلق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مساوات و برابری انسان‌ها که این اطلاق و صراحت آنها در دلالت، با مذاق شریعت و جهت‌گیری کلی کتاب و سنت در مساوات و برابری انسان‌ها تأیید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 اطلاقات به صراحت می‌توان بر برابری زن و مرد، برده و آزاد، مسلمان و کافر در قصاص حکم کرد؛ چنان که نسبت به ملیّت، رنگ و نژاد هم مزیّتی متصور نیست و حکم به برابری در اینجا هم جریان 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بانوان،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معظم‌له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مبنای اخیر این جانب که اساساً ردّ نصف لازم نیست و در قصاص مرد و زن، همانند دیه تفاوت نیست و روایات دالّه بر ردّ نصف در قصاص مرد به زن، با روایات دالّۀ بر حکم عکسش تعارض دارد،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همچنین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التعلیقة علی تحریر الوسیلة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و فقه الثقلين في شرح تحرير الوسيلة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فقه و زندگی</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 قصاص زن و مرد، مسلمان و غیر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فقه و زندگی</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 دیه زن و مرد، مسلمان و غیر مسلمان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مهرپور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عالی فتوا داده‌اید که دیة زن و مرد مساوی است؛ اما در بعضی روایات مثلاً به صورت مطلق از امام صادق علیه السلام داریم که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 نصف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بعضی از اهل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اتفاقی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دیة زن نصف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عمرو بن حزم هم داریم که دیة زن نصف دیة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دارد که صحابه بر این امر اتفاق کرده‌اند که دیة زن نصف مرد است و سندش را به محدّثین معتبر نسبت می‌دهند که از قول حضرت علی علیه السلام بیان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العظمی صانعی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بحث قضای کتاب جواهر را نگاه کنید، آنجا شرایط قاضی را که آورده </w:t>
      </w:r>
    </w:p>
    <w:p>
      <w:pPr>
        <w:pStyle w:val="BookText"/>
        <w:rPr/>
      </w:pPr>
      <w:r>
        <w:rPr>
          <w:rFonts w:ascii="IRNazanin" w:hAnsi="IRNazanin" w:eastAsia="IRNazanin"/>
          <w:color w:val="111111"/>
          <w:sz w:val="28"/>
          <w:sz w:val="28"/>
          <w:szCs w:val="28"/>
          <w:rtl w:val="true"/>
          <w:lang w:bidi="fa-IR"/>
        </w:rPr>
        <w:t xml:space="preserve">مرد 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می‌آورد که اکثر این شرط‌ها از اهل سنت گرفته شده است</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آنها نوعاً با زن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سرّش هم مخالفت با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نمی‌خواستند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می‌بینید احکام راجع به زن‌ها از نظر عامه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اردبیلی می‌گوید در این مورد، یعنی نصف بودن دیة 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أعرفه فکأنّه إجماع أو نصّ ما اطلعت علیه</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مهرپور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مورد قصاص نظری خلاف دیه را دارند، آنجا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 الرجل بالمرأ 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العظمی صانعی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اين نظر به دلیل ضعف دقت فقهی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 الرجل بالمرأة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قرآن و آیة قصاص</w:t>
      </w:r>
      <w:r>
        <w:rPr>
          <w:rStyle w:val="FootnoteAnchor"/>
          <w:rtl w:val="true"/>
        </w:rPr>
        <w:footnoteReference w:id="57"/>
      </w:r>
      <w:r>
        <w:rPr>
          <w:rFonts w:ascii="IRNazanin" w:hAnsi="IRNazanin" w:eastAsia="IRNazanin"/>
          <w:color w:val="111111"/>
          <w:sz w:val="28"/>
          <w:sz w:val="28"/>
          <w:szCs w:val="28"/>
          <w:rtl w:val="true"/>
          <w:lang w:bidi="fa-IR"/>
        </w:rPr>
        <w:t>است و نمی‌شود کاری با آن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هم یک انسان است؛ اما اینها دیگر دقت لازم را به خرج نداده‌اند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الرجل بالمرأة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قانون نفقه </w:t>
      </w:r>
    </w:p>
    <w:p>
      <w:pPr>
        <w:pStyle w:val="BookText"/>
        <w:rPr/>
      </w:pPr>
      <w:r>
        <w:rPr>
          <w:rFonts w:ascii="IRNazanin" w:hAnsi="IRNazanin" w:eastAsia="IRNazanin"/>
          <w:color w:val="111111"/>
          <w:sz w:val="28"/>
          <w:sz w:val="28"/>
          <w:szCs w:val="28"/>
          <w:rtl w:val="true"/>
          <w:lang w:bidi="fa-IR"/>
        </w:rPr>
        <w:t>مقایسه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مهرپور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هم معتقدند که باید نصف دیه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العظمی صانعی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باب دیه، باب قضاوت، باب خروج از منزل و در بسیاری موارد دیگر خلاف معتدٌّ به بین آنها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مهرپور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قضاوت که جناب‌عالی بهتر از من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چیز دیگری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بیهقی هم از حضرت رسول صلی الله علیه و آله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 على النصف مِن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العظمی صانعی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معتدٌّ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گویای مذهب آنها باشد وجود ندارد و این معنا منافاتی با خلاف‌های نادر ندارد و عرض کردم در روایات، روایتی که از نظر سند و دلالت معتبر باشد و مضمونی همانند مضمون روایت سنن بیهقی که نقلفرمودید و متضمن نصف بودن دیه زن است، مطلقاً بنده با تتبعی که داشته‌ام؛ نیافته‌ام و تنها در وسائل الشيعه،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ابواب دیات النفس،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ابن مسکان عن ابی عبدالله علیه 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دیة المرأة نصف دیة </w:t>
      </w:r>
    </w:p>
    <w:p>
      <w:pPr>
        <w:pStyle w:val="BookText"/>
        <w:rPr/>
      </w:pP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بر آن مضمون دلالت دارد، لکن با قطع نظر از آن‌که چون صدر حدیث مربوط به قتل عمد و دیه در آن باب است، پس می‌توان بر مبنای مِثل صاحب کفایه، که قدر متيقن در مقام تخاطب را مضرّ به اطلاق می‌داند،</w:t>
      </w:r>
      <w:r>
        <w:rPr>
          <w:rStyle w:val="FootnoteAnchor"/>
          <w:rtl w:val="true"/>
        </w:rPr>
        <w:footnoteReference w:id="5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اطلاق ندارد، سند حدیث گرچه صحیح است اما اعتماد به حدیث به خاطر آنکه در سند نقل محمد بن عیسی از یونس وجود دارد، تبعاً لصدوق و شیخه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برای بنده مشکل است، اگر نگویم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تکرار می‌کنم که مقدّس اردبیلی در این مورد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أعرفه فکأنه إجماع أو نصّ ما اطلعت علیه</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مهرپور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یک وقت قانون اسلام عوض شد، یا زمینه به گونه‌ای شد که دیگر مرد ملزم به پرداخت نفقه نبود، آنجا باید چه بگوییم؟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العظمی صانعی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اسلام را که نمی‌توانیم بدون مبنا عوض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نفقه را باید در بحث اجتهادی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نفقه از نظر اسلام به طور مسلّم بر عهدة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ما دو بحث داریم؛ یک بحث این است که اجتهاد و استنباط با حفظ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موازین چه می‌کند؟ بحث دیگر این است که ما با این تصوّر که فرهنگ و جهان هر روز در تحویل و تحوّل است، بخواهیم قوانین اسلام را تغییر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اگر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در سيزده سالگی به تکليف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مبنای فقه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نفقه هم می‌توان ثابت کرد که بر عهده مرد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هم شما و هم دیگران باید برویم بگردیم ببینیم مبنای فقهی برای آن پیدا می‌کنیم یا نه، اگر پیدا کردیم که هیچ؛ اگر پیدا نکردیم، نمی‌توانیم هرجا که به بن‌بستی برخوردیم، بگوییم ممکن است با تفاوت فرهنگ قانون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تلقّی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برخورد کنیم فردا به تدریج اعتقاد مردم به اسلام و احکام اسلامی سست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هر کس اشکال کند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قانون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نمی‌گویم اجتهاد نکنیم، می‌گویم بر مبنای فقه صاحب جواهر و شیخ انصاری و امام امّت</w:t>
      </w:r>
      <w:r>
        <w:rPr>
          <w:rFonts w:eastAsia="IRNazanin" w:cs="IRNazanin"/>
          <w:color w:val="111111"/>
          <w:sz w:val="28"/>
          <w:szCs w:val="28"/>
          <w:lang w:bidi="fa-IR"/>
        </w:rPr>
        <w:softHyphen/>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کنیم و فرهنگ و شرایط اجتماعی را در این موارد دخالت ندهیم؛ اما به زمان و مکان و اشکال‌ها توجه و عنایتداشته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درباره نفقه تحقيق کنید، اگر به نتیجة دیگری رسیدید،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تأمین نفقة زن بر عهدة خودش است نه بر عهدة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بدون مبنای فقهی و فقط به این دلیل که فرهنگ تغییر پیدا کرده است، نمی‌توان قانون اسلام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این‌گونه لغزش‌ها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اسلام عزیز و بزرگ، و فقه و احکام آن را به نابودی می‌کشاند، باید به خداوند توانا پناه برد</w:t>
      </w:r>
      <w:r>
        <w:rPr>
          <w:rFonts w:eastAsia="IRNazanin" w:cs="IRNazanin"/>
          <w:color w:val="111111"/>
          <w:sz w:val="28"/>
          <w:szCs w:val="28"/>
          <w:rtl w:val="true"/>
          <w:lang w:bidi="fa-IR"/>
        </w:rPr>
        <w:t xml:space="preserve">! </w:t>
      </w:r>
      <w:bookmarkStart w:id="37" w:name="pg9392_88039"/>
    </w:p>
    <w:p>
      <w:pPr>
        <w:pStyle w:val="Heading4"/>
        <w:numPr>
          <w:ilvl w:val="3"/>
          <w:numId w:val="1"/>
        </w:numPr>
        <w:rPr/>
      </w:pPr>
      <w:bookmarkStart w:id="38" w:name="__RefHeading___Toc5532552_2870459653"/>
      <w:bookmarkStart w:id="39" w:name="_Toc13"/>
      <w:bookmarkEnd w:id="37"/>
      <w:bookmarkEnd w:id="38"/>
      <w:r>
        <w:rPr>
          <w:rtl w:val="true"/>
        </w:rPr>
        <w:t>تعیین سنّ مسئولیّت كیفری در اجرای قوانین مجازات اسلامی برای كودكان و نوجوانان</w:t>
      </w:r>
      <w:bookmarkEnd w:id="39"/>
    </w:p>
    <w:p>
      <w:pPr>
        <w:pStyle w:val="BookText"/>
        <w:rPr/>
      </w:pPr>
      <w:r>
        <w:rPr>
          <w:rFonts w:ascii="IRNazanin" w:hAnsi="IRNazanin" w:eastAsia="IRNazanin"/>
          <w:color w:val="111111"/>
          <w:sz w:val="28"/>
          <w:sz w:val="28"/>
          <w:szCs w:val="28"/>
          <w:rtl w:val="true"/>
          <w:lang w:bidi="fa-IR"/>
        </w:rPr>
        <w:t>محضر مبارك حضرت آیت اللّه العظمى صانعى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سلام و تقدیم ادب و احترام؛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استحضار شریف مى‌رساند سرویس فقه و حقوق خبرگزارى دانشجویان ایران در نظر دارد نظر حضرتعالى را در خصوص مسائل ذیل جویا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اسلامى، اطفال در صورت ارتكاب جرم، بَرِى از مسئولیت كیفرى هستند و طبق 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منظور از طفل كسى است كه به حد بلوغ شرعى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ماده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بلوغ در پسر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قمرى و در دختر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قمرى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حالى است كه كنوانسیون حقوق كودك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ایران نیز به آن پیوسته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كودكان را 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نظر گرفته است و بر همین اساس، گاهى مشاهده مى‌شود كه قضات دادگاه‌ها و محاكم در صدور احكام،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برخى قضات حد بلوغ شرعى را در نظر مى‌گیرند و نتیجة آن صدور آرا متفاوت در خصوص جرايم مشابه در سنین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حضرتعالى؛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ممكن است قانونگذار به‌جاى لفظ حد بلوغ شرعى سنى را مشخصاً به عنوان سن قانونى تعیین كند تا بر اساس همین سن قانونى احكام دادگاه‌ها صادر شود؟</w:t>
      </w:r>
      <w:bookmarkStart w:id="40" w:name="pg9392_88040"/>
    </w:p>
    <w:p>
      <w:pPr>
        <w:pStyle w:val="BookText"/>
        <w:rPr/>
      </w:pPr>
      <w:bookmarkEnd w:id="4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ممكن است قانونگذار سن مسئولیت كیفرى در هر دو جنس را یكى در نظر بگیرد؟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اینكه قوانین مجازات اسلامى ذیل سه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مى‌گیرد، تعیین سن مسئولیت كیفرى براى هر یك از این عناوین مى‌بایست جداگانه مورد بررسى قرارگیرد</w:t>
      </w:r>
      <w:r>
        <w:rPr>
          <w:rFonts w:eastAsia="IRNazanin" w:cs="IRNazanin"/>
          <w:color w:val="111111"/>
          <w:sz w:val="28"/>
          <w:szCs w:val="28"/>
          <w:rtl w:val="true"/>
          <w:lang w:bidi="fa-IR"/>
        </w:rPr>
        <w:t>.</w:t>
      </w:r>
    </w:p>
    <w:p>
      <w:pPr>
        <w:pStyle w:val="Heading4"/>
        <w:numPr>
          <w:ilvl w:val="3"/>
          <w:numId w:val="1"/>
        </w:numPr>
        <w:rPr/>
      </w:pPr>
      <w:bookmarkStart w:id="41" w:name="__RefHeading___Toc5532554_2870459653"/>
      <w:bookmarkStart w:id="42" w:name="_Toc14"/>
      <w:bookmarkEnd w:id="41"/>
      <w:r>
        <w:rPr>
          <w:rtl w:val="true"/>
        </w:rPr>
        <w:t>الف</w:t>
      </w:r>
      <w:r>
        <w:rPr>
          <w:rtl w:val="true"/>
        </w:rPr>
        <w:t xml:space="preserve">) </w:t>
      </w:r>
      <w:r>
        <w:rPr>
          <w:rtl w:val="true"/>
        </w:rPr>
        <w:t>تعزيرات</w:t>
      </w:r>
      <w:bookmarkEnd w:id="42"/>
    </w:p>
    <w:p>
      <w:pPr>
        <w:pStyle w:val="BookText"/>
        <w:rPr/>
      </w:pPr>
      <w:r>
        <w:rPr>
          <w:rFonts w:ascii="IRNazanin" w:hAnsi="IRNazanin" w:eastAsia="IRNazanin"/>
          <w:color w:val="111111"/>
          <w:sz w:val="28"/>
          <w:sz w:val="28"/>
          <w:szCs w:val="28"/>
          <w:rtl w:val="true"/>
          <w:lang w:bidi="fa-IR"/>
        </w:rPr>
        <w:t xml:space="preserve">با توجه به این‌كه بخش عمدة موارد قوانین جزایى اسلام در باب تعزیرات است و جزاى بیش از نود و پنج درصد جرم‌ها به علت آن‌كه تحت عنوان تعزیر قرار دارند، به‌دست قانون و حكومت است، لذا جواز ترتیب نظام ویژه دادرسى براى جوانان كمتر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كه در سؤال آمده به تعزیر نمودن آنها به انواع تعزیرها و بازدارنده‌ها، به‌نظر اینجانب بلا اشكال و بلامانع است، اگر نگوییم با فرض انحصار طریق بازدارنده در بعضى از افراد، واجب و 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جواز را در حقیقتِ تعزیر و علت آن باید جستجو نمود؛ چون تعزیر 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عرفاً و شرعاً عبارت است از منع مجرم از تكرار جرم و منع دیگران از ارتكاب آن، در حدى كه مقدور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كارى كه به‌حسب متعارف و طبع مى‌تواند مانع و رادع باشد، آن‌را تعزیر مى‌گویند و تعزیر هم به‌وسیله آن باید انجام گیرد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تعزیر مثل حد به معناى منع است و به كارى كه مانع است؛ يعني به خود جزا هم حد و </w:t>
      </w:r>
    </w:p>
    <w:p>
      <w:pPr>
        <w:pStyle w:val="BookText"/>
        <w:rPr/>
      </w:pPr>
      <w:r>
        <w:rPr>
          <w:rFonts w:ascii="IRNazanin" w:hAnsi="IRNazanin" w:eastAsia="IRNazanin"/>
          <w:color w:val="111111"/>
          <w:sz w:val="28"/>
          <w:sz w:val="28"/>
          <w:szCs w:val="28"/>
          <w:rtl w:val="true"/>
          <w:lang w:bidi="fa-IR"/>
        </w:rPr>
        <w:t>تعزیر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تفاوت عمدة آنها در تعیّن به‌حسب شرع و عدم تعیّن آن مى‌باشد كه در تعزیر تابع نظر حكومت در بُعد قانونگذارى و كارشناسى مى‌باشد؛ یعنى احتیاج به قانون، در مجلس شوراى اسلامى توسط نمایندگان منتخب مردم دارد و مراجعه به كتب فقهیه هرچه زیادتر باشد، حقیقت بودنِ تعزیر در منع و به یَد حكومت بودن آن روشن‌تر مى‌شود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تحریر</w:t>
      </w:r>
      <w:r>
        <w:rPr>
          <w:rStyle w:val="FootnoteAnchor"/>
          <w:rtl w:val="true"/>
        </w:rPr>
        <w:footnoteReference w:id="62"/>
      </w:r>
      <w:r>
        <w:rPr>
          <w:rFonts w:ascii="IRNazanin" w:hAnsi="IRNazanin" w:eastAsia="IRNazanin"/>
          <w:color w:val="111111"/>
          <w:sz w:val="28"/>
          <w:sz w:val="28"/>
          <w:szCs w:val="28"/>
          <w:rtl w:val="true"/>
          <w:lang w:bidi="fa-IR"/>
        </w:rPr>
        <w:t>در مبحث سيزده از مباحث احكام قذف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تعزیر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یكون بالضرب و الحبس و التوبیخ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دقت نمود كه علامه حتى توبیخ را صریحاً در تعزیر كافى دانسته، و معلوم است كه براى توبیخ خصوصیتى نیست؛ چون توبیخ مانند غیر آن، از ضرب و حبس جزو حدود نیامده تا بگوییم از باب مشابهت با حدود است، بلكه معلوم است كه به‌عنوان یك طریق از طرق مانعه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غیر آن هم از بقیّه طرق به نظر ایشان، بلكه به‌نظر بقیّه هم در تعزیر، كفایت مى‌كند؛ و فقیه عالى مقدار و محقّق بزرگوار در فقه، مرحوم فاضل اصفهانى، مشهور به فاضل هندى، صاحب كشف اللثام در بحث تعزیر كه در ذیل حدّ قذف متعرض آن شده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وجوب التعزیر فى كلّ محرّم من فعل أو ترك إن لم ینته بالنّهى والتوبیخ ونحوهما فهو ظاهر؛ لوجوب إنكار المنكر، وأمّا إن انتهى بما دون الضّرب فلا دلیل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یمكن تعمیم التعزیر فی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كلامالقواعد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وكلام غیره لما دون الضّرب من مراتب الإنكار</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و این فقیه بزرگوار گویا براى امروز ما سخن مى‌گوید و مخصوصاً صراحت ذیل كلامش هرگونه شبهه‌اى را در عدم جواز تعزیر به‌غیر ضرب از مراتب انكار و بازدارنده، زدوده و پاسخ فقهى عمیق را داده و شبیه عبارت کشف اللثام را كتاب فقهى نفیس و گرانقدر جواهر الکلام</w:t>
      </w:r>
      <w:r>
        <w:rPr>
          <w:rStyle w:val="FootnoteAnchor"/>
          <w:rtl w:val="true"/>
        </w:rPr>
        <w:footnoteReference w:id="64"/>
      </w:r>
      <w:r>
        <w:rPr>
          <w:rFonts w:ascii="IRNazanin" w:hAnsi="IRNazanin" w:eastAsia="IRNazanin"/>
          <w:color w:val="111111"/>
          <w:sz w:val="28"/>
          <w:sz w:val="28"/>
          <w:szCs w:val="28"/>
          <w:rtl w:val="true"/>
          <w:lang w:bidi="fa-IR"/>
        </w:rPr>
        <w:t>هم دارد و این عبارات، به‌علاوه از بیان نظر خودشان و بیان مقتضاى قواعد، نظر فقها را هم براى ما بیان نموده‌اند و از عبارات نقل شده، جهت و دلیل تعزیر هم روشن شد كه همان جلوگیرى و انكار منكر است، لیكن باید به چیزى غیر از حدّ باشد و باید مانع و رادع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تمام مناط، ردع و منع است، به هر نحو كه حاصل شود و معلوم است جلوگیرى و تعزیر و ردع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كه نسبت به سنّ بعد از بلوغ معتبر است و یا اصلاح مرتكب و جامعه و تأدیب كه نسبت به قبل از بلوغ و بعد از تمیز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نگوییم كه آنجا هم تعزیر به خاطر جلوگیرى از كار خلاف و زشت است، به‌علاوه از اصلاح و تأدیب مرتكب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به‌حسب موارد و اشخاص و محیط‌ها و مكان‌ها و زمان‌ها و غیر آنها از خصوصیّات مختلف است و این نظر كارشناسان تربیتى جامعه و نظر جرم‌شناسان و علماى جزا و حقوق و نظر قانونگذار است كه مى‌تواند </w:t>
      </w:r>
      <w:bookmarkStart w:id="43" w:name="pg9392_88043"/>
    </w:p>
    <w:p>
      <w:pPr>
        <w:pStyle w:val="BookText"/>
        <w:rPr/>
      </w:pPr>
      <w:bookmarkEnd w:id="43"/>
      <w:r>
        <w:rPr>
          <w:rFonts w:ascii="IRNazanin" w:hAnsi="IRNazanin" w:eastAsia="IRNazanin"/>
          <w:color w:val="111111"/>
          <w:sz w:val="28"/>
          <w:sz w:val="28"/>
          <w:szCs w:val="28"/>
          <w:rtl w:val="true"/>
          <w:lang w:bidi="fa-IR"/>
        </w:rPr>
        <w:t>ضابطه و قاعده و قانون را حسب موارد معیّن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كلام آنكه، در تعزیرات مى‌توان به هر شیوه جدیدى كه نقش مؤثرى در بازدارندگى در ساختار شخصیّتى نوجوانان قبل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 دست زد و دادرسى ویژه‌اى را براى آنان ترتیب داد و گذشت كه ترتیب شیوه جدید در بعضى موارد نه تنها جایز است بلكه اگر راه بازدارندگى منحصر به آن باشد، تعزیر به وسیله آن راه و روش جدید به‌خاطر وجوب تعزیر، لازم و واجب است</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44" w:name="__RefHeading___Toc5532556_2870459653"/>
      <w:bookmarkStart w:id="45" w:name="_Toc15"/>
      <w:bookmarkEnd w:id="44"/>
      <w:r>
        <w:rPr>
          <w:rtl w:val="true"/>
        </w:rPr>
        <w:t>ب</w:t>
      </w:r>
      <w:r>
        <w:rPr>
          <w:rtl w:val="true"/>
        </w:rPr>
        <w:t xml:space="preserve">) </w:t>
      </w:r>
      <w:r>
        <w:rPr>
          <w:rtl w:val="true"/>
        </w:rPr>
        <w:t>حدود</w:t>
      </w:r>
      <w:bookmarkEnd w:id="45"/>
    </w:p>
    <w:p>
      <w:pPr>
        <w:pStyle w:val="BookText"/>
        <w:rPr/>
      </w:pPr>
      <w:r>
        <w:rPr>
          <w:rFonts w:ascii="IRNazanin" w:hAnsi="IRNazanin" w:eastAsia="IRNazanin"/>
          <w:color w:val="111111"/>
          <w:sz w:val="28"/>
          <w:sz w:val="28"/>
          <w:szCs w:val="28"/>
          <w:rtl w:val="true"/>
          <w:lang w:bidi="fa-IR"/>
        </w:rPr>
        <w:t>در اجراى حدود رسیدن به سن بلوغ شرط مى‌باشد و به نظر اینجانب سن بلوغ در پسران تمام شدن پانزده سال قمرى و در دختران تمام شدن سیزده سال قمرى و یا علائم و نشانه‌هاى دیگرى كه در رساله‌هاى عملیه ذكر شده، مى‌باشد كه غالباً آن نشانه‌ها و راه‌ها براى غیر خود مكلّف عادتاً معلوم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ناگفته نماند كه حدود بسیار محدود است و موارد آن همان‌گونه كه در قواعد آمده به بیش از شش مورد نمى‌رسد و آنچه راه‌گشاى امثال مورد سؤال مى باشد دو امر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این‌كه در اجراى حدود در زمان غیبت امام </w:t>
      </w:r>
    </w:p>
    <w:p>
      <w:pPr>
        <w:pStyle w:val="BookText"/>
        <w:rPr/>
      </w:pP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به فتواى علماى فاضل و محققى همانند میرزاى قمى در كتاب گران سنگ جامع الشتات</w:t>
      </w:r>
      <w:r>
        <w:rPr>
          <w:rStyle w:val="FootnoteAnchor"/>
          <w:rtl w:val="true"/>
        </w:rPr>
        <w:footnoteReference w:id="66"/>
      </w:r>
      <w:r>
        <w:rPr>
          <w:rFonts w:ascii="IRNazanin" w:hAnsi="IRNazanin" w:eastAsia="IRNazanin"/>
          <w:color w:val="111111"/>
          <w:sz w:val="28"/>
          <w:sz w:val="28"/>
          <w:szCs w:val="28"/>
          <w:rtl w:val="true"/>
          <w:lang w:bidi="fa-IR"/>
        </w:rPr>
        <w:t xml:space="preserve">عمل نمود كه معتقد است، اجراى حدود در زمان غیبت محل تأمل و توقف است و باید به‌جاى آنها تعزیر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قسمت الف گذشت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دوّم این‌كه به‌نظر اینجانب طرق اثبات حد به دو امر منحصر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اقرارى كه ناشى از وجدان دینى مجرم باشد كه چهار مرتبه آن در بعضى از حدود، دو مرتبه در برخى دیگر لازم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شاهد عادل در باب زنا و توابعش برؤیته و آن هم كالمیل فی المكحل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دو شاهد عادل در بقیّه موارد، و معلوم است كه اقرار و یا شهادت چهار شاهد عادل به تحقّق، بسیار مشكل، بلكه در این زمان عادتاً غیر ممكن است، حتّى شهادت دو شاهد عادل نیز بر جرمى مانند سرقت با توجه به احوال جامعه و نیرنگ‌هاى سارقان تناسبى ندارد، به‌علاوه كه در سرقتِ موجبِ حدّ، شرایطى وجود دارد كه تحقق همه آنها، بعید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نتیجتاً راه اثبات حدود به نظر اینجانب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لغیر واحد من الفقها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در این دو طریق بوده و امارات و شواهد نمى‌تواند موجب حدّشود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مى‌تواند موجب تعزیر برگناهان و مقدّمات </w:t>
      </w:r>
      <w:bookmarkStart w:id="46" w:name="pg9392_88045"/>
    </w:p>
    <w:p>
      <w:pPr>
        <w:pStyle w:val="BookText"/>
        <w:rPr/>
      </w:pPr>
      <w:bookmarkEnd w:id="46"/>
      <w:r>
        <w:rPr>
          <w:rFonts w:ascii="IRNazanin" w:hAnsi="IRNazanin" w:eastAsia="IRNazanin"/>
          <w:color w:val="111111"/>
          <w:sz w:val="28"/>
          <w:sz w:val="28"/>
          <w:szCs w:val="28"/>
          <w:rtl w:val="true"/>
          <w:lang w:bidi="fa-IR"/>
        </w:rPr>
        <w:t>حدود گردد؛ چرا كه در مقدّمات قراين و شواهد حجّت است</w:t>
      </w:r>
      <w:r>
        <w:rPr>
          <w:rFonts w:eastAsia="IRNazanin" w:cs="IRNazanin"/>
          <w:color w:val="111111"/>
          <w:sz w:val="28"/>
          <w:szCs w:val="28"/>
          <w:rtl w:val="true"/>
          <w:lang w:bidi="fa-IR"/>
        </w:rPr>
        <w:t>.</w:t>
      </w:r>
    </w:p>
    <w:p>
      <w:pPr>
        <w:pStyle w:val="Heading4"/>
        <w:numPr>
          <w:ilvl w:val="3"/>
          <w:numId w:val="1"/>
        </w:numPr>
        <w:rPr/>
      </w:pPr>
      <w:bookmarkStart w:id="47" w:name="__RefHeading___Toc5532558_2870459653"/>
      <w:bookmarkStart w:id="48" w:name="_Toc16"/>
      <w:bookmarkEnd w:id="47"/>
      <w:r>
        <w:rPr>
          <w:rtl w:val="true"/>
        </w:rPr>
        <w:t>ج</w:t>
      </w:r>
      <w:r>
        <w:rPr>
          <w:rtl w:val="true"/>
        </w:rPr>
        <w:t xml:space="preserve">) </w:t>
      </w:r>
      <w:r>
        <w:rPr>
          <w:rtl w:val="true"/>
        </w:rPr>
        <w:t>قصاص</w:t>
      </w:r>
      <w:bookmarkEnd w:id="4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به‌نظر اینجانب درك و تمیز شخص از این‌كه عمل او آدم‌كشى است، در اجراى قصاص كفایت مى‌كند، بلكه از بعضى روایات نیز استفاده مى‌شود كه تمیز حتى قبل از سن بلوغ شرعى در قصاص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تعیین سن مشخص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موارد قصاص كه حق النّاس است و در قرآن كریم به حیات از آن یاد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وَلَكُمْ فِي الْقِصَاصِ حَيَاةٌ يَاْ أُولِيْ الأَلْبَابِ</w:t>
      </w:r>
      <w:r>
        <w:rPr>
          <w:rFonts w:ascii="IRNazanin" w:hAnsi="IRNazanin" w:eastAsia="IRNazanin"/>
          <w:color w:val="111111"/>
          <w:sz w:val="28"/>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نمى‌تواند مورد استفاده قرارگیرد و آنچه مى‌تواند دركاهش اجراى حكم قصاص مؤثر باشد ترویج فرهنگ عفو و بخشش در جامعه مى‌باشد، چنان‌كه در قرآن كریم آمده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عَفَا وَأَصْلَحَ فَأَجْرُهُ عَلَى اﷲِ</w:t>
      </w:r>
      <w:r>
        <w:rPr>
          <w:rFonts w:ascii="IRNazanin" w:hAnsi="IRNazanin" w:eastAsia="IRNazanin"/>
          <w:color w:val="111111"/>
          <w:sz w:val="28"/>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فَمَنْ عُفِيَ لَهُ مِنْ أَخِيهِ شَيْءٌ فَاتِّبَاعٌ بِالْمَعْرُوفِ وَأَدَاء إِلَيْهِ بِإِحْسَانٍ ذَلِكَ تَخْفِيفٌ مِّن رَّبِّكُمْ وَرَحْمَةٌ</w:t>
      </w:r>
      <w:r>
        <w:rPr>
          <w:rFonts w:ascii="IRNazanin" w:hAnsi="IRNazanin" w:eastAsia="IRNazanin"/>
          <w:color w:val="111111"/>
          <w:sz w:val="28"/>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كه درنتیجه، هم حقوق فردى اولیاء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 و جنبه حیات بودن قصاص مراعات گشته و هم عفو و بخشش سفارش شده از جانب پروردگار عالم</w:t>
      </w:r>
      <w:r>
        <w:rPr>
          <w:rFonts w:eastAsia="IRNazanin" w:cs="IRNazanin"/>
          <w:color w:val="111111"/>
          <w:sz w:val="28"/>
          <w:szCs w:val="28"/>
          <w:rtl w:val="true"/>
          <w:lang w:bidi="fa-IR"/>
        </w:rPr>
        <w:t xml:space="preserve">. </w:t>
      </w:r>
      <w:bookmarkStart w:id="49" w:name="pg9392_88047"/>
    </w:p>
    <w:p>
      <w:pPr>
        <w:pStyle w:val="Heading2"/>
        <w:numPr>
          <w:ilvl w:val="1"/>
          <w:numId w:val="1"/>
        </w:numPr>
        <w:rPr/>
      </w:pPr>
      <w:bookmarkStart w:id="50" w:name="__RefHeading___Toc5532560_2870459653"/>
      <w:bookmarkStart w:id="51" w:name="_Toc17"/>
      <w:bookmarkEnd w:id="49"/>
      <w:bookmarkEnd w:id="50"/>
      <w:r>
        <w:rPr>
          <w:rtl w:val="true"/>
        </w:rPr>
        <w:t>دفتر دوم</w:t>
      </w:r>
      <w:bookmarkEnd w:id="51"/>
    </w:p>
    <w:p>
      <w:pPr>
        <w:pStyle w:val="Heading3"/>
        <w:numPr>
          <w:ilvl w:val="2"/>
          <w:numId w:val="1"/>
        </w:numPr>
        <w:rPr/>
      </w:pPr>
      <w:bookmarkStart w:id="52" w:name="__RefHeading___Toc5532562_2870459653"/>
      <w:bookmarkStart w:id="53" w:name="_Toc18"/>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 xml:space="preserve">حق حضانت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میان ولایت و حضانت</w:t>
      </w:r>
    </w:p>
    <w:p>
      <w:pPr>
        <w:pStyle w:val="BookText"/>
        <w:rPr/>
      </w:pPr>
      <w:r>
        <w:rPr>
          <w:rFonts w:ascii="IRNazanin" w:hAnsi="IRNazanin" w:eastAsia="IRNazanin"/>
          <w:color w:val="111111"/>
          <w:sz w:val="28"/>
          <w:sz w:val="28"/>
          <w:szCs w:val="28"/>
          <w:rtl w:val="true"/>
          <w:lang w:bidi="fa-IR"/>
        </w:rPr>
        <w:t>تقدم حق الولایة مادر بر جدّ پدری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شروط حضانت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9392_88049"/>
      <w:bookmarkStart w:id="55" w:name="pg9392_88049"/>
      <w:bookmarkEnd w:id="55"/>
    </w:p>
    <w:p>
      <w:pPr>
        <w:pStyle w:val="Heading3"/>
        <w:numPr>
          <w:ilvl w:val="2"/>
          <w:numId w:val="1"/>
        </w:numPr>
        <w:rPr/>
      </w:pPr>
      <w:bookmarkStart w:id="56" w:name="pg9392_88049"/>
      <w:bookmarkStart w:id="57" w:name="__RefHeading___Toc5532564_2870459653"/>
      <w:bookmarkStart w:id="58" w:name="_Toc19"/>
      <w:bookmarkEnd w:id="56"/>
      <w:bookmarkEnd w:id="57"/>
      <w:r>
        <w:rPr>
          <w:rtl w:val="true"/>
        </w:rPr>
        <w:t>اشاره</w:t>
      </w:r>
      <w:bookmarkEnd w:id="5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مبحث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حضانت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جهت حايز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يکي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کنارِ پدر و یا در دامانِ مادری، پرورش یافته و به سن رشد برسد که دارای شرایط روحی و جسمی مناسب هستند و صلاحيت حضانت را دارا مي‌باشند؛ و از جهت دیگر می‌تواند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پدري و يا حقِ مادري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و عنايت قرار گيرد که بر اساس قانون و شرع مقدس متصدی حفظ و نگهداري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نظر مي‌رسد هر دو موضوع فوق را مي‌توان جزو مباحث حقوق کودک قرار داد ولی آنچه که در اين دو </w:t>
      </w:r>
    </w:p>
    <w:p>
      <w:pPr>
        <w:pStyle w:val="BookText"/>
        <w:rPr/>
      </w:pPr>
      <w:r>
        <w:rPr>
          <w:rFonts w:ascii="IRNazanin" w:hAnsi="IRNazanin" w:eastAsia="IRNazanin"/>
          <w:color w:val="111111"/>
          <w:sz w:val="28"/>
          <w:sz w:val="28"/>
          <w:szCs w:val="28"/>
          <w:rtl w:val="true"/>
          <w:lang w:bidi="fa-IR"/>
        </w:rPr>
        <w:t xml:space="preserve">مبحث پُر رنگ‌تر می‌نماید، مسئله تقدم حق پدر یا مادر در حضانت و مدت آن است؛ بر این اساس، و به دليل ارجحيت جهت دوم بحث، اين دفتر را به گفتگوپيرامون حق حضانت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داديم، تا در دفتر سوم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کودکان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در قالب گفتگو، بدان بپردازيم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اين دفتر نيز، فتاوا و نظرات کاربردی حضرت آیت الله العظمی صانعی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حضانت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بيشتر خوانندگان محترم به اين دفتر افزوده شده است</w:t>
      </w:r>
      <w:r>
        <w:rPr>
          <w:rFonts w:eastAsia="IRNazanin" w:cs="IRNazanin"/>
          <w:color w:val="111111"/>
          <w:sz w:val="28"/>
          <w:szCs w:val="28"/>
          <w:rtl w:val="true"/>
          <w:lang w:bidi="fa-IR"/>
        </w:rPr>
        <w:t xml:space="preserve">. </w:t>
      </w:r>
      <w:bookmarkStart w:id="59" w:name="pg9392_88051"/>
    </w:p>
    <w:p>
      <w:pPr>
        <w:pStyle w:val="Heading3"/>
        <w:numPr>
          <w:ilvl w:val="2"/>
          <w:numId w:val="1"/>
        </w:numPr>
        <w:rPr/>
      </w:pPr>
      <w:bookmarkStart w:id="60" w:name="__RefHeading___Toc5532566_2870459653"/>
      <w:bookmarkStart w:id="61" w:name="_Toc20"/>
      <w:bookmarkEnd w:id="59"/>
      <w:bookmarkEnd w:id="60"/>
      <w:r>
        <w:rPr>
          <w:rtl w:val="true"/>
        </w:rPr>
        <w:t>گفت و گو</w:t>
      </w:r>
      <w:bookmarkEnd w:id="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خبرنگار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بفرمایید فرق بین حضانت با ولایت و قیمومیت چیست، چون عامه مردم فرق بین اینها را نمی‌دانند و عمدتاً آنها را یک جور فرض می‌کنند؟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العظمي صانعي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إن‌شاءالله به برکت انقلاب اسلامی و در نظام جمهوری اسلامی و با توجه به اصولی که در قانون اساسی به عنوان حقوق انسان‌ها آمده است مشکلات خواهران و برادران، حل شود و مادران و پدران به حساب قانون اسلام مشکل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معتقد هستیم اسلام دینی است که در آن حرج و مشقت وجود ندارد، چرا که دین سهولت است</w:t>
      </w:r>
      <w:r>
        <w:rPr>
          <w:rFonts w:eastAsia="IRNazanin" w:cs="IRNazanin"/>
          <w:color w:val="111111"/>
          <w:sz w:val="28"/>
          <w:szCs w:val="28"/>
          <w:rtl w:val="true"/>
          <w:lang w:bidi="fa-IR"/>
        </w:rPr>
        <w:t xml:space="preserve">. </w:t>
      </w:r>
      <w:bookmarkStart w:id="62" w:name="pg9392_88052"/>
    </w:p>
    <w:p>
      <w:pPr>
        <w:pStyle w:val="Heading3"/>
        <w:numPr>
          <w:ilvl w:val="2"/>
          <w:numId w:val="1"/>
        </w:numPr>
        <w:rPr/>
      </w:pPr>
      <w:bookmarkStart w:id="63" w:name="__RefHeading___Toc5532568_2870459653"/>
      <w:bookmarkStart w:id="64" w:name="_Toc21"/>
      <w:bookmarkEnd w:id="62"/>
      <w:bookmarkEnd w:id="63"/>
      <w:r>
        <w:rPr>
          <w:rtl w:val="true"/>
        </w:rPr>
        <w:t>تفاوت ميان ولايت و حضانت</w:t>
      </w:r>
      <w:bookmarkEnd w:id="6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راجع به سؤال شما باید عرض کنم؛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ولایت و قیموميت با حضانت خیلی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تصرّف وليّ در اموال کودک و نظارت بر فعالیت‌ها و کارهای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تربیت جسمی و روحی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رشد بدنی و رشد روحی او مربوط به حضانت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حضانت بچه را بر عهده می‌گیرد، باید در دوران کودکی و شیرخوارگی‌اش، به قول معروف، تر و خشکش کند، مراقب محیط تربیتی او باشد و از او در مقابل حوادث حمایت و حفاظت کند، به این نوع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قیموميّت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بحث دیگری است و معنای آن این است که در اموال و حقوق کودک با رعایت مصلحت او تصرّف کند یا اگر قرار بشود کودک به کاری گمارده شود، اجازة قیّم لازم است</w:t>
      </w:r>
      <w:r>
        <w:rPr>
          <w:rFonts w:eastAsia="IRNazanin" w:cs="IRNazanin"/>
          <w:color w:val="111111"/>
          <w:sz w:val="28"/>
          <w:szCs w:val="28"/>
          <w:rtl w:val="true"/>
          <w:lang w:bidi="fa-IR"/>
        </w:rPr>
        <w:t xml:space="preserve">. </w:t>
      </w:r>
      <w:bookmarkStart w:id="65" w:name="pg9392_88053"/>
    </w:p>
    <w:p>
      <w:pPr>
        <w:pStyle w:val="Heading3"/>
        <w:numPr>
          <w:ilvl w:val="2"/>
          <w:numId w:val="1"/>
        </w:numPr>
        <w:rPr/>
      </w:pPr>
      <w:bookmarkStart w:id="66" w:name="__RefHeading___Toc5532570_2870459653"/>
      <w:bookmarkStart w:id="67" w:name="_Toc22"/>
      <w:bookmarkEnd w:id="65"/>
      <w:bookmarkEnd w:id="66"/>
      <w:r>
        <w:rPr>
          <w:rtl w:val="true"/>
        </w:rPr>
        <w:t>تقدم حق الولايه مادر بر جدّ پدري</w:t>
      </w:r>
      <w:bookmarkEnd w:id="67"/>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همان‌گونه که برای پدر قیموميّت هست، برای مادر هم هست و ما معتقدیم از نظر فقهی اگر پدری از دنیا رفت، حق الولایه فرزندش قبل از جدّ پدری با مادر است و اگر مادر نبود، با جد پدری است و بر خلاف نظر معروف بین فقها که می‌گویند وقتی پدر فوت کرد، قیموميّت با پدربزرگ است؛ ما معتقد هستیم قیموميّت با مادر است و این حرکتی است که در جهت حفظ حقوق مادران برداشته شده که این بحث مستند به استدلال‌های فقهی، و برای ما مسلّم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داریم شما در زمان مسئولیت قضایی‌تان نظرتان همین بود که الآن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اولویت نگهداری فرزند را با مادر می‌دانستید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یک سؤال مطرح می‌شود آن هم این است که مستندات فقهی اولویت پدر نسبت به مادر در حضانت یا محدودیت زمانی حضانت مادر چیست؟ چون دست کم یکی از منابع که منبع مهمّی هم هست،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اوّل، فقط به ذکر این مطلب بسنده کرده است که مادر نسبت به نگهداری فرزند پسر در مدت شیرخوارگی اولویت</w:t>
      </w:r>
    </w:p>
    <w:p>
      <w:pPr>
        <w:pStyle w:val="BookText"/>
        <w:rPr/>
      </w:pPr>
      <w:r>
        <w:rPr>
          <w:rFonts w:ascii="IRNazanin" w:hAnsi="IRNazanin" w:eastAsia="IRNazanin"/>
          <w:color w:val="111111"/>
          <w:sz w:val="28"/>
          <w:sz w:val="28"/>
          <w:szCs w:val="28"/>
          <w:rtl w:val="true"/>
          <w:lang w:bidi="fa-IR"/>
        </w:rPr>
        <w:t>دارد و نه بعد از آن و نسبت به نگهداری دختر هم تا هفت سالگی</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که ماده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هم از</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مدني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نگهداري طفل، مادر تا دو سال از تاريخ ولادت او اولويت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انقضاء اين مدت حضانت با پدر است، مگر نسبت به اطفال اناث که تا سال هفتم حضانت آنها با مادر خواهد بود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مسألة حضانت از مسائلی است که به نظر می‌رسد حل دقیق آن بسیار مشکل باشد و لذا حتی فقیهی چون شهید ثانی هم تقریباً بی‌نظر رد شده، چون معتقد است روایاتی را که نقل کرده ضعف سند دارد و قابل اعتماد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الأفهام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وقتی ما مستند فقهی محکمی مثل نص و حدیث نداریم، چرا این قدر این ماده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مربوط به آن دوام پیدا کرده است؟ آیا</w:t>
      </w:r>
    </w:p>
    <w:p>
      <w:pPr>
        <w:pStyle w:val="BookText"/>
        <w:rPr/>
      </w:pPr>
      <w:r>
        <w:rPr>
          <w:rFonts w:ascii="IRNazanin" w:hAnsi="IRNazanin" w:eastAsia="IRNazanin"/>
          <w:color w:val="111111"/>
          <w:sz w:val="28"/>
          <w:sz w:val="28"/>
          <w:szCs w:val="28"/>
          <w:rtl w:val="true"/>
          <w:lang w:bidi="fa-IR"/>
        </w:rPr>
        <w:t>نمی‌توانیم این را تحت یک تبصره‌ای محدودش کنیم یا با یک ماده دیگر نسخ ضمنی‌اش کنیم و این</w:t>
      </w:r>
    </w:p>
    <w:p>
      <w:pPr>
        <w:pStyle w:val="BookText"/>
        <w:rPr/>
      </w:pPr>
      <w:r>
        <w:rPr>
          <w:rFonts w:ascii="IRNazanin" w:hAnsi="IRNazanin" w:eastAsia="IRNazanin"/>
          <w:color w:val="111111"/>
          <w:sz w:val="28"/>
          <w:sz w:val="28"/>
          <w:szCs w:val="28"/>
          <w:rtl w:val="true"/>
          <w:lang w:bidi="fa-IR"/>
        </w:rPr>
        <w:t>موضوع حضانت کلاً به مادران واگذار شود؟ حالا در مواقعی که مفسده‌ای است و خلاف مصلحت کودک است می‌شود تصمیم گرفت، ولی در موارد عادی آیا مادر اولویت ندارد؟</w:t>
      </w:r>
    </w:p>
    <w:p>
      <w:pPr>
        <w:pStyle w:val="BookText"/>
        <w:rPr/>
      </w:pPr>
      <w:r>
        <w:rPr>
          <w:rFonts w:ascii="IRNazanin" w:hAnsi="IRNazanin" w:eastAsia="IRNazanin"/>
          <w:color w:val="111111"/>
          <w:sz w:val="28"/>
          <w:sz w:val="28"/>
          <w:szCs w:val="28"/>
          <w:rtl w:val="true"/>
          <w:lang w:bidi="fa-IR"/>
        </w:rPr>
        <w:t>آيت الله العظمي صانعي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 قانونگذاری داشتیم و توان آن را داشتیم که به نظرات فقهای بزرگی چون مرحوم شهید ثانی توجه داشته باشیم، به نظر ما هیچ مشکلی در باب حق حضانت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بگوییم دو سال با مادر و بقیه با پدر، چه بگوییم تا هفت سال با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در نظر گرفتن جنسیت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با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بنده نظرم این است که تا هفت سال مادر حق نگه‌داشتن فرزندش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بگوییم نه سال، اینها مشکل‌ساز نیست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ماده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اگر مادر در مدتی که حضانت طفل با اوست به دیگری شوهر کند، حق حضانت با پدر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حق حضانت حتی در همان مدت کوتاه هم که بر عهده مادر است، با ازدواج مجدّد او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را در مورد پدر هم به کار نبریم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که فقهی تا این حد پویا داریم نمی‌توانیم با توجه به اوضاع و شرایط این موضوع را حل و فصل کنیم؟ می‌بینیم که زندگی خیلی از کودکان با پدر و نامادری تا چه حد پیامدهای منفی و حتی خطرناک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همان مواقع مادران برای نگهداری فرزندشان در کمال آمادگی بوده‌اند؟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العظمي صانعي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حضانت کودک، وقتیمشکل به وجود می‌آید که والدین از هم جدا شده‌اند و مادر می‌خواهد بچه‌اش را داشته باشد چون شیرة جانش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 ممکن است بخواهد فرزندش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فقهای ما متعرّض حضانت در زمانی که والدین با هم هستند،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آنجا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اين وصف چه بگویید دو سال مال مادر است، یا ده سال متعلّق به پدر است، مشکل‌ساز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والدين با هم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 جایی است که طلاق واقع شود</w:t>
      </w:r>
      <w:r>
        <w:rPr>
          <w:rFonts w:eastAsia="IRNazanin" w:cs="IRNazanin"/>
          <w:color w:val="111111"/>
          <w:sz w:val="28"/>
          <w:szCs w:val="28"/>
          <w:rtl w:val="true"/>
          <w:lang w:bidi="fa-IR"/>
        </w:rPr>
        <w:t xml:space="preserve">. </w:t>
      </w:r>
      <w:bookmarkStart w:id="68" w:name="pg9392_88057"/>
    </w:p>
    <w:p>
      <w:pPr>
        <w:pStyle w:val="Heading3"/>
        <w:numPr>
          <w:ilvl w:val="2"/>
          <w:numId w:val="1"/>
        </w:numPr>
        <w:rPr/>
      </w:pPr>
      <w:bookmarkStart w:id="69" w:name="__RefHeading___Toc5532572_2870459653"/>
      <w:bookmarkStart w:id="70" w:name="_Toc23"/>
      <w:bookmarkEnd w:id="68"/>
      <w:bookmarkEnd w:id="69"/>
      <w:r>
        <w:rPr>
          <w:rtl w:val="true"/>
        </w:rPr>
        <w:t>برخي از شروط حضانت</w:t>
      </w:r>
      <w:bookmarkEnd w:id="70"/>
    </w:p>
    <w:p>
      <w:pPr>
        <w:pStyle w:val="Heading4"/>
        <w:numPr>
          <w:ilvl w:val="3"/>
          <w:numId w:val="1"/>
        </w:numPr>
        <w:rPr/>
      </w:pPr>
      <w:bookmarkStart w:id="71" w:name="__RefHeading___Toc5532574_2870459653"/>
      <w:bookmarkStart w:id="72" w:name="_Toc24"/>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شهید ثانی هشت شرط برای حضانت ذکر کرده است</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گویا شهید ثانی با جامعة امروز ما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را می‌خواهد که به سراغ او برود و نظراتش را برای مردم بیان کند و من اصلاً معتقد هستم که شهید اول و دوم به این دلیل شهید شدند که حرف‌های زنده می‌زدند و دشمنان آنها نمی‌خواستند فقه شیعه حرف زنده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امروز هم دشمنان اسلام نمی‌خواهند شیعه حرف زنده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ایشان هشت شرط برای کسی که می‌خواهد حضانت بچه را بر عهده بگیرد،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پدر هشت شرط ذکر کرده است</w:t>
      </w:r>
      <w:r>
        <w:rPr>
          <w:rFonts w:eastAsia="IRNazanin" w:cs="IRNazanin"/>
          <w:color w:val="111111"/>
          <w:sz w:val="28"/>
          <w:szCs w:val="28"/>
          <w:rtl w:val="true"/>
          <w:lang w:bidi="fa-IR"/>
        </w:rPr>
        <w:t>.</w:t>
      </w:r>
    </w:p>
    <w:p>
      <w:pPr>
        <w:pStyle w:val="Heading4"/>
        <w:numPr>
          <w:ilvl w:val="3"/>
          <w:numId w:val="1"/>
        </w:numPr>
        <w:rPr/>
      </w:pPr>
      <w:bookmarkStart w:id="73" w:name="__RefHeading___Toc5532576_2870459653"/>
      <w:bookmarkStart w:id="74" w:name="_Toc25"/>
      <w:bookmarkEnd w:id="73"/>
      <w:r>
        <w:rPr>
          <w:rtl w:val="true"/>
        </w:rPr>
        <w:t>امين و متعهد بودن</w:t>
      </w:r>
      <w:bookmarkEnd w:id="7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شرط عمده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حضانت کند، باید دارای امانت باشد، بی‌تعهد و بی‌بند و بار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 این است که حضانت برای رشد و تربیت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پدری </w:t>
      </w:r>
      <w:bookmarkStart w:id="75" w:name="pg9392_88058"/>
    </w:p>
    <w:p>
      <w:pPr>
        <w:pStyle w:val="BookText"/>
        <w:rPr/>
      </w:pPr>
      <w:bookmarkEnd w:id="75"/>
      <w:r>
        <w:rPr>
          <w:rFonts w:ascii="IRNazanin" w:hAnsi="IRNazanin" w:eastAsia="IRNazanin"/>
          <w:color w:val="111111"/>
          <w:sz w:val="28"/>
          <w:sz w:val="28"/>
          <w:szCs w:val="28"/>
          <w:rtl w:val="true"/>
          <w:lang w:bidi="fa-IR"/>
        </w:rPr>
        <w:t>بی‌بند و بار و بی‌تعهّد باشد و برای امانت‌ها ارزشی قایل نباشد، طبعاً نمی‌تواند فرزندش را خوب تربیت کند و او راهم بی‌تعهد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خائن کودک را خائن بار می‌آورد و این اصلاً با اساس قضیه نمی‌سازد؛ چرا که اصل حضانت برای تربیت است لذا کسی که خائن است، صلاحیت تربیت کودک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شرط را داشته باشید تا شرط بعدی را بگویم</w:t>
      </w:r>
      <w:r>
        <w:rPr>
          <w:rFonts w:eastAsia="IRNazanin" w:cs="IRNazanin"/>
          <w:color w:val="111111"/>
          <w:sz w:val="28"/>
          <w:szCs w:val="28"/>
          <w:rtl w:val="true"/>
          <w:lang w:bidi="fa-IR"/>
        </w:rPr>
        <w:t>.</w:t>
      </w:r>
    </w:p>
    <w:p>
      <w:pPr>
        <w:pStyle w:val="Heading4"/>
        <w:numPr>
          <w:ilvl w:val="3"/>
          <w:numId w:val="1"/>
        </w:numPr>
        <w:rPr/>
      </w:pPr>
      <w:bookmarkStart w:id="76" w:name="__RefHeading___Toc5532578_2870459653"/>
      <w:bookmarkStart w:id="77" w:name="_Toc26"/>
      <w:bookmarkEnd w:id="76"/>
      <w:r>
        <w:rPr>
          <w:rtl w:val="true"/>
        </w:rPr>
        <w:t>نداشتن مرض مُسري</w:t>
      </w:r>
      <w:bookmarkEnd w:id="77"/>
    </w:p>
    <w:p>
      <w:pPr>
        <w:pStyle w:val="BookText"/>
        <w:rPr/>
      </w:pPr>
      <w:r>
        <w:rPr>
          <w:rFonts w:ascii="IRNazanin" w:hAnsi="IRNazanin" w:eastAsia="IRNazanin"/>
          <w:color w:val="111111"/>
          <w:sz w:val="28"/>
          <w:sz w:val="28"/>
          <w:szCs w:val="28"/>
          <w:rtl w:val="true"/>
          <w:lang w:bidi="fa-IR"/>
        </w:rPr>
        <w:t>گفته‌اند که باید امراض مسری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می‌توانستیم به دنیای بشریت اعلام می‌کردیم که ما در حفظ حقوق کودکان به آنجا رسیده‌ایم که می‌گوییم اگر مادر مرض مسری دارد، کودک را به پدر می‌دهند 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دو سالگی، یا قبل از هفت سالگی که حضانت با مادر است یا بعد از این مدت که حضانت با پدر است اگر پدر دارای امراض مسری از قبیل جذام، ایدز یا سل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بچه را به مادر می‌دهند و این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فقها گفته‌اند نمی‌توانیم بچه را به مادر بدهیم بلکه پدر باید بچه را به شخص دیگری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است و به نظر، صحیح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اسلام خواسته در تربیت کودک عواطف پدر و مادری حفظ بشود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شما این سه شرط را کنار هم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بی‌بند و بار نباشد، امین باشد و مرض مسری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خیلی راحت با توجه به این شروط </w:t>
      </w:r>
    </w:p>
    <w:p>
      <w:pPr>
        <w:pStyle w:val="BookText"/>
        <w:rPr/>
      </w:pPr>
      <w:r>
        <w:rPr>
          <w:rFonts w:ascii="IRNazanin" w:hAnsi="IRNazanin" w:eastAsia="IRNazanin"/>
          <w:color w:val="111111"/>
          <w:sz w:val="28"/>
          <w:sz w:val="28"/>
          <w:szCs w:val="28"/>
          <w:rtl w:val="true"/>
          <w:lang w:bidi="fa-IR"/>
        </w:rPr>
        <w:t>می‌توان استدلال کرد که اگر پدری در دوران حضانت طفل، به مواد مخدر معتاد است این فرد نمی‌تواندفرزندش را نگهداری کند، پدری که اعتیادش سبب می‌شود پولی را که همسرش از کار کردن در خانه این و آن به دست آورده بگیرد و خرج اعتیادش کند، جهیزیة همسرش را بفروشد و خرج اعتیادش کند و هیچ چیزی برایش مطرح نیست، چطور می‌تواند فرزندش را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می‌شود گفت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پدری معتاد شد، مادری معتاد شد، حق حضانت او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مدعی شود که پدر یا مادر در عسر و حرج و ناراحتی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وضعیتی است که خودت، و با اختیار، ایجاد کرده‌ای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پدری است که سابقة دزدی دارد، یک بار، دو بار، اصلاً پرونده و سوءسابقه دارد و این‌طور نیست که توبه کرده باشد، اگر در حق حضانت اختلافی پیدا شد، برویم از مراکزی که گواهی عدم سوءپیشینه می‌دهند، عدم سوءپیشینه این شخص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سوءپیشینه‌اش مکرّر است، بچه را به او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راحت می‌شود مشکل را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ما توجه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یک راه‌حل مشکل رعایت این شروط است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دیگر و بالاتر، توجه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درست سرِبزنگاه مسأله را همان قرار داده است که ما امروز بعد از هزار و چهارصد سال به عنوان یک بحث زنده داریم مطرح می‌کنیم، در زمانی </w:t>
      </w:r>
    </w:p>
    <w:p>
      <w:pPr>
        <w:pStyle w:val="BookText"/>
        <w:rPr/>
      </w:pPr>
      <w:r>
        <w:rPr>
          <w:rFonts w:ascii="IRNazanin" w:hAnsi="IRNazanin" w:eastAsia="IRNazanin"/>
          <w:color w:val="111111"/>
          <w:sz w:val="28"/>
          <w:sz w:val="28"/>
          <w:szCs w:val="28"/>
          <w:rtl w:val="true"/>
          <w:lang w:bidi="fa-IR"/>
        </w:rPr>
        <w:t>که بشر به گفت و گوی تمدن‌ها رسیده و این بحث را مطرح می‌کند؛ در حالی که قرآن هزار و چهارصد سالپیش مطرح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فرزندی نباید موجب زحمت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پدر و مادرش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سوره بقره</w:t>
      </w:r>
      <w:r>
        <w:rPr>
          <w:rStyle w:val="FootnoteAnchor"/>
          <w:rtl w:val="true"/>
        </w:rPr>
        <w:footnoteReference w:id="76"/>
      </w:r>
      <w:r>
        <w:rPr>
          <w:rFonts w:ascii="IRNazanin" w:hAnsi="IRNazanin" w:eastAsia="IRNazanin"/>
          <w:color w:val="111111"/>
          <w:sz w:val="28"/>
          <w:sz w:val="28"/>
          <w:szCs w:val="28"/>
          <w:rtl w:val="true"/>
          <w:lang w:bidi="fa-IR"/>
        </w:rPr>
        <w:t>است ما می‌آییم قانون حضانت و این آیه شریفه را می‌گذاریم کنار هم و می‌گوییم مثلاً مادر، تا دو سال یا هفت سال حق دارد کودک را تر و خشک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طوری است که پدر در صورت ندیدن فرزندش در گرفتاری و بیماری قرار می‌گیرد و برای مادر تنها ملاقات بچه کافی است، طبق منطق قرآن آن قانون تبصره می‌خورد و بچه را می‌دهیم به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یک شرط دارد و آن این است که پدر سبب جدایی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سبب جدایی شده و الآن دارد از نداشتن بچه رنج می‌برد، می‌گوییم خود کرده را تدبیر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عکسش هم در مورد مادر صادق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فرمایش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نتیجه می‌گیریم که از نظر فقهی و شرعی هیچ مشکلی وجود ندارد که حضانت بچه قانوناً با مادر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کشورهای اسلامی هم که نظام حقوقی بسیار قوی‌ای هم دارند و لاییک هم نیستند، حضانت بر عهدة مادر است و پدر فقط نفقه می‌پردازد چرا در اینجا این کار را نکنیم؟ آیا این از نقص قوانین ما نیست؟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العظمي صانعي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تا شرط که ذکر </w:t>
      </w:r>
    </w:p>
    <w:p>
      <w:pPr>
        <w:pStyle w:val="BookText"/>
        <w:rPr/>
      </w:pPr>
      <w:r>
        <w:rPr>
          <w:rFonts w:ascii="IRNazanin" w:hAnsi="IRNazanin" w:eastAsia="IRNazanin"/>
          <w:color w:val="111111"/>
          <w:sz w:val="28"/>
          <w:sz w:val="28"/>
          <w:szCs w:val="28"/>
          <w:rtl w:val="true"/>
          <w:lang w:bidi="fa-IR"/>
        </w:rPr>
        <w:t>کردم خیلی می‌تواند کارساز باشد و باز برمی‌گردیم به نفي ضرر و حرج و 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مادری عدم حضانت برایش مشقّتدارد یعنی می‌دانيم اگر این بچه نباشد، دیوانه می‌شود؛ شوهر طلاقش داده حالا همة دل‌خوشی‌اش به این بچه است پس به حکم آیة شریفه و به حکم نفی حرج</w:t>
      </w:r>
      <w:r>
        <w:rPr>
          <w:rStyle w:val="FootnoteAnchor"/>
          <w:rtl w:val="true"/>
        </w:rPr>
        <w:footnoteReference w:id="77"/>
      </w:r>
      <w:r>
        <w:rPr>
          <w:rFonts w:ascii="IRNazanin" w:hAnsi="IRNazanin" w:eastAsia="IRNazanin"/>
          <w:color w:val="111111"/>
          <w:sz w:val="28"/>
          <w:sz w:val="28"/>
          <w:szCs w:val="28"/>
          <w:rtl w:val="true"/>
          <w:lang w:bidi="fa-IR"/>
        </w:rPr>
        <w:t>ما می‌آییم و بچه را به مادر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هست که هر دو دچار مشقت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پدر و هم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می‌گوید من می‌خواهم زحمتش را بکشم، پدر هم می‌گوید من می‌خواهم بیشتر در کنارم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حل مشکل باید برویم سراغ این‌که کدام یک بر کدام یک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تکنیک‌هایی در خود فقه وجود دارد که می‌توان این را اثبات کرد و مشکلات را حل کرد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کردید که چطور می‌شود این را قانونی کرد؟ خیلی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قانون را ببریم روی غالب موارد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می‌گوییم به حکم غلبه، این پدر عسر و حرج و زحمتش ثابت است، اما به همان حکم غلبه، پدر دیگری عسر و حرج برایش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را اصل قانون قرار بدهیم و خلافش باید در دادگاه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مثال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زنی از شوهرش جدا شده و می‌خواهد به خانه پدرش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مادر گفت من دچار مشکل می‌شوم و بچه را می‌خواهم، بگوییم اصل بر این است که حرج برای مادر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مدعی </w:t>
      </w:r>
    </w:p>
    <w:p>
      <w:pPr>
        <w:pStyle w:val="BookText"/>
        <w:rPr/>
      </w:pPr>
      <w:r>
        <w:rPr>
          <w:rFonts w:ascii="IRNazanin" w:hAnsi="IRNazanin" w:eastAsia="IRNazanin"/>
          <w:color w:val="111111"/>
          <w:sz w:val="28"/>
          <w:sz w:val="28"/>
          <w:szCs w:val="28"/>
          <w:rtl w:val="true"/>
          <w:lang w:bidi="fa-IR"/>
        </w:rPr>
        <w:t>می‌شود که نه، این زن دارد کلک می‌زند، باید این کلکزدن را ثابت کند والا نمی‌شود حرف او را بدون دليل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قانون است، دین ضابطه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شورای نگهبان و مجلس می‌آمدند و به این نکته توجه می‌کردند که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می‌گوییم اصل بر این است، قانون بر این است که اگر شوهر معتاد باشد، زندگی با او حرجي است، می‌گویی از کجا معلوم که حرجي است؟ می‌گویم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غالباً حرج است، اصل بر این حرج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می‌نویسیم حرجی و دادگاه باید طبق آن زن را مطلَّقه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مرد آمد و گفت زن دروغ می‌گوید و زندگي با منِ معتاد حرج ندارد، مرد باید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خیلی سریع، و اثبات کردنش خیلی به طول نینجامد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می‌خواهد برای جامعه و برای نظام قضایی به شکل قانون دربیاید، می‌گوییم در اين موارد اصل بر حرجی بودن است و دیگری باید خلافش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خیلی راحت می‌شود قانون وضع کرد، یعنی این موارد غلبه را به صورت قانون دربیاوریم، تبصره بزنیم و خلافش را اگر کسی مدعی شد، باید ثابت کند و هیچ مشکلی هم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ممنون از این‌که وقتتان را در اختیار ما گذاشتید و در گفت وگوی ما شرکت کردید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آيت الله العظمي صانعي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از شما ممنونم</w:t>
      </w:r>
      <w:r>
        <w:rPr>
          <w:rFonts w:eastAsia="Amiri" w:cs="Amiri" w:ascii="Amiri" w:hAnsi="Amiri"/>
          <w:color w:val="111111"/>
          <w:sz w:val="28"/>
          <w:szCs w:val="28"/>
          <w:rtl w:val="true"/>
          <w:lang w:bidi="ar-SA"/>
        </w:rPr>
        <w:t xml:space="preserve">. </w:t>
      </w:r>
      <w:bookmarkStart w:id="78" w:name="pg9392_88063"/>
    </w:p>
    <w:p>
      <w:pPr>
        <w:pStyle w:val="Heading3"/>
        <w:numPr>
          <w:ilvl w:val="2"/>
          <w:numId w:val="1"/>
        </w:numPr>
        <w:rPr/>
      </w:pPr>
      <w:bookmarkStart w:id="79" w:name="__RefHeading___Toc5532580_2870459653"/>
      <w:bookmarkStart w:id="80" w:name="_Toc27"/>
      <w:bookmarkEnd w:id="78"/>
      <w:bookmarkEnd w:id="79"/>
      <w:r>
        <w:rPr>
          <w:rtl w:val="true"/>
        </w:rPr>
        <w:t xml:space="preserve">حق حضانت کودکان </w:t>
      </w:r>
      <w:r>
        <w:rPr>
          <w:rtl w:val="true"/>
        </w:rPr>
        <w:softHyphen/>
      </w:r>
      <w:r>
        <w:rPr>
          <w:rtl w:val="true"/>
        </w:rPr>
        <w:t>در فتاواي حضرت آيت اللّه العظمي صانعي</w:t>
      </w:r>
      <w:bookmarkEnd w:id="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هستم كه از شوهرم جدا شده‌ام و از او پسرى دارم كه نُه 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بچه دو ماهه در رَحِمم بوده، از شوهرم جدا شده‌ام و به خانه پدرم رفته‌ام و بچه‌ام آنجا متولّد و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شوهرم بارها اقرار كرده است كه بچه را نمى‌خواهد و بچه نيز هيچ گونه علاقه‌اى به پدرش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مسائل و اين‌که شوهر سابقم مردى بى‌بند و بار است، آيا حق دارم بچه‌ام را با خودم به خارج از كشور ببرم؟ و آيا حقّ حضانت دايمى او به من مى‌رسد يا پدرش كه ولىّ قانونى و شرعى اوست؟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اين‌جانب، حضانت فرزند، چه پسر و چه دختر تا هفت سالگى با مادر است؛ ليكن ولىّ قهرى، شرعاً پدر و يا مادر و يا جدّ پدرى است، و با نبود پدر به حكم آيه شريفه </w:t>
      </w:r>
      <w:r>
        <w:rPr>
          <w:rFonts w:ascii="Amiri" w:hAnsi="Amiri" w:eastAsia="Amiri" w:cs="Amiri"/>
          <w:color w:val="111111"/>
          <w:sz w:val="28"/>
          <w:sz w:val="28"/>
          <w:szCs w:val="28"/>
          <w:rtl w:val="true"/>
          <w:lang w:bidi="ar-SA"/>
        </w:rPr>
        <w:t>وَ اُولوا الْاَرحامِ بَعْضُهُم اَوْلى بِبَعْضٍ</w:t>
      </w:r>
      <w:r>
        <w:rPr>
          <w:rFonts w:ascii="IRNazanin" w:hAnsi="IRNazanin" w:eastAsia="IRNazanin"/>
          <w:color w:val="111111"/>
          <w:sz w:val="28"/>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مادر، بر پدر بزرگ، اولويت دارد و با نبود مادر، ولىّ او پدر بزرگ است و ولايت او ثابت است، و در مفروض سؤال اگر حاكم شرع تشخيص دهد كه پدر رعايت </w:t>
      </w:r>
    </w:p>
    <w:p>
      <w:pPr>
        <w:pStyle w:val="BookText"/>
        <w:rPr/>
      </w:pPr>
      <w:r>
        <w:rPr>
          <w:rFonts w:ascii="IRNazanin" w:hAnsi="IRNazanin" w:eastAsia="IRNazanin"/>
          <w:color w:val="111111"/>
          <w:sz w:val="28"/>
          <w:sz w:val="28"/>
          <w:szCs w:val="28"/>
          <w:rtl w:val="true"/>
          <w:lang w:bidi="fa-IR"/>
        </w:rPr>
        <w:t>مصلحت و غبطه طفل را نمى‌نمايد و باعث فساد فكرى و مالى و يا جانى طفل مى‌گردد، در اين صورت او را از ولايت عزل مى‌نمايد و مادر، ولىّ شرعى او مى‌باشد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حضانت فرزندان، در حالى كه مادرشان حضانت آنها را به عهده گرفته و حاضر به واگذارى به شخص ديگرى نيست، با كيست؟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حضانت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پسر و چه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هفت سال با مادر است، و بعد از آن با پدر است و جدا شدن مادر از پدر به فسخ يا طلاق قبل از هفت سال موجب سقوط حقّ الحضانه‌اش نمى‌باشد؛ و نفقه فرزندان برعهده پدر مى‌باشد و مادر براى كارهايى كه در ايام حضانت انجام مى‌دهد، حقّ مطالبه اجرت ندارد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بين زوجين مفارقت حاصل شود و فرزند مشتركى داشته باشند، در خصوص حقّ حضانت پدر يا مادر نسبت به فرزند مشترك، فتواى مشهور بين متأخرين اين است كه مادر در مورد فرزند دختر تا هفت سالگى و در مورد فرزند پسر تا دو سالگى اولويت در حضانت دارد و پس از آن اولويت در حضانت با پدر است؛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عاطفى فرزندان اعم از پسر و دختر در سنين پايين به مادر بيشتر است، و گرفتن پسر بچه‌ها در سنين دو تا هفت سالگى از مادر، در موارد </w:t>
      </w:r>
    </w:p>
    <w:p>
      <w:pPr>
        <w:pStyle w:val="BookText"/>
        <w:rPr/>
      </w:pPr>
      <w:r>
        <w:rPr>
          <w:rFonts w:ascii="Amiri" w:hAnsi="Amiri" w:eastAsia="Amiri" w:cs="Amiri"/>
          <w:color w:val="111111"/>
          <w:sz w:val="28"/>
          <w:sz w:val="28"/>
          <w:szCs w:val="28"/>
          <w:rtl w:val="true"/>
          <w:lang w:bidi="ar-SA"/>
        </w:rPr>
        <w:t>زيادى موجب اخلال در مسائل تربيتى و عاطفى آنان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پدرهاى ازدواج نكرده در نگهدارى اين گونه كودكان، دچار مشكلات حاد مى‌شوند و بيشتر بر مبناى لجاجت، اصرار در گرفتن كودك دارند، وبعد از تحويل نيز غالباً كودك را به عمه يا مادر بزرگ مى‌سپارند وخود مباشرت در حضانت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تعلّق عاطفى شديد در اغلب موارد، گرفتن پسر بچه سه يا چهار ساله از مادر، موجب عُسر و حَرَج بر مادر است در صورتى كه در صورت حضانت مادر، پدر نيز از طريق اعمال ولايت و نظارت كلّى، ارتباط با بچه‌هاى خود دارد و فشارى بر وى وارد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ياد شده خواهشمند است نظر خود را در مورد حضانت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حضانت فرزند چه پسر و چه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هفت سالگى با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حقّ الحضانه و اولويت آن براى مادر تا هفت سالگى، فرقى بين آن دو نمى‌باشد؛ و ناگفته نماند كه براى رفع نهايى امثال مشكل ياد شده در سؤال، بايد به فكر راه حلّ قانونى آن بود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انتهاى حضانت فرزند، چه زمانى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انتهاى حضانت به رشد اوست و در اين حكم، بين پسر و دختر فرقى نيست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اين مطلب كه بنا بر مشهور،</w:t>
      </w:r>
    </w:p>
    <w:p>
      <w:pPr>
        <w:pStyle w:val="BookText"/>
        <w:rPr/>
      </w:pPr>
      <w:r>
        <w:rPr>
          <w:rFonts w:ascii="IRNazanin" w:hAnsi="IRNazanin" w:eastAsia="IRNazanin"/>
          <w:color w:val="111111"/>
          <w:sz w:val="28"/>
          <w:sz w:val="28"/>
          <w:szCs w:val="28"/>
          <w:rtl w:val="true"/>
          <w:lang w:bidi="fa-IR"/>
        </w:rPr>
        <w:t xml:space="preserve">حقّ حضانت فرزند پسر تا دو سالگى و دختر تا هفت سالگى بر عهده مادر و بعد از آن با پدر است و تعدادى از زندانيان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زندانيان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بوده‌اند كه توسط كسى غير از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يا عمو يا مادر بزرگ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تربيت شده‌اند، آيا به نظر نمى‌رسد كه قانون بايد در اين زمينه اصلاحاتى داشته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فقهى و حكم شرعى، صلاحيت حضانت، شرط اصلى و حقيقى حضانت است و بديهى است كه با عدم آن، حقّ‌الحضانه، خود به خود ساقط است و اين سقوط و رسيدن حقّ‌الحضانه به ديگرى، اگر در قانون مطرح نشده باشد، بايد از نظر قانونى مورد توجّه قانون‌گذاران قرار گيرد و همان پاسخ شرعى، قانونى گردد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صورتى‌كه به علّت طلاق يا به هر جهتى ديگر، اَبَوين طفل در يك منزل سكونت نداشته باشند، هر يك از ابوين كه طفل تحت حضانت او نمى‌باشد، حقّ ملاقات طفل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زمان و مكان ملاقات و ساير جزئيات مربوط به آن، در صورت اختلاف بين ابوين با محكمه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مصداق پيدا مى‌نمايد كه ابوين، در حال حيات باشند؛ امّا آنچه در خصوص اين ماده قابل بحث است اينكه، آيا در صورتى كه هر يك از ابوين فوت نمايد؛ مثلاً پدر فوت نمايد و ولىّ قهرى هم نداشته باشند، آيا هر يك از طبقات مختلف ارث و درجات آن، مى‌توانند با طفلى كه حضانت او با مادر است، در صورت استنكاف و ممانعت مادر اطفال از ملاقات اقرباى نسبى و سببى، ملاقات نمايند يا خير؟ و در صورتى كه مادر طفل ممانعت به عمل آورد، آيا</w:t>
      </w:r>
    </w:p>
    <w:p>
      <w:pPr>
        <w:pStyle w:val="BookText"/>
        <w:rPr/>
      </w:pPr>
      <w:r>
        <w:rPr>
          <w:rFonts w:ascii="Amiri" w:hAnsi="Amiri" w:eastAsia="Amiri" w:cs="Amiri"/>
          <w:color w:val="111111"/>
          <w:sz w:val="28"/>
          <w:sz w:val="28"/>
          <w:szCs w:val="28"/>
          <w:rtl w:val="true"/>
          <w:lang w:bidi="ar-SA"/>
        </w:rPr>
        <w:t>مستند شرعى و قانونى وجود دارد كه او را ملزم به رفع ممانعت و تمكين نسبت به ملاقات با طفل نمايد يا خير؟</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صورتى كه همسر متوفّا زوجه دوم او باشد وبراى متوفّا يك فرزند دختر از زوجه اولش باشد، آيا اين دختر، در صورت ممانعت مادر صغار و طفل تحت حضانت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اين طفل برادر و خواهر ابى</w:t>
      </w:r>
      <w:r>
        <w:rPr>
          <w:rStyle w:val="FootnoteAnchor"/>
          <w:rtl w:val="true"/>
        </w:rPr>
        <w:footnoteReference w:id="84"/>
      </w:r>
      <w:r>
        <w:rPr>
          <w:rFonts w:ascii="Amiri" w:hAnsi="Amiri" w:eastAsia="Amiri" w:cs="Amiri"/>
          <w:color w:val="111111"/>
          <w:sz w:val="28"/>
          <w:sz w:val="28"/>
          <w:szCs w:val="28"/>
          <w:rtl w:val="true"/>
          <w:lang w:bidi="ar-SA"/>
        </w:rPr>
        <w:t xml:space="preserve">دختر زوجه اول متوفّاست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ملاقات با اين اطفال را دارد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براى قيّم صغار، ناظر استصوابى از سوى محكمه تعيين شده باشد و اين ناظر همچنين برادر ابوينى متوفّا باشد، آيا مادر طفل كه حضانت و قيموميت طفل به او انتقال يافته، مى‌تواند شرعاً و قانوناً مانع ملاقات ناظر استصوابى تعيين شده كه عموى صغار نيز هست بشود يا خير؟ به عبارت ديگر، آيا مى‌تواند مانع دستور و تكليف شرعى صله ارحام كه وظيفه انسانى و شرعى هر مسلمانى است، بشود يا خير؟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قانونى سؤال‌ها را از مراجع قانونى بايد استفسار نمود و قانون، پاسخگوى آن است؛ امّا از جهت شرعى، ولىّ و يا قيّم طفل، حقّ منع از صله رَحِم و اظهار عواطف اقربا و انسان‌ها نسبت به كودك چه رسد به ديگران را نداشته 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قيّم و يا ولىّ قهرى، ملاقاتى را بر خلاف مصلحت و داراى مفسده بداند، مى‌تواند جلوگيرى موردى بنمايد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زن و شوهرى به هنگام</w:t>
      </w:r>
    </w:p>
    <w:p>
      <w:pPr>
        <w:pStyle w:val="BookText"/>
        <w:rPr/>
      </w:pPr>
      <w:r>
        <w:rPr>
          <w:rFonts w:ascii="IRNazanin" w:hAnsi="IRNazanin" w:eastAsia="IRNazanin"/>
          <w:color w:val="111111"/>
          <w:sz w:val="28"/>
          <w:sz w:val="28"/>
          <w:szCs w:val="28"/>
          <w:rtl w:val="true"/>
          <w:lang w:bidi="fa-IR"/>
        </w:rPr>
        <w:t>طلاق داراى فرزند كم توان ذهنى باشند، آيا حضانت فرزند به پدر واگذار مى‌شود؟ با توجّه به اين‌که اين كودكان به مراقبت شديد مادر احتياج</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حضانت در اختيار مادر مى‌باشد و پدر حقّ گرفتن چنين فرزندى را كه از حيث نياز به مادر مانند طفل در دوران شيرخوارگى مى‌باشد، ندارد، اگرچه ادلّه حضانت پدر، دلالت بر حق داشتن هم بنمايد و نگوييم مسئله حضانت يك تكليف كفايى براى حفظ و مراقبت از كودك بين پدر و مادر است، نتيجتاً با درخواست يكى از آنها براى حضانت، تكليف از ديگرى ساقط مى‌شود و در صورت درخواست هر دو، بايد ببينيم كدام يك از آن دو بهتر حضانت مى‌نمايد؛ همچنين حضانت در امثال مورد سؤال با مادر است، به دليل انصراف ادلّه حضانت از چنين موردى كه كودك همانند دوران كودكى و شيرخوارگى قبل از دو سالگى مى‌باشد، و چگونه انصراف نداشته باشد و حال آنكه نياز چنين كودكى به مادر اگر بيشتر از نياز كودك به مادر قبل از دو سالگى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حضانتش با مادر است نه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قطعاً مساوى مى‌باشد؛ و باب حضانت باب عبادت نيست كه ثناء لله باشد و نتوان از او تعدّى و تجاوز نمود، بلكه باب امر اجتماعى و عقلايى و معامله بالمعنى الأعمّ است كه باب فهم و تعدّى در آن واسع است و مورد اجتهاد و فقه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 </w:t>
      </w:r>
      <w:r>
        <w:rPr>
          <w:rFonts w:eastAsia="IRNazanin" w:cs="IRNazanin"/>
          <w:color w:val="111111"/>
          <w:sz w:val="28"/>
          <w:szCs w:val="28"/>
          <w:lang w:bidi="fa-IR"/>
        </w:rPr>
        <w:t>1316</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بچه‌اى دو سال دوران حضانت خود رانزد مادرش سپرى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انقضاى مدّت حضانت مادر، پدر قصد استرداد طفل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طفل و مادر آن‌چنان به يكديگر وابسته و علاقه‌مند هستند كه جدا كردن آنها حتى هفته‌اى يك روز با مشقّت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متخصصين روانشناسى نظر دهند كه جدا كردن طفل از مادر موجب صدمه به سلامت روحى و روانى و همچنين جسمانى كودك و موجب مشقّت و فشار شديد روحى و روانى به مادر خواهد بود، تكليف چيست؟ خاصّه اين‌که پدر به دليل اشتغال خارج از منزل و بلكه خارج از شهر محلّ سكونت، مى‌خواهد طفل را نزد ديگرى بسپارد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نظر اين‌جانب، حقّ‌الحضانه مادر در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دختر و چه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است، ليكن به هر حال اگر جدا كردن فرزند از مادر داراى حَرَج و مشقّت براى فرزند يا مادر باشد، حقّ‌الحضانه پدر به خاطر قاعده نفى حَرَج ساقط مى‌گردد، مگر آنكه نبود فرزند نزد پدر نيز حَرَجى باشد كه در اينجا بايد اكثرُ حرجاً مراعات شود، يعنى هر يك از پدر يا مادر، چنانچه فرزند به او داده نشود، بيشتر در مشقّت واقع مى‌شود و بيشتر صدمه مى‌بيند؛ و تعارض حرجين در مورد سؤال كه مربوط به دو نفر مى‌باشد، مانند تعارض ضررين مربوط به دو نفر مى‌باشد كه درآنجا شيخ اعظم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لا ضرر</w:t>
      </w:r>
      <w:r>
        <w:rPr>
          <w:rStyle w:val="FootnoteAnchor"/>
          <w:rtl w:val="true"/>
        </w:rPr>
        <w:footnoteReference w:id="87"/>
      </w:r>
      <w:r>
        <w:rPr>
          <w:rFonts w:ascii="IRNazanin" w:hAnsi="IRNazanin" w:eastAsia="IRNazanin"/>
          <w:color w:val="111111"/>
          <w:sz w:val="28"/>
          <w:sz w:val="28"/>
          <w:szCs w:val="28"/>
          <w:rtl w:val="true"/>
          <w:lang w:bidi="fa-IR"/>
        </w:rPr>
        <w:t xml:space="preserve">همين مبنا را اختيار نموده و مطابق با تحقيق هم مى‌باشد، چون شارع تعالى كه نخواسته بندگانش درحرج قرار بگيرند، قطعاً خواستار </w:t>
      </w:r>
    </w:p>
    <w:p>
      <w:pPr>
        <w:pStyle w:val="BookText"/>
        <w:rPr/>
      </w:pPr>
      <w:r>
        <w:rPr>
          <w:rFonts w:ascii="IRNazanin" w:hAnsi="IRNazanin" w:eastAsia="IRNazanin"/>
          <w:color w:val="111111"/>
          <w:sz w:val="28"/>
          <w:sz w:val="28"/>
          <w:szCs w:val="28"/>
          <w:rtl w:val="true"/>
          <w:lang w:bidi="fa-IR"/>
        </w:rPr>
        <w:t xml:space="preserve">حكمى است كه حرجش كم‌تر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دو حرج نسبت به يك شخص و چه نسبت به دو شخص؛ چون همه بندگان در نظر او به منزله شخص واحد 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حرج‌ها مساوى باشند، به نظر مى‌رسد كه حقّ‌الحضانه پدر مقدّم برمادر باشد، چون حكم به اين‌که پدر از حقّ خودش استفاده نكند، خود اين حكم براى او حرجى مى‌باشد، به‌علاوه كه اطلاق دليل حقّ‌الحضانه پدر هم محكم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مدنى در ماده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تبعيت از نظر مشهور فقهاى عظام، براى نگاهدارى طفل ذكور تا دو سال و براى نگاهدارى طفل اناث تا سال هفتم، حضانت به وسيله مادر را مقدّم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فرضى كه زن با استفاده از حقّ شرعى و قانونى فوق، پس از متاركه با شوهر عهده‌دار حضانت فرزند بوده و به خوبى از عهده آن بر آمده، و مرد بعد از متاركه و بر خلاف زن به ازدواج مجدّد مبادرت نموده و در موعد مقرّر، متقاضى حضانت و استرداد فرزند از مادر شده، و اوضاع به گونه‌اى است كه مفارقت مادر و فرزند به ويژه در مواردى كه طفل اناث باشد باعث مشقّت غير قابل تحمّل براى مادر و يا طفل است، استرداد طفل از مادر و تحويل وى به پدر كه عملاً به معنى تحت تربيت قرار دادن طفل به وسيله نامادرى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راجع به دخترى كه به احتمال زياد به فاصله دو سال با رسيدن به سنّ بلوغ، مجدّداً زندگى با مادرش را بر خواهد 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يا خير؟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مفروض سؤال كه مفارقت فرزند از مادرو عدم حضانت او سبب حَرَج و مشقّت غير قابل تحمّل </w:t>
      </w:r>
    </w:p>
    <w:p>
      <w:pPr>
        <w:pStyle w:val="BookText"/>
        <w:rPr/>
      </w:pPr>
      <w:r>
        <w:rPr>
          <w:rFonts w:ascii="IRNazanin" w:hAnsi="IRNazanin" w:eastAsia="IRNazanin"/>
          <w:color w:val="111111"/>
          <w:sz w:val="28"/>
          <w:sz w:val="28"/>
          <w:szCs w:val="28"/>
          <w:rtl w:val="true"/>
          <w:lang w:bidi="fa-IR"/>
        </w:rPr>
        <w:t xml:space="preserve">براى مادر خواهد بود، و معارض با حَرَج پدر نسبت به مفارقتش از كودك و عدم حضانتش نسبت به طفل نباشد، حقّ حضانت به حكم لاحرج مربوط به مادر است؛ و ناگفته نماند آنچه مرقوم شد بيان حكم كلّى مسئله است و اثبات حرج و عدم حرج، نياز به محكمه شرعيه دارد؛ و در ضمن به نظر اين‌جانب حقّ‌الحضانة فى حدّ نفسه تا هفت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در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مادر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منحرف است و به علت داشتن رابطه نامشروع به خوردن شلّاق محكوم شده، در صورت جدايى از شوهرش، آيا مى‌تواند حضانت دختر سه ساله‌اش را به عهده بگيرد؟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مادرى كه صلاحيت حضانت كودك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جهت جسمى و چه از جهت فكرى و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متكفّل حضانت و سرپرستى باشد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پدر شرعاً مجاز است كه همسر سابق و مطلّقه‌اش را از ديدار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تحت حضانت پدر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نمايد؟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از صله رَحِم، گناه و معصيت استو پدر چنين حقّى ندارد</w:t>
      </w:r>
      <w:r>
        <w:rPr>
          <w:rFonts w:eastAsia="IRNazanin" w:cs="IRNazanin"/>
          <w:color w:val="111111"/>
          <w:sz w:val="28"/>
          <w:szCs w:val="28"/>
          <w:rtl w:val="true"/>
          <w:lang w:bidi="fa-IR"/>
        </w:rPr>
        <w:t>.</w:t>
      </w:r>
      <w:r>
        <w:rPr>
          <w:rStyle w:val="FootnoteAnchor"/>
          <w:rtl w:val="true"/>
        </w:rPr>
        <w:footnoteReference w:id="9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موافقت پدر و مادر مبنى بر اين‌که طفل، نزد يكى از آن دو باشد، حقّ حضانت واگذارنده از ميان خواهد رفت؟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اسقاط حق نموده باشد، حقّش ساقط مى‌گردد؛ ولى اگر محض رضايت به حضانت غير باشد، حق باقى است و ساقط نمى‌گردد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فوت كرده است و از او دو فرزند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قصد ازدواج دارم و به هيچ وجه قصد رها كردن فرزندان خود را ندارم، امّا خانواده شوهرم قصد دارند با زور، فرزندانم را از من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آنان چنين حقّى دارند؟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شرع و قانون، حقّ نگهدارى طفل بعد از فوت پدر، مطلقاً با مادر است</w:t>
      </w:r>
      <w:r>
        <w:rPr>
          <w:rFonts w:eastAsia="IRNazanin" w:cs="IRNazanin"/>
          <w:color w:val="111111"/>
          <w:sz w:val="28"/>
          <w:szCs w:val="28"/>
          <w:rtl w:val="true"/>
          <w:lang w:bidi="fa-IR"/>
        </w:rPr>
        <w:t>.</w:t>
      </w:r>
      <w:r>
        <w:rPr>
          <w:rStyle w:val="FootnoteAnchor"/>
          <w:rtl w:val="true"/>
        </w:rPr>
        <w:footnoteReference w:id="9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 </w:t>
      </w:r>
      <w:bookmarkStart w:id="81" w:name="pg9392_88073"/>
    </w:p>
    <w:p>
      <w:pPr>
        <w:pStyle w:val="Heading2"/>
        <w:numPr>
          <w:ilvl w:val="1"/>
          <w:numId w:val="1"/>
        </w:numPr>
        <w:rPr/>
      </w:pPr>
      <w:bookmarkStart w:id="82" w:name="__RefHeading___Toc5532582_2870459653"/>
      <w:bookmarkStart w:id="83" w:name="_Toc28"/>
      <w:bookmarkEnd w:id="81"/>
      <w:bookmarkEnd w:id="82"/>
      <w:r>
        <w:rPr>
          <w:rtl w:val="true"/>
        </w:rPr>
        <w:t>دفتر سوم</w:t>
      </w:r>
      <w:bookmarkEnd w:id="83"/>
    </w:p>
    <w:p>
      <w:pPr>
        <w:pStyle w:val="Heading3"/>
        <w:numPr>
          <w:ilvl w:val="2"/>
          <w:numId w:val="1"/>
        </w:numPr>
        <w:rPr/>
      </w:pPr>
      <w:bookmarkStart w:id="84" w:name="__RefHeading___Toc5532584_2870459653"/>
      <w:bookmarkStart w:id="85" w:name="_Toc29"/>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حقوق کودکان و نوجوانان</w:t>
      </w:r>
    </w:p>
    <w:p>
      <w:pPr>
        <w:pStyle w:val="BookText"/>
        <w:rPr/>
      </w:pPr>
      <w:r>
        <w:rPr>
          <w:rFonts w:ascii="IRNazanin" w:hAnsi="IRNazanin" w:eastAsia="IRNazanin"/>
          <w:color w:val="111111"/>
          <w:sz w:val="28"/>
          <w:sz w:val="28"/>
          <w:szCs w:val="28"/>
          <w:rtl w:val="true"/>
          <w:lang w:bidi="fa-IR"/>
        </w:rPr>
        <w:t>عوامل رعايت حقوق کودکان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مجازات اعدام براي نوجوانان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9392_88075"/>
      <w:bookmarkStart w:id="87" w:name="pg9392_88075"/>
      <w:bookmarkEnd w:id="87"/>
    </w:p>
    <w:p>
      <w:pPr>
        <w:pStyle w:val="Heading3"/>
        <w:numPr>
          <w:ilvl w:val="2"/>
          <w:numId w:val="1"/>
        </w:numPr>
        <w:rPr/>
      </w:pPr>
      <w:bookmarkStart w:id="88" w:name="pg9392_88075"/>
      <w:bookmarkStart w:id="89" w:name="__RefHeading___Toc5532586_2870459653"/>
      <w:bookmarkStart w:id="90" w:name="_Toc30"/>
      <w:bookmarkEnd w:id="88"/>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يکي از مهم‌ترين مباحث مطرح در ميان فعالان حقوق بشر، رعايت حقوق کودکان در جنبه‌هاي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 خردسالان که يکي از پايه‌ها و زيرساخت‌هاي جوامع بشري را تشکيل مي‌دهند، در قوانين بين‌المللي، منطقه‌اي و کشوري، داراي حقوقي هستند که گاه به نظر مي‌رسد قوانين موضوعه در اين بخش‌ها از جهاتي با یکدیگر هم‌خواني لازم را ندارند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يکي از پرسش‌هايي که در بدو امر براي فعّالان جهاني حقوق بشر همواره مطرح بوده و هست اين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کودکان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چيست؟ و آيا مي‌توان راهکاري يافت که قوانين موضوعه و قوانين عقل جمعي بشري را با قوانين شريعت تطبيق داد؟ چه راهکارهايي در انديشه ديني برايکرامت و حفظ جايگاه آنان وجود دارد؟ و آيا در مقابل کودک آزاری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عقل جمعي بشري در قالب کنوانسيون‌ها، قوانيني براي مقابله با آن وضع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می‌توان راهکارها و قوانینی یافت؟ و نگاه دينی در برابر ناهنجاري‌هاي انجام شده توسط کودکان چيست؟ و اگر کودکي جرمي مرتکب شد با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 يکسان تلقي شده و مجازاتي همسان، در نظر گرفته شده است؟ و پرسش‌های دیگری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عرصه گفتگو و مبادله افکار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پي مي‌آيد گفتگوي آقاي کريستين سالازار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Mr. Christian Salazar *olkmann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سفير يونيسف در ايران است که در ماه پاياني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خورشيدي در شهر قم با حضرت آيت‌الله العظمي صانعي در باره موضوعات و پرسش‌هایی که بدان اشاره نمودیم؛ انجام شده، و پاسخ‌های آن از سوی حضرت آيت الله العظمی صانعی ارائه گردیده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اهميت اين ديالوگ از اين جهت مهم است که آقای سالازار، علاوه بر سفير يونيسف بودن، خود از پژوهشگران حقوق بشري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با گرایش حقوق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مجامع مختلف و مسيحي مذهب در کشور‌های مختلف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هنگامي که در </w:t>
      </w:r>
    </w:p>
    <w:p>
      <w:pPr>
        <w:pStyle w:val="BookText"/>
        <w:rPr/>
      </w:pPr>
      <w:r>
        <w:rPr>
          <w:rFonts w:ascii="IRNazanin" w:hAnsi="IRNazanin" w:eastAsia="IRNazanin"/>
          <w:color w:val="111111"/>
          <w:sz w:val="28"/>
          <w:sz w:val="28"/>
          <w:szCs w:val="28"/>
          <w:rtl w:val="true"/>
          <w:lang w:bidi="fa-IR"/>
        </w:rPr>
        <w:t>اين گفتگوي رو در رو، با نگرش و ديدگاه‌هاي عالمانه حضرت آيت الله العظمي صانعي پيرامون حقوق کودک و ديدگاه فقها پيرامون جاري نبودن حدود درزمان غيبت و همچنين سخت‌گيري اثبات برخي حدود براساس آيين دادرسي اسلام و مسأله تساوي حقوق مسلمان با غير مسلمان آشنا مي‌شود، تحت تأثیر افکار معظم‌له قرار گرفته تا جايي که خطاب به ايشان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همين مطالب مختصري که از اسلام مطرح کرديد، مرا تشويق کرديد که مسلمان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با گشوده شدن باب تحمّل بيشتر و سعة صدر در نشر انديشه‌ها، بتوان بيش از پيش برداشت‌هاي نوگرايانه از اسلام را، در معرض و ديد جهانيان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در ابتداي اين دفتر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پرداختن به گفتگو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بيانية حضرت آيت الله العظمي صانعي به مناسبت روز جهاني کودک به مطلع اين دفتر مزيّن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پايان اين دفتر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دو دفتر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فتاوا و استفتائات ارزشمند و کاربردي معظم‌له در حوزة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کودک آزاري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تشکيل نظام ويژه دادرسي کودکان و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اضافه گرديده است</w:t>
      </w:r>
      <w:r>
        <w:rPr>
          <w:rFonts w:eastAsia="IRNazanin" w:cs="IRNazanin"/>
          <w:color w:val="111111"/>
          <w:sz w:val="28"/>
          <w:szCs w:val="28"/>
          <w:rtl w:val="true"/>
          <w:lang w:bidi="fa-IR"/>
        </w:rPr>
        <w:t xml:space="preserve">. </w:t>
      </w:r>
      <w:bookmarkStart w:id="91" w:name="pg9392_88079"/>
    </w:p>
    <w:p>
      <w:pPr>
        <w:pStyle w:val="Heading3"/>
        <w:numPr>
          <w:ilvl w:val="2"/>
          <w:numId w:val="1"/>
        </w:numPr>
        <w:rPr/>
      </w:pPr>
      <w:bookmarkStart w:id="92" w:name="__RefHeading___Toc5532588_2870459653"/>
      <w:bookmarkStart w:id="93" w:name="_Toc31"/>
      <w:bookmarkEnd w:id="91"/>
      <w:bookmarkEnd w:id="92"/>
      <w:r>
        <w:rPr>
          <w:rtl w:val="true"/>
        </w:rPr>
        <w:t>بيانيه حضرت آيت اللّه العظمي صانعي به مناسبت روز جهاني كودك</w:t>
      </w:r>
      <w:bookmarkEnd w:id="93"/>
    </w:p>
    <w:p>
      <w:pPr>
        <w:pStyle w:val="BookText"/>
        <w:rPr/>
      </w:pPr>
      <w:r>
        <w:rPr>
          <w:rFonts w:ascii="Amiri" w:hAnsi="Amiri" w:eastAsia="Amiri" w:cs="Amiri"/>
          <w:color w:val="111111"/>
          <w:sz w:val="28"/>
          <w:sz w:val="28"/>
          <w:szCs w:val="28"/>
          <w:rtl w:val="true"/>
          <w:lang w:bidi="ar-SA"/>
        </w:rPr>
        <w:t>بسمه تعالي</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 رسيدن روز جهاني کودک را که روز مبارک و ميمون و گوياي حبّ به انسانيّت و علاقه به حقوق همه افراد بشر مخصوصاً کودکان كه قدرت دفاع از حقوق خود را ندارند و امسال با ايام ماه مبارک رمضان كه بهترين و با ارزش‌ترين روزهاي سال از نظر اسلام است مقارن گشته، به همگان مخصوصاً سازمان يونيسف تبريک گفته و از خداوند مهربان دوام مبارک بودن و توفيق خدمات زيادتر به کودکان را بيش از پيش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چنين نباشد حال آن‌که در فرهنگ اسلام، کسي را که عاطفه و علاقه به کودکان ندارد، انساني بدبخت، طعمه آتش جهنم، آتش بي احساساتي و قساوت‌هاي خود دانسته، و در يک کلمه، اين شخص گرفتار عذاب وجدان انساني خود در حال حياتش، و عذاب جهنم بعد از مرگش خواهد بود و برهمه ماست </w:t>
      </w:r>
    </w:p>
    <w:p>
      <w:pPr>
        <w:pStyle w:val="BookText"/>
        <w:rPr/>
      </w:pPr>
      <w:r>
        <w:rPr>
          <w:rFonts w:ascii="IRNazanin" w:hAnsi="IRNazanin" w:eastAsia="IRNazanin"/>
          <w:color w:val="111111"/>
          <w:sz w:val="28"/>
          <w:sz w:val="28"/>
          <w:szCs w:val="28"/>
          <w:rtl w:val="true"/>
          <w:lang w:bidi="fa-IR"/>
        </w:rPr>
        <w:t>که براي رفاه و آسايش انسان‌ها و خدمت به بشريت و حفظ حقوق کودکان بي پناه نه تنها از اذيّت شدن و اعمال خشونت نسبت به آنها جلوگيري نموده و خشونت و اذيت کردن آنها را جرم قانوني قرار داده؛ بلکه بايد با آنها با مهرباني و علاقه و اظهار دوستي رفتارنموده تا در خود احساس حقارت و کم بودن عاطفه ننمايند که خود، عواقب وخيمي براي جامعه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براي رسيدن به آنچه ذکر شد، علاوه بر کارهاي فردي و تربيت‌هاي انساني و ترويج فرهنگ غني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فرهنگ بلند بشريت است تا جايي که اظهار علاقه به کودکان و فرزندان را سبب ارتقاء درجات انسانيّت در دنيا و درجات کمال در آخرت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همکاري همه جانبه با سازمان يونيسف که ايثارگرانه براي کودکان تلاش مي‌نمايد و در نزد انسان‌ها محبوب، و در نزد خداوند مأجور، دريغ نداشته و روح تعاون در خير و برّ و نيکي را که اصل و زيربناي همه سازمان‌هاي بشردوستانه است، در خود زنده نگه داريم تا به نفع فرزندان خود و ديگران بلکه همه انسان‌ها تمام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علينا و علي عبادالله الصالحين في الارض</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 صانعي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bookmarkStart w:id="94" w:name="pg9392_88083"/>
    </w:p>
    <w:p>
      <w:pPr>
        <w:pStyle w:val="Heading3"/>
        <w:numPr>
          <w:ilvl w:val="2"/>
          <w:numId w:val="1"/>
        </w:numPr>
        <w:rPr/>
      </w:pPr>
      <w:bookmarkStart w:id="95" w:name="__RefHeading___Toc5532590_2870459653"/>
      <w:bookmarkStart w:id="96" w:name="_Toc32"/>
      <w:bookmarkEnd w:id="94"/>
      <w:bookmarkEnd w:id="95"/>
      <w:r>
        <w:rPr>
          <w:rtl w:val="true"/>
        </w:rPr>
        <w:t>گفت و گو</w:t>
      </w:r>
      <w:bookmarkEnd w:id="9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بلكه در يك عرصة گسترده و بين المللى هم، از اهميت مضاعفى بين متفكران شيعه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وضعيت كودكان در ايران را</w:t>
      </w:r>
    </w:p>
    <w:p>
      <w:pPr>
        <w:pStyle w:val="BookText"/>
        <w:rPr/>
      </w:pPr>
      <w:r>
        <w:rPr>
          <w:rFonts w:ascii="IRNazanin" w:hAnsi="IRNazanin" w:eastAsia="IRNazanin"/>
          <w:color w:val="111111"/>
          <w:sz w:val="28"/>
          <w:sz w:val="28"/>
          <w:szCs w:val="28"/>
          <w:rtl w:val="true"/>
          <w:lang w:bidi="fa-IR"/>
        </w:rPr>
        <w:t xml:space="preserve">خيلى بهتر مي‌بينم، اما با توجه به تغييرات اجتماعى، مسائل جديدى هم به وجود آمده است، مثل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بحث جديدى است، يا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 آزارى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دلیل شرايط روحى و استرس‌هايى كه پدر و مادرها با آن مواجه هستند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همين، لازم است كه با مراجع مذهبى و رهبران دينى هم گفتگو شود تا براى عموم مردم، راهنماى عملى ارائه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و مطالعات من نشان مي‌دهد شيعه مي‌تواند به عنوان يك تفكّر مترقّى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همكاران من هم وقتى كه با چنين تفكرات بديع و مترقّيانه‌اى در شيعه روبه‌رو مي‌شوند، خيلى تعجب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مي‌كنم يكى از وظايف ما اين باشد كه اين تفكر را در بيرون از ايران معرفى كنيم، همان‌طور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توريدو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ديديم كه آنها چقدر از شنيدن اين تفكرات مترقّيانه متعجّب شدند، ما با اين‌که از نظرات مترقيانه شما آگاهى داريم، ولى در خواست مي‌كنيم كه به خاطرحس كنجكاوى همكارانمان، ما را با نظرات و ديدگاه‌هاى خود در 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كودكان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آشنا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خواهشمنديم ما را، راهنمايى كنيد كه چگونه مي‌توانيم در زمينه كودك</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آزارى و بحثِ تربيت غير خشونت‌آميز در خانواده‌ها، با مراجع مذهبى به گفتگو بپردازيم و اين دانش را به درون خانواده‌ها انتقال دهيم تا تعليم و تربيت از راه‌هاى غير خشونت آميز دنبال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العظمی صانعی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اعوذ بالله من الشيطان الرجيم</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هم از شما تشكر مي‌كنم و خوشحال هستم كه شما با تفكر مترقّيانه شيعه در زمينه كودكان و زنان آشنا </w:t>
      </w:r>
    </w:p>
    <w:p>
      <w:pPr>
        <w:pStyle w:val="BookText"/>
        <w:rPr/>
      </w:pPr>
      <w:r>
        <w:rPr>
          <w:rFonts w:ascii="IRNazanin" w:hAnsi="IRNazanin" w:eastAsia="IRNazanin"/>
          <w:color w:val="111111"/>
          <w:sz w:val="28"/>
          <w:sz w:val="28"/>
          <w:szCs w:val="28"/>
          <w:rtl w:val="true"/>
          <w:lang w:bidi="fa-IR"/>
        </w:rPr>
        <w:t>هستيد و علاقه‌منديد كه آن را در سطح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ترى بسط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مبانى شيعه براى تمام روشنفكران و تحصيلكرده‌ها روشن است و همه مي‌دانند كه انديشه شيعه، از مجراى عدالت طلبانه و انسان دوستانه صادر شده است و مبناى آن را احترام به حقوق انسان‌ها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تأكيد كنم كه اين فكر شما، نسبت به كودكان، بسيار خوب است؛ بحثى كه منشأ آن به خداوند 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كتاب آسمانى ما، قرآن نيز چنين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 أُولئِكَ الَّذِينَ هَدَاهُمُ اللهُ وَأُولئِكَ هُمْ أُولُوا الْاَلْبَابِ</w:t>
      </w:r>
      <w:r>
        <w:rPr>
          <w:rFonts w:ascii="IRNazanin" w:hAnsi="IRNazanin" w:eastAsia="IRNazanin"/>
          <w:color w:val="111111"/>
          <w:sz w:val="28"/>
          <w:sz w:val="28"/>
          <w:szCs w:val="28"/>
          <w:rtl w:val="true"/>
          <w:lang w:bidi="fa-IR"/>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بندگان مرا مژده ده، آنان که سخن را می‌شنوند و بهترین آن را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اینانند کسانی که خداوند هدایتشان نموده و ایشانند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مي‌فرمايد ما انسان‌ها را هدايت كرديم تا بهترين‌ها را انتخاب كنند و خداوند در اين انتخاب خوب، تأثير مي‌گذارد و آنان را صاحب انديشه، عقل و خرد بالايى مي‌سازد؛ اينها صاحبان عقل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صاحب درك مي‌داند، يعنى بالاترين مدال و جايزه را به امثال شما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قبل از بحث اصلی به دو نکته اشاره می‌کنم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اين‌که امروز بنده مي‌توانم با شما سخن بگويم و حقوق كودك و زن را از نگاه شيعى طرح نمايم، بخاطر رخداد انقلاب اسلامى و خدمات بنيانگذار </w:t>
      </w:r>
    </w:p>
    <w:p>
      <w:pPr>
        <w:pStyle w:val="BookText"/>
        <w:rPr/>
      </w:pPr>
      <w:r>
        <w:rPr>
          <w:rFonts w:ascii="Amiri" w:hAnsi="Amiri" w:eastAsia="Amiri" w:cs="Amiri"/>
          <w:color w:val="111111"/>
          <w:sz w:val="28"/>
          <w:sz w:val="28"/>
          <w:szCs w:val="28"/>
          <w:rtl w:val="true"/>
          <w:lang w:bidi="ar-SA"/>
        </w:rPr>
        <w:t>جمهورى اسلامى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مرهون انديشه‌هاى مترقّيانه امام خمينى قدس سره هستيم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حركت علمى در سايركشورهاى اسلامى نيز جاى خود را باز كرده و انسان‌ها را با مسايل حقوقى و سياسى و مبانى آزادى طلبى و عدالت خواهى خود آشنا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باید به ياد داشته باشيم كه حدود پنج قرن پيش، جامعه علمی شيعى، شخصى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اردبيلى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خود داشته كه علاوه بر تدیّن بالا، داراى افكار علمی مترقّى و نورانى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نه تنها با مباحث علمى روشنگرى مي‌كرد، بلكه با تقواى خود نيز توانست افكارش را در جامعه منتشر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خود فرض مي‌دانيم، به ايشان و همة علما و دانشمندان جهان كه در راه زدودن جهل و نادانى گام بر مي‌دارند درود بفرستيم، اگر ما امروز مي‌توانيم مسائل نو و جديدى را طرح كنيم، به واسطه داشتن چنين شخيصت‌هايى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پشتوانه آنها مي‌توانيم به مقابله با جهل و نادانى برويم و احكام نورانى اسلام را در جهان بشريت منتشر سازيم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تاريخ حوزه‌هاى علمي شیعی، شخصيت ممتاز ديگرى نيز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ميرزاى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توانسته با انديشه‌هايش، تحرّكى در مباحث دينى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كتاب وزينى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مورد انتقاد برخى از افراد حوزه علمیه آن زمان قرار گرفت تا جايى كه نقل كرده‌اند،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به كتاب ايشان بى‌احترامى نيز </w:t>
      </w:r>
    </w:p>
    <w:p>
      <w:pPr>
        <w:pStyle w:val="BookText"/>
        <w:rPr/>
      </w:pPr>
      <w:r>
        <w:rPr>
          <w:rFonts w:ascii="IRNazanin" w:hAnsi="IRNazanin" w:eastAsia="IRNazanin"/>
          <w:color w:val="111111"/>
          <w:sz w:val="28"/>
          <w:sz w:val="28"/>
          <w:szCs w:val="28"/>
          <w:rtl w:val="true"/>
          <w:lang w:bidi="fa-IR"/>
        </w:rPr>
        <w:t>كرده‌اند و ميرزاى قمى در مقابل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شاكر هستم كه اگر كتاب مرا بيرون انداخته‌اند لااقل آنرا ديده و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مسأله سبب شد كه اين اثر گرانقدر بيش از دو قرن در حوزه‌هاى علميه مطرح شود و مباحث آن مورد بحث و بررسى قرار گیرد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اين‌که شما مي‌خواهيد با بزرگان حوزه علميه که دارای افکار نو و مترقّیانه هستند تماس بگيريد، کاری بسيار به‌جا و مناسب است؛ زیرا ما در مجامع علمی خود چنين شخصيت‌هايى كم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هم دانشمندان بزرگ و انسان‌هاى بسيار والايى هستند كه هم سابقه تحصيل در حوزه را دارند و هم در دانشگاه‌ها تدريس مي‌كنند</w:t>
      </w:r>
      <w:r>
        <w:rPr>
          <w:rFonts w:eastAsia="IRNazanin" w:cs="IRNazanin"/>
          <w:color w:val="111111"/>
          <w:sz w:val="28"/>
          <w:szCs w:val="28"/>
          <w:rtl w:val="true"/>
          <w:lang w:bidi="fa-IR"/>
        </w:rPr>
        <w:t xml:space="preserve">. </w:t>
      </w:r>
      <w:bookmarkStart w:id="97" w:name="pg9392_88094"/>
    </w:p>
    <w:p>
      <w:pPr>
        <w:pStyle w:val="Heading3"/>
        <w:numPr>
          <w:ilvl w:val="2"/>
          <w:numId w:val="1"/>
        </w:numPr>
        <w:rPr/>
      </w:pPr>
      <w:bookmarkStart w:id="98" w:name="__RefHeading___Toc5532592_2870459653"/>
      <w:bookmarkStart w:id="99" w:name="_Toc33"/>
      <w:bookmarkEnd w:id="97"/>
      <w:bookmarkEnd w:id="98"/>
      <w:r>
        <w:rPr>
          <w:rtl w:val="true"/>
        </w:rPr>
        <w:t>عوامل رعایت حقوق کودک</w:t>
      </w:r>
      <w:bookmarkEnd w:id="99"/>
    </w:p>
    <w:p>
      <w:pPr>
        <w:pStyle w:val="Heading4"/>
        <w:numPr>
          <w:ilvl w:val="3"/>
          <w:numId w:val="1"/>
        </w:numPr>
        <w:rPr/>
      </w:pPr>
      <w:bookmarkStart w:id="100" w:name="__RefHeading___Toc5532594_2870459653"/>
      <w:bookmarkStart w:id="101" w:name="_Toc34"/>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اما در باره رعایت حقوق كودك، عوامل متعددى را مي‌توان از منظر شيعه بررسى كرد كه به بخشى از آنها اشاره مي‌كنيم</w:t>
      </w:r>
      <w:r>
        <w:rPr>
          <w:rFonts w:eastAsia="IRNazanin" w:cs="IRNazanin"/>
          <w:color w:val="111111"/>
          <w:sz w:val="28"/>
          <w:szCs w:val="28"/>
          <w:rtl w:val="true"/>
          <w:lang w:bidi="fa-IR"/>
        </w:rPr>
        <w:t>:</w:t>
      </w:r>
    </w:p>
    <w:p>
      <w:pPr>
        <w:pStyle w:val="Heading4"/>
        <w:numPr>
          <w:ilvl w:val="3"/>
          <w:numId w:val="1"/>
        </w:numPr>
        <w:rPr/>
      </w:pPr>
      <w:bookmarkStart w:id="102" w:name="__RefHeading___Toc5532596_2870459653"/>
      <w:bookmarkStart w:id="103" w:name="_Toc35"/>
      <w:bookmarkEnd w:id="102"/>
      <w:r>
        <w:rPr/>
        <w:t>1</w:t>
      </w:r>
      <w:r>
        <w:rPr>
          <w:rtl w:val="true"/>
        </w:rPr>
        <w:t xml:space="preserve">) </w:t>
      </w:r>
      <w:r>
        <w:rPr>
          <w:rtl w:val="true"/>
        </w:rPr>
        <w:t>ریشه کن کردن فقر</w:t>
      </w:r>
      <w:bookmarkEnd w:id="10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همه قدرتمندان حكومتى و اقتصادى، تلاش كنند تا فقر را در جوامع بشرى ريشه‌كن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عوامل كودك آزارى، فقر و نابسامانى اقتصادى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خانواده‌هاى فقير مذهبى، توانسته‌اند با انديشه دينى، به تربيت فرزندان خود بپردازند و با آنها از طريق عاطفى برخورد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تلاش كنيد كه با وضع قوانين خاص، به قدرتمندان بفهمانيد كه با ريشه‌کن كردن فقر از جوامع، كودك آزارى هم كم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قوانين بين المللى مي‌خوانيم كه كودكان را نبايد به كار گمارد، اين قانون، بسيار خوب و ارزنده است، ولى راه حل به کار نگرفتن 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کارهایی که خارج از توان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 کردن فقر در جوامع می‌باشد و تا زمانی که خانواده‌ها در فقر به سر </w:t>
      </w:r>
      <w:bookmarkStart w:id="104" w:name="pg9392_88096"/>
    </w:p>
    <w:p>
      <w:pPr>
        <w:pStyle w:val="BookText"/>
        <w:rPr/>
      </w:pPr>
      <w:bookmarkEnd w:id="104"/>
      <w:r>
        <w:rPr>
          <w:rFonts w:ascii="IRNazanin" w:hAnsi="IRNazanin" w:eastAsia="IRNazanin"/>
          <w:color w:val="111111"/>
          <w:sz w:val="28"/>
          <w:sz w:val="28"/>
          <w:szCs w:val="28"/>
          <w:rtl w:val="true"/>
          <w:lang w:bidi="fa-IR"/>
        </w:rPr>
        <w:t>می‌برند، به ناگزير فرزندان را براى تأمين هزينه‌هاى زندگى، به كار مي‌گمارند</w:t>
      </w:r>
      <w:r>
        <w:rPr>
          <w:rFonts w:eastAsia="IRNazanin" w:cs="IRNazanin"/>
          <w:color w:val="111111"/>
          <w:sz w:val="28"/>
          <w:szCs w:val="28"/>
          <w:rtl w:val="true"/>
          <w:lang w:bidi="fa-IR"/>
        </w:rPr>
        <w:t>.</w:t>
      </w:r>
    </w:p>
    <w:p>
      <w:pPr>
        <w:pStyle w:val="Heading4"/>
        <w:numPr>
          <w:ilvl w:val="3"/>
          <w:numId w:val="1"/>
        </w:numPr>
        <w:rPr/>
      </w:pPr>
      <w:bookmarkStart w:id="105" w:name="__RefHeading___Toc5532598_2870459653"/>
      <w:bookmarkStart w:id="106" w:name="_Toc36"/>
      <w:bookmarkEnd w:id="105"/>
      <w:r>
        <w:rPr/>
        <w:t>2</w:t>
      </w:r>
      <w:r>
        <w:rPr>
          <w:rtl w:val="true"/>
        </w:rPr>
        <w:t xml:space="preserve">) </w:t>
      </w:r>
      <w:r>
        <w:rPr>
          <w:rtl w:val="true"/>
        </w:rPr>
        <w:t>ایجاد زمینه تحصیل و فراگیری دانش</w:t>
      </w:r>
      <w:bookmarkEnd w:id="106"/>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زمینه، و تشويق به تحصيل و دانش، که زمينه‌ساز رشد فكرى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فرهنگ و رشد فکری خانواده‌ها را تقويت كرد، چرا كه ريشه اساسی فقر، در جهل و بى سوادى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بايستی زمينه تحصيل كودكان را فراهم ساخت وخانواده‌ها را به اين كار تشويق كرد تا فرزندان به سوی دانش و فراگیری تخصص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لازم بروند</w:t>
      </w:r>
      <w:r>
        <w:rPr>
          <w:rFonts w:eastAsia="IRNazanin" w:cs="IRNazanin"/>
          <w:color w:val="111111"/>
          <w:sz w:val="28"/>
          <w:szCs w:val="28"/>
          <w:rtl w:val="true"/>
          <w:lang w:bidi="fa-IR"/>
        </w:rPr>
        <w:t>.</w:t>
      </w:r>
    </w:p>
    <w:p>
      <w:pPr>
        <w:pStyle w:val="Heading4"/>
        <w:numPr>
          <w:ilvl w:val="3"/>
          <w:numId w:val="1"/>
        </w:numPr>
        <w:rPr/>
      </w:pPr>
      <w:bookmarkStart w:id="107" w:name="__RefHeading___Toc5532600_2870459653"/>
      <w:bookmarkStart w:id="108" w:name="_Toc37"/>
      <w:bookmarkEnd w:id="107"/>
      <w:r>
        <w:rPr/>
        <w:t>3</w:t>
      </w:r>
      <w:r>
        <w:rPr>
          <w:rtl w:val="true"/>
        </w:rPr>
        <w:t xml:space="preserve">) </w:t>
      </w:r>
      <w:r>
        <w:rPr>
          <w:rtl w:val="true"/>
        </w:rPr>
        <w:t>تنظیم خانواده و فرزند کمتر</w:t>
      </w:r>
      <w:bookmarkEnd w:id="10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تحديد و تنظيم نسل، از موضوعاتى است كه بايد به آن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كمتر، باعث رفاه، زندگى بهتر و رسيدگى بيشتر به آنان مي‌شود و پدر و مادر مي‌توانند در اين صورت، به تربيت صحيح بپردازند و به مشكلات آنها توجه بيشترى داشته باشند که یکی از نتایج مهم آن، به‌وجود نیامدن مسأله كودك آزارى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روى مسأله تنظيم خانواده فعاليت كنيم و افزايش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رویه آن را تهديدي براي خانه، خانواده و از همه مهم‌تر، جامعه بپنداريم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قِلةُ العيال اِحدى </w:t>
      </w:r>
      <w:bookmarkStart w:id="109" w:name="pg9392_88099"/>
    </w:p>
    <w:p>
      <w:pPr>
        <w:pStyle w:val="BookText"/>
        <w:rPr/>
      </w:pPr>
      <w:bookmarkEnd w:id="109"/>
      <w:r>
        <w:rPr>
          <w:rFonts w:ascii="Amiri" w:hAnsi="Amiri" w:eastAsia="Amiri" w:cs="Amiri"/>
          <w:color w:val="111111"/>
          <w:sz w:val="28"/>
          <w:sz w:val="28"/>
          <w:szCs w:val="28"/>
          <w:rtl w:val="true"/>
          <w:lang w:bidi="ar-SA"/>
        </w:rPr>
        <w:t>اليَساريَن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به این معنی که اگر ما دو آسانى و سهولتداشته باشيم، يكى از آنها كمى عائله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بدانيم كه بين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اى با ده تا بچه، با دو تا بچه؛ تفاوت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انسان‌ها به بقاء نسل و نَسَب خویش علاقه دارند و به فرزندان خود دلبسته‌اند، اما وقتى اولاد زياد باشد، برای تربيت و رسيدگى به وضعیّت معاش، شغل و ازدواج آنها و دیگر موارد، دچار مشكل مي‌شوند و اصلاً ممكن است نتوانند به آنها از جهات روحی و جسمی رسيدگى كنند</w:t>
      </w:r>
      <w:r>
        <w:rPr>
          <w:rFonts w:eastAsia="IRNazanin" w:cs="IRNazanin"/>
          <w:color w:val="111111"/>
          <w:sz w:val="28"/>
          <w:szCs w:val="28"/>
          <w:rtl w:val="true"/>
          <w:lang w:bidi="fa-IR"/>
        </w:rPr>
        <w:t>.</w:t>
      </w:r>
    </w:p>
    <w:p>
      <w:pPr>
        <w:pStyle w:val="Heading4"/>
        <w:numPr>
          <w:ilvl w:val="3"/>
          <w:numId w:val="1"/>
        </w:numPr>
        <w:rPr/>
      </w:pPr>
      <w:bookmarkStart w:id="110" w:name="__RefHeading___Toc5532602_2870459653"/>
      <w:bookmarkStart w:id="111" w:name="_Toc38"/>
      <w:bookmarkEnd w:id="110"/>
      <w:r>
        <w:rPr/>
        <w:t>4</w:t>
      </w:r>
      <w:r>
        <w:rPr>
          <w:rtl w:val="true"/>
        </w:rPr>
        <w:t xml:space="preserve">) </w:t>
      </w:r>
      <w:r>
        <w:rPr>
          <w:rtl w:val="true"/>
        </w:rPr>
        <w:t xml:space="preserve">تربیت دینی </w:t>
      </w:r>
      <w:r>
        <w:rPr>
          <w:rtl w:val="true"/>
        </w:rPr>
        <w:t xml:space="preserve">- </w:t>
      </w:r>
      <w:r>
        <w:rPr>
          <w:rtl w:val="true"/>
        </w:rPr>
        <w:t>علمی</w:t>
      </w:r>
      <w:bookmarkEnd w:id="111"/>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عوامل رعایت حقوق کودک و ممانعت از کودک آزاری، عامل تربيت است، آن هم، تربيت توأمان دينی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انتظار نتیجه فوری داشت بلکه اگر بتوانيم انسان‌ها را از امروز با مشى دينى و علمى تربيت كنيم، ممکن است سال‌ها طول بکشد تا به نتيجه برسد، چرا كه تربيت بايد در وراثت و ژن‌ها اثر بگذارد، در اين صورت و در دراز مدت ديگر كودك آزارى، مفهوم و مصداقی ندارد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راه تربيت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رهبران مذهبى از یک سو، و اندیشمندان و متخصصان علوم تربیتی، جامعه </w:t>
      </w:r>
      <w:bookmarkStart w:id="112" w:name="pg9392_88101"/>
    </w:p>
    <w:p>
      <w:pPr>
        <w:pStyle w:val="BookText"/>
        <w:rPr/>
      </w:pPr>
      <w:bookmarkEnd w:id="112"/>
      <w:r>
        <w:rPr>
          <w:rFonts w:ascii="IRNazanin" w:hAnsi="IRNazanin" w:eastAsia="IRNazanin"/>
          <w:color w:val="111111"/>
          <w:sz w:val="28"/>
          <w:sz w:val="28"/>
          <w:szCs w:val="28"/>
          <w:rtl w:val="true"/>
          <w:lang w:bidi="fa-IR"/>
        </w:rPr>
        <w:t>شناسی و روان شناسی از سوی دیگر، مسئوليت سنگينىدارند و آنها بايد در ارتقاء سطح فرهنگى و تربيتى جوامع بشرى در جهت رعایت حقوق کودکان، نقش فعّالى را ايفا كنند</w:t>
      </w:r>
      <w:r>
        <w:rPr>
          <w:rFonts w:eastAsia="IRNazanin" w:cs="IRNazanin"/>
          <w:color w:val="111111"/>
          <w:sz w:val="28"/>
          <w:szCs w:val="28"/>
          <w:rtl w:val="true"/>
          <w:lang w:bidi="fa-IR"/>
        </w:rPr>
        <w:t>.</w:t>
      </w:r>
    </w:p>
    <w:p>
      <w:pPr>
        <w:pStyle w:val="Heading4"/>
        <w:numPr>
          <w:ilvl w:val="3"/>
          <w:numId w:val="1"/>
        </w:numPr>
        <w:rPr/>
      </w:pPr>
      <w:bookmarkStart w:id="113" w:name="__RefHeading___Toc5532604_2870459653"/>
      <w:bookmarkStart w:id="114" w:name="_Toc39"/>
      <w:bookmarkEnd w:id="113"/>
      <w:r>
        <w:rPr/>
        <w:t>5</w:t>
      </w:r>
      <w:r>
        <w:rPr>
          <w:rtl w:val="true"/>
        </w:rPr>
        <w:t xml:space="preserve">) </w:t>
      </w:r>
      <w:r>
        <w:rPr>
          <w:rtl w:val="true"/>
        </w:rPr>
        <w:t>احترام به کودکان</w:t>
      </w:r>
      <w:bookmarkEnd w:id="11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ديگر از عوامل رعايت حقوق کودکان، احترام و برخورد صحيح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دِین خود را ادا کرده و خودم به این سفارش عمل کرده باشم تنها به یکی دو نمونه از احترام پیامبر اسلام صلی الله علیه و آله به کودکان اشاره می‌کنم با ذکر این نکته که، دنيا بداند كه اسلام براى خردسالان و کودکان اهميت به سزایی قائل است و نسل بشر را با هر سنّي که باشند، قابل احترام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كه پيامبر رحمت، عدالت و انسانيت است، در خطبه شعبانيه سخن زيبايى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وَقِّروا كِباركم و ارحموُا صِغاركم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بزرگسالان را بزرگ دارید و به کودکان خود با رحمت و شفقت برخورد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دعاهاى ماه رمضان نيز، كلام بليغ و بزرگى وجود دارد كه من معتقدم آن را بايد با خط زيبا بر بالاى ساختمان سازمان ملل حك كنند، دعايى مخصوص شيعيان است که در ماه مبارک رمضان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بُعد جهانى دارد و همه </w:t>
      </w:r>
    </w:p>
    <w:p>
      <w:pPr>
        <w:pStyle w:val="BookText"/>
        <w:rPr/>
      </w:pPr>
      <w:r>
        <w:rPr>
          <w:rFonts w:ascii="IRNazanin" w:hAnsi="IRNazanin" w:eastAsia="IRNazanin"/>
          <w:color w:val="111111"/>
          <w:sz w:val="28"/>
          <w:sz w:val="28"/>
          <w:szCs w:val="28"/>
          <w:rtl w:val="true"/>
          <w:lang w:bidi="fa-IR"/>
        </w:rPr>
        <w:t>انسان‌ها را مورد خطاب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پيشواى مظلوم شيعه در اين دعا از خداوند مي‌خواهد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أَغنِ كُلَّ فَقير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نيازمندى را بى‌نياز كن، هر فقيرى را غنى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نه تنها مخصوص مسلمان شيعه يا خدا پرستان است، بلكه پرتو آن همه انسان‌ها را در 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فُكَّ كُلَّ اَسير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گرفتار زندان و اسارت است او را آزاد كن،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گرسنه‌اى را سير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شيعه در اين دعا مشى ديگرى را هم مي‌آموزد و آن اين‌که به پيشينيان خود که در ميان ما نيستند، احترام بگذاريد، آنها را فراموش نكنيد و به ياد آنها باشيد؛ چون ما معتقديم كه هر چه داريم از پيشينيان به ارث رسيده و ما امروز بر روى اقيانوسى از علم و دانش آنها تكيه زده‌ايم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همة علوم بشرى مرهون انسان‌هاى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دعا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أدخِل على أَهل القُبور السرُور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كه از دنيا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يا غير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مسلمان فرقى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و مسرورشان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اى فراهم كن كه همة مردگان خوشحال شوند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نگاه دينى به ما مي‌آموزد كه به نوع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از جمله آنها كودكان احترام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رحم و شفقت به كودكان و احترام به بزرگان را يك </w:t>
      </w:r>
    </w:p>
    <w:p>
      <w:pPr>
        <w:pStyle w:val="BookText"/>
        <w:rPr/>
      </w:pPr>
      <w:r>
        <w:rPr>
          <w:rFonts w:ascii="IRNazanin" w:hAnsi="IRNazanin" w:eastAsia="IRNazanin"/>
          <w:color w:val="111111"/>
          <w:sz w:val="28"/>
          <w:sz w:val="28"/>
          <w:szCs w:val="28"/>
          <w:rtl w:val="true"/>
          <w:lang w:bidi="fa-IR"/>
        </w:rPr>
        <w:t>ارزش مي‌داند و اساساً علاقه به كودك را يكی از عوامل و موجبات رحم خدا به پدر آن کودک اعلام مي‌كند</w:t>
      </w:r>
      <w:r>
        <w:rPr>
          <w:rFonts w:eastAsia="IRNazanin" w:cs="IRNazanin"/>
          <w:color w:val="111111"/>
          <w:sz w:val="28"/>
          <w:szCs w:val="28"/>
          <w:rtl w:val="true"/>
          <w:lang w:bidi="fa-IR"/>
        </w:rPr>
        <w:t>.</w:t>
      </w:r>
      <w:r>
        <w:rPr>
          <w:rStyle w:val="FootnoteAnchor"/>
          <w:rtl w:val="true"/>
        </w:rPr>
        <w:footnoteReference w:id="9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اگر مي‌خواهيد با جهان‌بينى ما بيشتر آشنا شويد، بر روى سيرة پيامبر اسلام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فرهنگ مردم عصر جاهليت بيشتر مطالعه كنيد و آن وقت پس از این مقایسه، خود، به این نتیجه خواهید رسید که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ما چه نگرشی دربارة کودکان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در دورة غربت انسانيّت و زنده به گور كردن فرزندان دختر، هميشه فرزندان دخترش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مي‌بوسيد، به حدى كه گاهى مورد اعتراض هم واقع مي‌شد كه چرا اينقدر آنها را مي‌بوسد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در آن عصر، بعضی‌ها به پيامبر اسلام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ده بچه داريم و تاكنون هيچ كدام از آنها را نبوسيده‌ايم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پبامبر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پدری از اهل آتش است؛ و 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کودک را مورد رحمت قرار ندهد، مورد رحمت الهی واقع نمی‌شود</w:t>
      </w:r>
      <w:r>
        <w:rPr>
          <w:rFonts w:eastAsia="IRNazanin" w:cs="IRNazanin"/>
          <w:color w:val="111111"/>
          <w:sz w:val="28"/>
          <w:szCs w:val="28"/>
          <w:rtl w:val="true"/>
          <w:lang w:bidi="fa-IR"/>
        </w:rPr>
        <w:t>.</w:t>
      </w:r>
      <w:r>
        <w:rPr>
          <w:rStyle w:val="FootnoteAnchor"/>
          <w:rtl w:val="true"/>
        </w:rPr>
        <w:footnoteReference w:id="100"/>
      </w:r>
      <w:r>
        <w:rPr>
          <w:rFonts w:ascii="Amiri" w:hAnsi="Amiri" w:eastAsia="Amiri" w:cs="Amiri"/>
          <w:color w:val="111111"/>
          <w:sz w:val="28"/>
          <w:sz w:val="28"/>
          <w:szCs w:val="28"/>
          <w:rtl w:val="true"/>
          <w:lang w:bidi="ar-SA"/>
        </w:rPr>
        <w:t xml:space="preserve">در تاريخ آمده </w:t>
      </w:r>
      <w:bookmarkStart w:id="115" w:name="pg9392_88107"/>
    </w:p>
    <w:p>
      <w:pPr>
        <w:pStyle w:val="BookText"/>
        <w:rPr/>
      </w:pPr>
      <w:bookmarkEnd w:id="115"/>
      <w:r>
        <w:rPr>
          <w:rFonts w:ascii="IRNazanin" w:hAnsi="IRNazanin" w:eastAsia="IRNazanin"/>
          <w:color w:val="111111"/>
          <w:sz w:val="28"/>
          <w:sz w:val="28"/>
          <w:szCs w:val="28"/>
          <w:rtl w:val="true"/>
          <w:lang w:bidi="fa-IR"/>
        </w:rPr>
        <w:t>كه وقتى پيامبر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مي‌رفت، امام حسين علیه السلام كه كودك خردسالى بود، بر پشت ايشان مي‌نشست و آن حضرت هنگام بلند شدن از سجده، حسين علیه السلام را مي‌گرفت روي زمين مي‌گذاشت و دوباره که به سجده مي‌رفت حسين علیه السلام مجدداً روي پشت پيامبر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نماز، فردي يهودي که ناظر اين ماجرا بود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شما با کودکان مهربانيد و صبوري مي‌کنيد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حاضر نيستيم لحظه‌اي با کودک خود اين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برخورد کنيم</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اين چند موردِ مشت نمونه خروار، جزء مباحث تربيتى اسلام در باره احترام به کودک است كه بايد به آن توجه شود</w:t>
      </w:r>
      <w:r>
        <w:rPr>
          <w:rFonts w:eastAsia="IRNazanin" w:cs="IRNazanin"/>
          <w:color w:val="111111"/>
          <w:sz w:val="28"/>
          <w:szCs w:val="28"/>
          <w:rtl w:val="true"/>
          <w:lang w:bidi="fa-IR"/>
        </w:rPr>
        <w:t>.</w:t>
      </w:r>
    </w:p>
    <w:p>
      <w:pPr>
        <w:pStyle w:val="Heading4"/>
        <w:numPr>
          <w:ilvl w:val="3"/>
          <w:numId w:val="1"/>
        </w:numPr>
        <w:rPr/>
      </w:pPr>
      <w:bookmarkStart w:id="116" w:name="__RefHeading___Toc5532606_2870459653"/>
      <w:bookmarkStart w:id="117" w:name="_Toc40"/>
      <w:bookmarkEnd w:id="116"/>
      <w:r>
        <w:rPr/>
        <w:t>6</w:t>
      </w:r>
      <w:r>
        <w:rPr>
          <w:rtl w:val="true"/>
        </w:rPr>
        <w:t xml:space="preserve">) </w:t>
      </w:r>
      <w:r>
        <w:rPr>
          <w:rtl w:val="true"/>
        </w:rPr>
        <w:t>تشکیل دادگاه ویژه کودک آزاری</w:t>
      </w:r>
      <w:bookmarkEnd w:id="11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دادگاه، عامل بازدارنده ديگرى است كه بايد براى پدر و مادر كودك آزار و كسانى كه به خردسالان رحم نمى‌كنند، تشكيل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مباحث فرهنگى و تذكر متنبه نمى‌شوند، بايد در يك محكمه بتوانند پاسخگوی رفتار خویش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ممكناست كه برخى مخالفت كنند، ولی خيلى مهم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اين محكمه، همان طور كه براى بزرگسالان </w:t>
      </w:r>
    </w:p>
    <w:p>
      <w:pPr>
        <w:pStyle w:val="BookText"/>
        <w:rPr/>
      </w:pPr>
      <w:r>
        <w:rPr>
          <w:rFonts w:ascii="IRNazanin" w:hAnsi="IRNazanin" w:eastAsia="IRNazanin"/>
          <w:color w:val="111111"/>
          <w:sz w:val="28"/>
          <w:sz w:val="28"/>
          <w:szCs w:val="28"/>
          <w:rtl w:val="true"/>
          <w:lang w:bidi="fa-IR"/>
        </w:rPr>
        <w:t xml:space="preserve">وجود دارد، می‌تواند هشدار جدى به كودك آزاران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گروه اندکی از 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سالازار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باره ياد آورى مي‌كنم كه ما در حال همكارى با قوه قضائيه هستيم و اميدواريم با حمايت آنها قوانینى در مورد كودك آزارى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العظمي صانعی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موفق باشيد؛ كار بسيار ارزنده‌اى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سالازار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فكر مي‌كنم علاوه بر راهکارهایی که برشمردید، مسئله پيشگيرى، نكته مهمى است كه بايد بر روى آن كار كرد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العظمي صانعی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پيشگيرى همواره خيلى بهتر از معالجه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همین موضوع را به پیامبر گوشزد می‌کند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أَنتَ مُنذِرٌ وَلِكُلِّ قَوْم هَاد</w:t>
      </w:r>
      <w:r>
        <w:rPr>
          <w:rFonts w:ascii="IRNazanin" w:hAnsi="IRNazanin" w:eastAsia="IRNazanin"/>
          <w:color w:val="111111"/>
          <w:sz w:val="28"/>
          <w:sz w:val="28"/>
          <w:szCs w:val="28"/>
          <w:rtl w:val="true"/>
          <w:lang w:bidi="fa-IR"/>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بیم دهنده‌ای و هر گروهی را راهنمایی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گفتم كه فعاليت فرهنگى و توجه به مباحث تربيتى از همة مسائل ديگر با اهميت‌تر و بهترین روش برای پیشگیری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مي‌كنم اصولاً اسلام با آزار و اذيت مخالف، و آن را ممنوع كرده و فرقى بين كوچك و بزرگ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دين اسلام، اذيت و ظلمبه حيوانات را بد مي‌داند و آن را نهى كرده و دستور مي‌دهد كه به صورت حيوان شلاق نزنيد، بلكه بر پشت آنها بزنيد تا راه بروند، چطور مي‌تواند اجازه دهد كه </w:t>
      </w:r>
      <w:bookmarkStart w:id="118" w:name="pg9392_88111"/>
    </w:p>
    <w:p>
      <w:pPr>
        <w:pStyle w:val="BookText"/>
        <w:rPr/>
      </w:pPr>
      <w:bookmarkEnd w:id="118"/>
      <w:r>
        <w:rPr>
          <w:rFonts w:ascii="IRNazanin" w:hAnsi="IRNazanin" w:eastAsia="IRNazanin"/>
          <w:color w:val="111111"/>
          <w:sz w:val="28"/>
          <w:sz w:val="28"/>
          <w:szCs w:val="28"/>
          <w:rtl w:val="true"/>
          <w:lang w:bidi="fa-IR"/>
        </w:rPr>
        <w:t>يك پدر فرزندانش را با شلاق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ظلم و ستم به‌طور كلى منفى است</w:t>
      </w:r>
      <w:r>
        <w:rPr>
          <w:rFonts w:eastAsia="IRNazanin" w:cs="IRNazanin"/>
          <w:color w:val="111111"/>
          <w:sz w:val="28"/>
          <w:szCs w:val="28"/>
          <w:rtl w:val="true"/>
          <w:lang w:bidi="fa-IR"/>
        </w:rPr>
        <w:t>.</w:t>
      </w:r>
    </w:p>
    <w:p>
      <w:pPr>
        <w:pStyle w:val="Heading4"/>
        <w:numPr>
          <w:ilvl w:val="3"/>
          <w:numId w:val="1"/>
        </w:numPr>
        <w:rPr/>
      </w:pPr>
      <w:bookmarkStart w:id="119" w:name="__RefHeading___Toc5532608_2870459653"/>
      <w:bookmarkStart w:id="120" w:name="_Toc41"/>
      <w:bookmarkEnd w:id="119"/>
      <w:r>
        <w:rPr>
          <w:rtl w:val="true"/>
        </w:rPr>
        <w:t>تفاوت مجازات بزرگ</w:t>
      </w:r>
      <w:r>
        <w:rPr>
          <w:rtl w:val="true"/>
        </w:rPr>
        <w:softHyphen/>
      </w:r>
      <w:r>
        <w:rPr>
          <w:rtl w:val="true"/>
        </w:rPr>
        <w:t>سالان با کودکان</w:t>
      </w:r>
      <w:bookmarkEnd w:id="120"/>
    </w:p>
    <w:p>
      <w:pPr>
        <w:pStyle w:val="BookText"/>
        <w:rPr/>
      </w:pPr>
      <w:r>
        <w:rPr>
          <w:rFonts w:ascii="IRNazanin" w:hAnsi="IRNazanin" w:eastAsia="IRNazanin"/>
          <w:color w:val="111111"/>
          <w:sz w:val="28"/>
          <w:sz w:val="28"/>
          <w:szCs w:val="28"/>
          <w:rtl w:val="true"/>
          <w:lang w:bidi="fa-IR"/>
        </w:rPr>
        <w:t>درباره وضع قوانین و مجازات، بنده معتقدم كه اگر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سالان و خردسالان دچار گناه و اشتباه شدند، نوع برخورد با بزرگان نسبت به كودكان فرق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كودك خردسالى دزدى مي‌كند، درست است که جرم او مساوى با يك گناه است ولى كيفر او با بزرگان فرق مي‌كند، راه پيشگيرى از ناهنجاری اين كودك در وهله اول، تربيت است و سپس اعمال يك‌سرى مجازات‌هاى سبك</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كه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از مسئوليت كيفرى مبرّا هستند درست است به این معنی که، كيفرى كه براى بزرگسالان است براى آنها قابل اجرا نيست، ولى نمى توانيم بگوييم اگر اين كودك دزدى كرد، جلويش را نگيريم،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بفهمد آن عمل او هم بد است و در این باره تربیت راه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اصلی است كه هم اسلام پذيرفته و هم دنيا، به همین دلیل است که امروز دادگاه ویژه كودكان و اطفال داريم، يعنى در اين دادگاه، مجازات کودکان با مجازاتبزرگ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سالان متفاوت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ناگفته نماند كه فعاليت مجامع بین المللی مانند یونیسف که به حقوق کودکان می‌پردازد، اعم از </w:t>
      </w:r>
      <w:bookmarkStart w:id="121" w:name="pg9392_88113"/>
    </w:p>
    <w:p>
      <w:pPr>
        <w:pStyle w:val="BookText"/>
        <w:rPr/>
      </w:pPr>
      <w:bookmarkEnd w:id="121"/>
      <w:r>
        <w:rPr>
          <w:rFonts w:ascii="IRNazanin" w:hAnsi="IRNazanin" w:eastAsia="IRNazanin"/>
          <w:color w:val="111111"/>
          <w:sz w:val="28"/>
          <w:sz w:val="28"/>
          <w:szCs w:val="28"/>
          <w:rtl w:val="true"/>
          <w:lang w:bidi="fa-IR"/>
        </w:rPr>
        <w:t>گفتگو، بحث، اعلاميه، برگزاری کلاس‌های آموزشی و دیگر فعالیت‌ها، سطح فكرى مردم را بالا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مأيوس شد و انتظار داشت اين‌گونه فعاليت‌ها بازدهی سریع داشته باشد، بلکه بايد بيش از اين كار كرد تا نتيجه آن در آینده مشخص شود</w:t>
      </w:r>
      <w:r>
        <w:rPr>
          <w:rFonts w:eastAsia="IRNazanin" w:cs="IRNazanin"/>
          <w:color w:val="111111"/>
          <w:sz w:val="28"/>
          <w:szCs w:val="28"/>
          <w:rtl w:val="true"/>
          <w:lang w:bidi="fa-IR"/>
        </w:rPr>
        <w:t>.</w:t>
      </w:r>
    </w:p>
    <w:p>
      <w:pPr>
        <w:pStyle w:val="Heading4"/>
        <w:numPr>
          <w:ilvl w:val="3"/>
          <w:numId w:val="1"/>
        </w:numPr>
        <w:rPr/>
      </w:pPr>
      <w:bookmarkStart w:id="122" w:name="__RefHeading___Toc5532610_2870459653"/>
      <w:bookmarkStart w:id="123" w:name="_Toc42"/>
      <w:bookmarkEnd w:id="122"/>
      <w:r>
        <w:rPr>
          <w:rtl w:val="true"/>
        </w:rPr>
        <w:t>حرمت کودک آزاری در اسلام</w:t>
      </w:r>
      <w:bookmarkEnd w:id="1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سالازار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كودك آزارى از سوى والدين، از نظر شرع اسلامی جايز است يا حرام؟ با توجه به عنايت خاص پيشوايان ديني شما، آيا از نظر شرع، راهى وجود دارد، كه جلوى كودك آزارى گرفته شود؟</w:t>
      </w:r>
    </w:p>
    <w:p>
      <w:pPr>
        <w:pStyle w:val="BookText"/>
        <w:rPr/>
      </w:pPr>
      <w:r>
        <w:rPr>
          <w:rFonts w:ascii="IRNazanin" w:hAnsi="IRNazanin" w:eastAsia="IRNazanin"/>
          <w:color w:val="111111"/>
          <w:sz w:val="28"/>
          <w:sz w:val="28"/>
          <w:szCs w:val="28"/>
          <w:rtl w:val="true"/>
          <w:lang w:bidi="fa-IR"/>
        </w:rPr>
        <w:t>آيت الله العظمي صانعی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سؤال علاوه بر روشن بودن آن، از خود سؤال هم معلوم مي‌شود، چون هيچ شرع و قانونى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شرع مقدس اسلام كه دين رحمت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مخصوصاً كودكان مظلوم و بى‌پناه را آن هم در محيط خانه، اجازه نداده و نمى دهد و عقل و نقل همه دانشمندان، دينى و غير دينى، آن را حرام، معصيت، گناه، ظلم و ايذاء مى‌دانند</w:t>
      </w:r>
      <w:r>
        <w:rPr>
          <w:rFonts w:eastAsia="IRNazanin" w:cs="IRNazanin"/>
          <w:color w:val="111111"/>
          <w:sz w:val="28"/>
          <w:szCs w:val="28"/>
          <w:rtl w:val="true"/>
          <w:lang w:bidi="fa-IR"/>
        </w:rPr>
        <w:t>.</w:t>
      </w:r>
    </w:p>
    <w:p>
      <w:pPr>
        <w:pStyle w:val="Heading4"/>
        <w:numPr>
          <w:ilvl w:val="3"/>
          <w:numId w:val="1"/>
        </w:numPr>
        <w:rPr/>
      </w:pPr>
      <w:bookmarkStart w:id="124" w:name="__RefHeading___Toc5532612_2870459653"/>
      <w:bookmarkStart w:id="125" w:name="_Toc43"/>
      <w:bookmarkEnd w:id="124"/>
      <w:r>
        <w:rPr>
          <w:rtl w:val="true"/>
        </w:rPr>
        <w:t>بهره‌گيري از اندیشمندان حوزه و دانشگاه</w:t>
      </w:r>
      <w:bookmarkEnd w:id="12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سالازار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باعث شده كه من كمى ديرتر خدمت شما برسم و از</w:t>
      </w:r>
    </w:p>
    <w:p>
      <w:pPr>
        <w:pStyle w:val="BookText"/>
        <w:rPr/>
      </w:pPr>
      <w:r>
        <w:rPr>
          <w:rFonts w:ascii="IRNazanin" w:hAnsi="IRNazanin" w:eastAsia="IRNazanin"/>
          <w:color w:val="111111"/>
          <w:sz w:val="28"/>
          <w:sz w:val="28"/>
          <w:szCs w:val="28"/>
          <w:rtl w:val="true"/>
          <w:lang w:bidi="fa-IR"/>
        </w:rPr>
        <w:t>نظراتتان استفاده كنم و فكر مي‌كنم كه شايد اين زمان را از دست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كه شما مي‌فرماييد ايده‌هايى است كه در بسيارى از جنبه‌ها، ما هم در حیطه کاری خود و مسیحیت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فكر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بحث، موضوع پيچیده‌اى است؛ نگاهى تكنيكى و فنى است و با نگاهى كه شما از بُعد مذهبى داريد متفاوت است و ما آن دانش مذهبى را نداريم كه بتوانيم آن‌قدر وسيع و گسترده به موضوع نگاه كنيم ولى شما مي‌توانيد به‌صورت جامع و از نگاه مذهبى به موضوع بنگريد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العظمي صانعی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تخصص و تعهد، خيلى كارساز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و حوزه دو بالى هستند كه انسان‌ها با آن پرواز مي‌كنند، فن و دانش، ايمان و علم، بايد هر دو با هم باشند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سالازار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از اين فرصت استفاده كنيم و فقط تئوريك صحبت نكنيم و براى كار عملىِ آن هم، يك برنامه ريزى جدى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العظمي صانعی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عملىِ امثال بنده همين صحبت‌ها و بازگوئى مسائل است و با توجه به شرایط، کار دیگری از دست ما بر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سالازار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كه اشاره فرموديد، من اميدوارم كه ارتباطم را در تهران با متفكران مذهبى و تحصيل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كردگان دانشگاه بيشتر كنم، ولى به راهنمايى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بيشتر احتياج داريم و علاقه‌مند هستيم كه از نظرات شما درباره آيين دادرسى نوجوان‌ها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اعدام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كودكان زير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بحث جلوگيرى از ویروس </w:t>
      </w:r>
      <w:r>
        <w:rPr>
          <w:rFonts w:eastAsia="Times New Roman" w:cs="Times New Roman" w:ascii="Times New Roman" w:hAnsi="Times New Roman"/>
          <w:color w:val="111111"/>
          <w:sz w:val="28"/>
          <w:szCs w:val="28"/>
          <w:lang w:val="en-US" w:bidi="en-US"/>
        </w:rPr>
        <w:t>HIV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جامعه</w:t>
      </w:r>
      <w:bookmarkStart w:id="126" w:name="pg9392_88117"/>
    </w:p>
    <w:p>
      <w:pPr>
        <w:pStyle w:val="BookText"/>
        <w:rPr/>
      </w:pPr>
      <w:bookmarkEnd w:id="126"/>
      <w:r>
        <w:rPr>
          <w:rFonts w:ascii="IRNazanin" w:hAnsi="IRNazanin" w:eastAsia="IRNazanin"/>
          <w:color w:val="111111"/>
          <w:sz w:val="28"/>
          <w:sz w:val="28"/>
          <w:szCs w:val="28"/>
          <w:rtl w:val="true"/>
          <w:lang w:bidi="fa-IR"/>
        </w:rPr>
        <w:t>استفاده كنيم، البته اگر بتوانيم تركيبى از يك شوراى غير رسمى را تشكيل بدهيم و در خدمت شما هم از مباحث اسلامى سود ببريم و به ما مشورت دهيد، بسيار عالى خواهد بود</w:t>
      </w:r>
      <w:r>
        <w:rPr>
          <w:rFonts w:eastAsia="IRNazanin" w:cs="IRNazanin"/>
          <w:color w:val="111111"/>
          <w:sz w:val="28"/>
          <w:szCs w:val="28"/>
          <w:rtl w:val="true"/>
          <w:lang w:bidi="fa-IR"/>
        </w:rPr>
        <w:t>.</w:t>
      </w:r>
    </w:p>
    <w:p>
      <w:pPr>
        <w:pStyle w:val="Heading4"/>
        <w:numPr>
          <w:ilvl w:val="3"/>
          <w:numId w:val="1"/>
        </w:numPr>
        <w:rPr/>
      </w:pPr>
      <w:bookmarkStart w:id="127" w:name="__RefHeading___Toc5532614_2870459653"/>
      <w:bookmarkStart w:id="128" w:name="_Toc44"/>
      <w:bookmarkEnd w:id="127"/>
      <w:r>
        <w:rPr>
          <w:rtl w:val="true"/>
        </w:rPr>
        <w:t>آموزش لازم براي جلوگيري از ايدز</w:t>
      </w:r>
      <w:bookmarkEnd w:id="128"/>
    </w:p>
    <w:p>
      <w:pPr>
        <w:pStyle w:val="BookText"/>
        <w:rPr/>
      </w:pPr>
      <w:r>
        <w:rPr>
          <w:rFonts w:ascii="IRNazanin" w:hAnsi="IRNazanin" w:eastAsia="IRNazanin"/>
          <w:color w:val="111111"/>
          <w:sz w:val="28"/>
          <w:sz w:val="28"/>
          <w:szCs w:val="28"/>
          <w:rtl w:val="true"/>
          <w:lang w:bidi="fa-IR"/>
        </w:rPr>
        <w:t>آيت الله العظمي صانعی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بنده هم بر اين نظر هستم كه شما ديدگاه‌هايتان را به دانشمندان حوزه و دانشگاه انتقال دهيد و با یکدیگر تبادل نظر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سطح فرهنگ جامعه را با اين گونه ارتباطات و طرح نظرات بالا برد؛ مطمئن باشيد در همين حد هم اثر مي‌گذارد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باره مسأله ايدز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هم ديدگاه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هايمان را راجع به اين مسأله انتقال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ايم، اما وجود يك سرى افراد ناآگاه و انحصار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 مانع انتشار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تأكيد كردم كه آموزش و تبليغ اين موضوع را بايد از سطح مدارس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بچه‌ها ياد بدهند و فرهنگ آنها را بالا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خاطر دارم كه پس از طرح اين موضوع، بعضى‌ها فرياد بر آوردند كه مروّجين اين مسأله، قصد رواج فساد و فحشاء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ما آنچه را كه صحيح بدانيم مي‌گوييم، البته نقش رسانه‌هاى عمومى نيز در تثبيت اين مسأله بى‌تأثير نيست، با تبليغات رسانه‌اى، سطح فكرى مردم و خانواده‌ها بالا مي‌رود، ولى انتقال فرهنگ صحيح و شناخت اينمعضل اجتماعى، بايد در مرحله نخست از طريق آموزش و پرورش و در سطح مدارس صورت بگيرد و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بچه‌ها بايد از همان سنين كودكى با اين فرمول آشنا شوند و سپس آهسته آهسته، مراحل بعد را بياموزند و در اين صورت است كه فحشاء و فساد كم مي‌شود و آلودگى‌ها از بين مي‌رود</w:t>
      </w:r>
      <w:r>
        <w:rPr>
          <w:rFonts w:eastAsia="IRNazanin" w:cs="IRNazanin"/>
          <w:color w:val="111111"/>
          <w:sz w:val="28"/>
          <w:szCs w:val="28"/>
          <w:rtl w:val="true"/>
          <w:lang w:bidi="fa-IR"/>
        </w:rPr>
        <w:t xml:space="preserve">. </w:t>
      </w:r>
      <w:bookmarkStart w:id="129" w:name="pg9392_88121"/>
    </w:p>
    <w:p>
      <w:pPr>
        <w:pStyle w:val="Heading3"/>
        <w:numPr>
          <w:ilvl w:val="2"/>
          <w:numId w:val="1"/>
        </w:numPr>
        <w:rPr/>
      </w:pPr>
      <w:bookmarkStart w:id="130" w:name="__RefHeading___Toc5532616_2870459653"/>
      <w:bookmarkStart w:id="131" w:name="_Toc45"/>
      <w:bookmarkEnd w:id="129"/>
      <w:bookmarkEnd w:id="130"/>
      <w:r>
        <w:rPr>
          <w:rtl w:val="true"/>
        </w:rPr>
        <w:t>مجازات اعدام براي نوجوانان</w:t>
      </w:r>
      <w:bookmarkEnd w:id="131"/>
    </w:p>
    <w:p>
      <w:pPr>
        <w:pStyle w:val="Heading4"/>
        <w:numPr>
          <w:ilvl w:val="3"/>
          <w:numId w:val="1"/>
        </w:numPr>
        <w:rPr/>
      </w:pPr>
      <w:bookmarkStart w:id="132" w:name="__RefHeading___Toc5532618_2870459653"/>
      <w:bookmarkStart w:id="133" w:name="_Toc46"/>
      <w:bookmarkEnd w:id="132"/>
      <w:r>
        <w:rPr>
          <w:rtl w:val="true"/>
        </w:rPr>
        <w:t>الف</w:t>
      </w:r>
      <w:r>
        <w:rPr>
          <w:rtl w:val="true"/>
        </w:rPr>
        <w:t xml:space="preserve">) </w:t>
      </w:r>
      <w:r>
        <w:rPr>
          <w:rtl w:val="true"/>
        </w:rPr>
        <w:t>ديدگاه فقها پيرامون جاري نبودن حدود در زمان غيبت</w:t>
      </w:r>
      <w:bookmarkEnd w:id="133"/>
    </w:p>
    <w:p>
      <w:pPr>
        <w:pStyle w:val="BookText"/>
        <w:rPr/>
      </w:pPr>
      <w:r>
        <w:rPr>
          <w:rFonts w:ascii="IRNazanin" w:hAnsi="IRNazanin" w:eastAsia="IRNazanin"/>
          <w:color w:val="111111"/>
          <w:sz w:val="28"/>
          <w:sz w:val="28"/>
          <w:szCs w:val="28"/>
          <w:rtl w:val="true"/>
          <w:lang w:bidi="fa-IR"/>
        </w:rPr>
        <w:t>اما در رابطه با اعدام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مجازات اعدام، قابل پيشگيرى است و آن دو راه 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بايد به ديدگاه علمای متقدمی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Style w:val="FootnoteAnchor"/>
          <w:rtl w:val="true"/>
        </w:rPr>
        <w:footnoteReference w:id="105"/>
      </w:r>
      <w:r>
        <w:rPr>
          <w:rFonts w:ascii="Amiri" w:hAnsi="Amiri" w:eastAsia="Amiri" w:cs="Amiri"/>
          <w:color w:val="111111"/>
          <w:sz w:val="28"/>
          <w:sz w:val="28"/>
          <w:szCs w:val="28"/>
          <w:rtl w:val="true"/>
          <w:lang w:bidi="ar-SA"/>
        </w:rPr>
        <w:t>و علاّمه حلّي؛</w:t>
      </w:r>
      <w:r>
        <w:rPr>
          <w:rStyle w:val="FootnoteAnchor"/>
          <w:rtl w:val="true"/>
        </w:rPr>
        <w:footnoteReference w:id="106"/>
      </w:r>
      <w:r>
        <w:rPr>
          <w:rFonts w:ascii="IRNazanin" w:hAnsi="IRNazanin" w:eastAsia="IRNazanin"/>
          <w:color w:val="111111"/>
          <w:sz w:val="28"/>
          <w:sz w:val="28"/>
          <w:szCs w:val="28"/>
          <w:rtl w:val="true"/>
          <w:lang w:bidi="fa-IR"/>
        </w:rPr>
        <w:t>یا فقهای معاصری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ميرزاي قمي</w:t>
      </w:r>
      <w:r>
        <w:rPr>
          <w:rStyle w:val="FootnoteAnchor"/>
          <w:rtl w:val="true"/>
        </w:rPr>
        <w:footnoteReference w:id="107"/>
      </w:r>
      <w:r>
        <w:rPr>
          <w:rFonts w:ascii="IRNazanin" w:hAnsi="IRNazanin" w:eastAsia="IRNazanin"/>
          <w:color w:val="111111"/>
          <w:sz w:val="28"/>
          <w:sz w:val="28"/>
          <w:szCs w:val="28"/>
          <w:rtl w:val="true"/>
          <w:lang w:bidi="fa-IR"/>
        </w:rPr>
        <w:t xml:space="preserve">و </w:t>
      </w:r>
      <w:bookmarkStart w:id="134" w:name="pg9392_88123"/>
    </w:p>
    <w:p>
      <w:pPr>
        <w:pStyle w:val="BookText"/>
        <w:rPr/>
      </w:pPr>
      <w:bookmarkEnd w:id="134"/>
      <w:r>
        <w:rPr>
          <w:rFonts w:ascii="Amiri" w:hAnsi="Amiri" w:eastAsia="Amiri" w:cs="Amiri"/>
          <w:color w:val="111111"/>
          <w:sz w:val="28"/>
          <w:sz w:val="28"/>
          <w:szCs w:val="28"/>
          <w:rtl w:val="true"/>
          <w:lang w:bidi="ar-SA"/>
        </w:rPr>
        <w:t>مرحوم حاج سيد احمد خوانساري،</w:t>
      </w:r>
      <w:r>
        <w:rPr>
          <w:rStyle w:val="FootnoteAnchor"/>
          <w:rtl w:val="true"/>
        </w:rPr>
        <w:footnoteReference w:id="108"/>
      </w:r>
      <w:r>
        <w:rPr>
          <w:rFonts w:ascii="IRNazanin" w:hAnsi="IRNazanin" w:eastAsia="IRNazanin"/>
          <w:color w:val="111111"/>
          <w:sz w:val="28"/>
          <w:sz w:val="28"/>
          <w:szCs w:val="28"/>
          <w:rtl w:val="true"/>
          <w:lang w:bidi="fa-IR"/>
        </w:rPr>
        <w:t xml:space="preserve">برگرديم و بگوييممجازات‌ها مانند سنگسار، دست بريدن و اعدام، مربوط به زمانى است كه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راحتى مي‌توانيم اين ديدگاه را در قانون هم بگنجانيم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اين‌كار، قانون خدا هم تعطيل نمى شود، زیرا با تشخیص حاکم شرع جامع الشرائط، می‌توان فرد مرتکب جرم را تعزیر کرد که خود فایده پیشگیری را هم در پی دارد</w:t>
      </w:r>
      <w:r>
        <w:rPr>
          <w:rFonts w:eastAsia="IRNazanin" w:cs="IRNazanin"/>
          <w:color w:val="111111"/>
          <w:sz w:val="28"/>
          <w:szCs w:val="28"/>
          <w:rtl w:val="true"/>
          <w:lang w:bidi="fa-IR"/>
        </w:rPr>
        <w:t>.</w:t>
      </w:r>
    </w:p>
    <w:p>
      <w:pPr>
        <w:pStyle w:val="Heading4"/>
        <w:numPr>
          <w:ilvl w:val="3"/>
          <w:numId w:val="1"/>
        </w:numPr>
        <w:rPr/>
      </w:pPr>
      <w:bookmarkStart w:id="135" w:name="__RefHeading___Toc5532620_2870459653"/>
      <w:bookmarkStart w:id="136" w:name="_Toc47"/>
      <w:bookmarkEnd w:id="135"/>
      <w:r>
        <w:rPr>
          <w:rtl w:val="true"/>
        </w:rPr>
        <w:t>ب</w:t>
      </w:r>
      <w:r>
        <w:rPr>
          <w:rtl w:val="true"/>
        </w:rPr>
        <w:t xml:space="preserve">) </w:t>
      </w:r>
      <w:r>
        <w:rPr>
          <w:rtl w:val="true"/>
        </w:rPr>
        <w:t>عدم اثبات برخی حدود بر اساس آئین دادرسی اسلام</w:t>
      </w:r>
      <w:bookmarkEnd w:id="136"/>
    </w:p>
    <w:p>
      <w:pPr>
        <w:pStyle w:val="BookText"/>
        <w:rPr/>
      </w:pPr>
      <w:r>
        <w:rPr>
          <w:rFonts w:ascii="IRNazanin" w:hAnsi="IRNazanin" w:eastAsia="IRNazanin"/>
          <w:color w:val="111111"/>
          <w:sz w:val="28"/>
          <w:sz w:val="28"/>
          <w:szCs w:val="28"/>
          <w:rtl w:val="true"/>
          <w:lang w:bidi="fa-IR"/>
        </w:rPr>
        <w:t>ب؛ يا اين‌که در آيين دادرسى دخالت كنيم، چون با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برای اثبات آن در آيين دادرسى اسلام شده، هيچ وقت در محكمه اثبات نخواهد شد، زيرا در دادسرا دو راه اثبات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اين‌که فرد خطا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كار، چهار مرتبه اقرار كند، اقرارى كه از وجدان دينى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سرچشمه گرفته باشد، نه از روى ترس، شکنجه و یا سلول انفرادي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از امتيازات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مي‌خواهد جامعه به جايى برسد كه اگر كسى چنين گناه بزرگى را كرد، وجدان دينى‌اش او را ناراحت كند، توبه کرده و آزادانه بيايد درخواست مجازات كند</w:t>
      </w:r>
      <w:r>
        <w:rPr>
          <w:rFonts w:eastAsia="IRNazanin" w:cs="IRNazanin"/>
          <w:color w:val="111111"/>
          <w:sz w:val="28"/>
          <w:szCs w:val="28"/>
          <w:rtl w:val="true"/>
          <w:lang w:bidi="fa-IR"/>
        </w:rPr>
        <w:t>.</w:t>
      </w:r>
      <w:bookmarkStart w:id="137" w:name="pg9392_88125"/>
    </w:p>
    <w:p>
      <w:pPr>
        <w:pStyle w:val="BookText"/>
        <w:rPr/>
      </w:pPr>
      <w:bookmarkEnd w:id="13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يا اين‌که چهار نفر انسان عادل، مثل مرجعتقليد يا امام جمعه و جماعت و یا هر کس دیگری که صفت عدالت در او ثابت باشد، هر چهار نفر با هم به محكمه بيايند و شهادت بدهند كه ما ارتکاب چنين گناهى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چشم خود، آن هم به نحو جزئی و کیفیت خاص آن، ديده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ايم و اگر اين چهار نفر، همزمان در محکمه حاضر نشوند و حتی يك نفر دیرتر از سه نفر ديگر بيايد، طبق آيين دادرسى اسلام، آن سه نفر بايد تنبيه شوند یعنی شلاق بخورند؛ براى اين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كه اسلام نمى‌خواهد پرونده امور منافى عفت در جامعه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اسلام، دين رحمت و بخشش است و مي‌خواهد مسأله را مخفیانه بین مرتکب گناه و خدای خود، با توبه حل کند و نمى‌خواهد باعث بسط منكرات در جامعه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هم حق ندارد، با شنود، ضبط مکالمات، کنترل تلفن، عکس‌برداری و قرينه‌هاى ديگر، اين مسأله را اثبات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فقه شيعه روايات زيادى داريم كه نشان دهنده روح عدالت، بخشش و 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نمونه‌ای را اشاره کنم</w:t>
      </w:r>
      <w:r>
        <w:rPr>
          <w:rFonts w:eastAsia="IRNazanin" w:cs="IRNazanin"/>
          <w:color w:val="111111"/>
          <w:sz w:val="28"/>
          <w:szCs w:val="28"/>
          <w:rtl w:val="true"/>
          <w:lang w:bidi="fa-IR"/>
        </w:rPr>
        <w:t>:</w:t>
      </w:r>
    </w:p>
    <w:p>
      <w:pPr>
        <w:pStyle w:val="Heading4"/>
        <w:numPr>
          <w:ilvl w:val="3"/>
          <w:numId w:val="1"/>
        </w:numPr>
        <w:rPr/>
      </w:pPr>
      <w:bookmarkStart w:id="138" w:name="__RefHeading___Toc5532622_2870459653"/>
      <w:bookmarkStart w:id="139" w:name="_Toc48"/>
      <w:bookmarkEnd w:id="138"/>
      <w:r>
        <w:rPr>
          <w:rtl w:val="true"/>
        </w:rPr>
        <w:t>تلاش حضرت علی علیه السلام برای جاري نکردن حکم سنگسار</w:t>
      </w:r>
      <w:bookmarkEnd w:id="13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زنى نزد اميرالمؤمنين علیه السلام آمد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اميرالمؤمنين، من زنا داده‌ام؛ پاكم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پاكيزه بدارد؛ چرا كه عذاب دنيا از عذاب دائمى آخرت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گناهى تو را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پاك سازم؟ آن زن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داده‌ام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شوهردارى يا نه؟ آن زن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شوهرت نزد تو حاضر بود يا غايب از تو؟ آن زن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زايمان كن، آن‌گاه نزد من بيا و چون زن رفت به گونه‌اى كه ديگر زن سخن حضرت را نمى‌شنيد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آن زن نزد حضرت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زايمان كردم؛ هم اكنون مرا پاك‌ساز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گونه‌اى كه آن زن را نمى‌شناسد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كنيز خدا، تو را از چه پاك سازم؟ آن زن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داده‌ام؛ مرا پاك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زمان كه چنين كارى كردى، شوهر داشتى؟آن زن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حاضر بود يا غايب؟ آن زن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فرزندت را شيرده؛ دو سال كامل آن گونه كه دستور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بازگشت و چون به جايى رسيد كه سخن اميرالمؤمنين علیه السلام را نمى‌شنيد،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دو شهادت و چون دو سال گذشت، زن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اميرالمؤمنين، دو سال به اين بچه شير داده‌ام؛ هم اكنون مرا پاك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گونه‌اى كه گويا آن زن را نمى‌شناسد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چه پاك سازم؟ آن زن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 داده‌ام؛ مرا پاك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كهچنين كردى، شوهر داشتى؟ آن زن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شوهرت آن زمان كه چنين كردى، غايب بود يا حاضر؟ زن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فرزندت سرپرستى كن تا آن زمان كه فرزند، درك خورد و خوراك پيدا كند و از پشت بام نيفتد و در چاه سقوط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در حالى كه مى‌گريست،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رفت و ديگر سخن امام را نمى‌شنيد،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سه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حريث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يک آدم ناآگاه از آنچه که حضرت چه در سر دارد و به خيال اينکه می‌تواند با دخالت بيجای خود کاری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با اين زن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مى‌كنى؟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خدمت اميرالمؤمنين علیه السلام رسيده و از وى درخواست كرده‌ام كه مرا پاك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من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فرزندت سرپرستى كن تا زمانى كه عقل خورد و خوراك پيدا كند و از پشت بام نيفتد و در چاهى سقوط نكند و من مى‌ترسم كه مرگم فرا رسد و حضرت، مرا پاك نساخته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حريث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بازگرد؛ من عهده‌دار سرپرستى فرزند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بازگشت و گفته عمرو بن حريث را براى اميرالمؤمنين علیه السلام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 السلام به گونه‌اى كه گويا نمى‌داند، از آن زن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عمرو بن حريث فرزند تو را سرپرستى مى‌كند؟ آن زن عرض </w:t>
      </w:r>
    </w:p>
    <w:p>
      <w:p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اميرالمؤمنين، زنا داده‌ام؛ مرا پاك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كه اين كار را كردى، شوهر داشتى؟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غايب بود يا حاضر؟ زن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اميرالمؤمنين علیه السلام سر به آسمان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شهادت براى تو عليه اين زن ثابت شد </w:t>
      </w:r>
      <w:r>
        <w:rPr>
          <w:rFonts w:eastAsia="IRNazanin" w:cs="IRNazanin"/>
          <w:color w:val="111111"/>
          <w:sz w:val="28"/>
          <w:szCs w:val="28"/>
          <w:rtl w:val="true"/>
          <w:lang w:bidi="fa-IR"/>
        </w:rPr>
        <w:t>[ ...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در ادامه این ماجرا امام علیه السلام از عمروبن حریث سخت بر آشفت و با حالتى ناراحت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خودم نمى‌توانستم چنين كارى بكنم، من مي‌خواستم بر اين زن حدّ جاري نشود، رهايش كردم، بهانه آوردم، تو حالا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اى و مي‌خواهى ضمانت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دادرسى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اى در کجاي دنيا پيدا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مي‌توان با استفاده از روايات شيعى و فقه اسلامى، قانون را طورى نوشت كه چنين مجازات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هايى مانند سنگسار و شلاق اجرا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اين‌که تدوين چنين قوانينى، با قانون اسلامى نيز مغايرت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معيار، موازين اسلام است منتهى جامعه، هنوز به آن درجه از رشد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در پاسخ آنهايى كه مي‌گويند اگر چنين شود، اجرای احکام و قانون خدا تعطيل مي‌شود،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اين يك بينش و برداشت از قانون خداست، نه اين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كه قانون خدا تعطيل بشود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بنده نيز در جواز اجراى حدود در زمان غيبت، </w:t>
      </w:r>
    </w:p>
    <w:p>
      <w:pPr>
        <w:pStyle w:val="BookText"/>
        <w:rPr/>
      </w:pPr>
      <w:r>
        <w:rPr>
          <w:rFonts w:ascii="IRNazanin" w:hAnsi="IRNazanin" w:eastAsia="IRNazanin"/>
          <w:color w:val="111111"/>
          <w:sz w:val="28"/>
          <w:sz w:val="28"/>
          <w:szCs w:val="28"/>
          <w:rtl w:val="true"/>
          <w:lang w:bidi="fa-IR"/>
        </w:rPr>
        <w:t>تأمل دارم، ولى همان‌طور كه گفتم در زمان غيبت اگر بر محكمه، انجام اعمال خلافي مانند زنا ثابت شد، حاکم جامع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الشرایط مي‌تواند او را به جاي حدّ، تنبيه و تعزير كند، ولى همان‌گونه که قبلاً گفته شد آیین دادرسی اسلام به گونه‌ای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می‌کند که چنين موضوعى اصلاً تحقق نمى‌پذيرد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سالازار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این، به نظر می‌رسد احکام اسلامی در این موارد در حقیقت يك موضوع اخلاقى پيشگيرانه است چون در عمل اجرا نمى‌شود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العظمي صانعی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نخواسته است جرم ثابت شده، و حکم اجراء شود و فقط اگر ثابت شد بايد تنبيه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همين مجازات‌هايى كه امروز در دنيا براى اعمال منافى با عفت اجرا مي‌شود، و بايد روان‌شناسان و جرم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شناسانِ متخصص فن بنشينند و كيفيّت و کمیّت تنبيه را مشخص كنند، ولى اجراى حدود را براى زمان حضرت مهدى موعود علیه السلام بگذاريم، در آن وقت ايشان اگر بخواهند اجرا مي‌كنند، اگر اشكالى هم ايراد شود، خود آن حضرت پاسخگوست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نگاه اسلام و تشيّع مي‌توان اين جواب را داد كه در باب حدود، مثل سنگسار، بنا بر نظر ميرزاى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برخي ديگر از فقهاء، زمان اجرا مربوط به زمان امام معصوم علیه السلام است و امروز فقط بايد مجازات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هايى مثل مجازات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هاى معمول دنيا داشته باشيم</w:t>
      </w:r>
      <w:r>
        <w:rPr>
          <w:rFonts w:eastAsia="IRNazanin" w:cs="IRNazanin"/>
          <w:color w:val="111111"/>
          <w:sz w:val="28"/>
          <w:szCs w:val="28"/>
          <w:rtl w:val="true"/>
          <w:lang w:bidi="fa-IR"/>
        </w:rPr>
        <w:t xml:space="preserve">. </w:t>
      </w:r>
      <w:bookmarkStart w:id="140" w:name="pg9392_88136"/>
    </w:p>
    <w:p>
      <w:pPr>
        <w:pStyle w:val="Heading4"/>
        <w:numPr>
          <w:ilvl w:val="3"/>
          <w:numId w:val="1"/>
        </w:numPr>
        <w:rPr/>
      </w:pPr>
      <w:bookmarkStart w:id="141" w:name="__RefHeading___Toc5532624_2870459653"/>
      <w:bookmarkStart w:id="142" w:name="_Toc49"/>
      <w:bookmarkEnd w:id="140"/>
      <w:bookmarkEnd w:id="141"/>
      <w:r>
        <w:rPr>
          <w:rtl w:val="true"/>
        </w:rPr>
        <w:t>ج</w:t>
      </w:r>
      <w:r>
        <w:rPr>
          <w:rtl w:val="true"/>
        </w:rPr>
        <w:t xml:space="preserve">) </w:t>
      </w:r>
      <w:r>
        <w:rPr>
          <w:rtl w:val="true"/>
        </w:rPr>
        <w:t xml:space="preserve">قصاص مجرم کمتر از </w:t>
      </w:r>
      <w:r>
        <w:rPr/>
        <w:t>18</w:t>
      </w:r>
      <w:r>
        <w:rPr>
          <w:rtl w:val="true"/>
        </w:rPr>
        <w:t xml:space="preserve"> </w:t>
      </w:r>
      <w:r>
        <w:rPr>
          <w:rtl w:val="true"/>
        </w:rPr>
        <w:t>سال</w:t>
      </w:r>
      <w:bookmarkEnd w:id="142"/>
    </w:p>
    <w:p>
      <w:pPr>
        <w:pStyle w:val="BookText"/>
        <w:rPr/>
      </w:pPr>
      <w:r>
        <w:rPr>
          <w:rFonts w:ascii="IRNazanin" w:hAnsi="IRNazanin" w:eastAsia="IRNazanin"/>
          <w:color w:val="111111"/>
          <w:sz w:val="28"/>
          <w:sz w:val="28"/>
          <w:szCs w:val="28"/>
          <w:rtl w:val="true"/>
          <w:lang w:bidi="fa-IR"/>
        </w:rPr>
        <w:t>اما در باب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معتقدم كه اگر دو تا قانون خوب در اسلام داشته باشيم يكى از آنها قصاص است</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چون در قانون قصاص، هم حق صاحب خون رعايت شده، هم عاطفه و امنيت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قانون قصاص، حق آزادی و اختیار اولياى دم رعایت شده و به آنها اختیار مي‌دهد كه به جاى خون مقتول، بتوانند انتقام بگيرند؛ يا ببخشند؛ يا در عوض آن دیه بگيرند و ببخشند و يا مثلاً به او پیشنهاد بدهند كه اداره صد تا بچه يتيم را به عهده بگيرد و سپس ببخشند، و اگر ببخشند، ثواب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اينجا حق مردم و آزادى آنها رعايت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كه قانون، آزادى را محدود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بگوييم آنها در استیفای حق خود مخیّر نیستند و باید قاتل را اين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ما می‌گوییم مجازات كنند، اختيار و آزادى اولياى دم سلب مي‌شود، زيرا شايد آنها مجازات ديگرى در نظر داشته باشند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قانون قصاص نسبت به زير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سال؛ اگر اين فرد که مرتکب جنایت شده، دارای رشد عقلی بوده و مي‌فهمد كشتن يعنى چه؟ مي‌فهمد مجازات كشتن، كشته شدن است و درك مي‌كند كه يك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اى را بى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كردن 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آگاهى دارد و از </w:t>
      </w:r>
      <w:bookmarkStart w:id="143" w:name="pg9392_88138"/>
    </w:p>
    <w:p>
      <w:pPr>
        <w:pStyle w:val="BookText"/>
        <w:rPr/>
      </w:pPr>
      <w:bookmarkEnd w:id="143"/>
      <w:r>
        <w:rPr>
          <w:rFonts w:ascii="IRNazanin" w:hAnsi="IRNazanin" w:eastAsia="IRNazanin"/>
          <w:color w:val="111111"/>
          <w:sz w:val="28"/>
          <w:sz w:val="28"/>
          <w:szCs w:val="28"/>
          <w:rtl w:val="true"/>
          <w:lang w:bidi="fa-IR"/>
        </w:rPr>
        <w:t xml:space="preserve">روی عمد تصميم گرفته آدمى را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كه اتفاقى، بلكه مصمّم است فردى را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اين صورت مجازاتش با بقيه افراد جامعه تفاوتی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در مجازات‌ها بياييم و سنّ را بر اساس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سال قرار بدهيم، بسيار درست است، چرا كه امروز در دنيا هم مجازات كودكان با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سالان فرق دارد، اما نسبت به قصاص در مورد جنایت عمدی و با برنامه‌ریزی قبلی، بزرگ و كوچك فرقی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آنهايى كه به قصاص انتقاد دارند و مي‌گويند زير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سال را نمى‌شود قصاص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 فرد هفده سال و نه ماهه كه به اندازه يك آدم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مي‌فهمد و مثل او تصميم مي‌گيرد و مرتکب قتل و جنایت می‌شود؛ مي‌خواهيد چكار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مجازات چنين كودكى را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از حکم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كنيم، آزادى انسان‌های صاحب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سلب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صاحبان خون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نداريد مجازات به مثل كنيد، و يا حق نداريد ببخشيد؛ علاوه بر تضييع حق، عاطفه آنها را هم از بين برده‌ايم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قصاص، مانند يك مثلثى است كه دولت، ملت و صاحب خون در آن مشترك هستند</w:t>
      </w:r>
      <w:r>
        <w:rPr>
          <w:rFonts w:eastAsia="IRNazanin" w:cs="IRNazanin"/>
          <w:color w:val="111111"/>
          <w:sz w:val="28"/>
          <w:szCs w:val="28"/>
          <w:rtl w:val="true"/>
          <w:lang w:bidi="fa-IR"/>
        </w:rPr>
        <w:t>.</w:t>
      </w:r>
    </w:p>
    <w:p>
      <w:pPr>
        <w:pStyle w:val="Heading4"/>
        <w:numPr>
          <w:ilvl w:val="3"/>
          <w:numId w:val="1"/>
        </w:numPr>
        <w:rPr/>
      </w:pPr>
      <w:bookmarkStart w:id="144" w:name="__RefHeading___Toc5532626_2870459653"/>
      <w:bookmarkStart w:id="145" w:name="_Toc50"/>
      <w:bookmarkEnd w:id="144"/>
      <w:r>
        <w:rPr>
          <w:rtl w:val="true"/>
        </w:rPr>
        <w:t>تساوي حقوق مسلمان با غير مسلمان</w:t>
      </w:r>
      <w:bookmarkEnd w:id="14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انتهای این بحث ضرورى است كه افكار شما را بيشتر با مباحث حقوق بشر نسبت به غیر مسلمانان، از </w:t>
      </w:r>
    </w:p>
    <w:p>
      <w:pPr>
        <w:pStyle w:val="BookText"/>
        <w:rPr/>
      </w:pPr>
      <w:r>
        <w:rPr>
          <w:rFonts w:ascii="IRNazanin" w:hAnsi="IRNazanin" w:eastAsia="IRNazanin"/>
          <w:color w:val="111111"/>
          <w:sz w:val="28"/>
          <w:sz w:val="28"/>
          <w:szCs w:val="28"/>
          <w:rtl w:val="true"/>
          <w:lang w:bidi="fa-IR"/>
        </w:rPr>
        <w:t>نگاه اسلامى آشنا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شنيده‌ايد كه در اسلام احکام كفّار از مسلمان‌ها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مسلمانان ارث نمى‌برند، نمى‌توان با آنها ازدواج كرد،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بهاى آنها خيلى اندك است، اگر كسى كافرى را بكشد قصاص ندارد و خيلى از احكام ديگر كه در رساله‌ها و كتاب‌ها هست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و عقیده ما، در اينجا يك اشتباهى در ترجمه لفظ و اصطلاح کافر شده و اين مسائل و احکامی كه مطرح كردم همگی مربوط به كافر است نه مطلق غير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مي‌داند اسلام حق است ولى از روى عناد و لجاجت حق را پوشانده و انكار مي‌كند و در عمل عليه اعتقادات مسلمين تبليغ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سنخ از كافر منافعش در اين است كه دشمنى كند، منطق، علم و دانش هم نمى‌تواند آنها را كنترل كند و مانع دشمنى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شود، چون منافع و خواسته‌های سیاسی‌شان و هواى نفس آنان در انکار پس از علم است، و اگر چه وجدان و فطرت مي‌تواند آنها را كنترل كند، اما اسیر لجاجت خویش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نمى‌تواند با فرزند من ازدواج كند و نمى‌تواند از اموال من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نماند كه شايد اين گونه افراد کافرِ 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گريز، در جمعيت چند ميلياردى دنیا، تعداد اندكى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اين گروه، از نظر حقوقی مانند حق ازدواج با مسلمین، تساوی در قصاص و مسائل ارث، با مسلمانان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حکم عادلانه بوده و هیچ تبعیضی در کار نیست، درست هم مي‌گوييم، اما بقيه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بهتر است به آنها اطلاق غیر مسلمان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فرقى با ما ندارند و يك مسلمان مي‌تواند با يك دختر غير مسلمان ازدواج كند و يا بر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يك ايرانى نتواند مثلاً با يك انگليسى ازدواج كند، به قوانين كشور بر مي‌گردد، وگرنه، همة انسان‌ها برابر هستند و اسلام، كافر لجوج و عنود که دشمنی می‌کند را محكوم كرده نه هر غير مسلمان را</w:t>
      </w:r>
      <w:r>
        <w:rPr>
          <w:rFonts w:eastAsia="IRNazanin" w:cs="IRNazanin"/>
          <w:color w:val="111111"/>
          <w:sz w:val="28"/>
          <w:szCs w:val="28"/>
          <w:rtl w:val="true"/>
          <w:lang w:bidi="fa-IR"/>
        </w:rPr>
        <w:t>.</w:t>
      </w:r>
      <w:r>
        <w:rPr>
          <w:rStyle w:val="FootnoteAnchor"/>
          <w:rtl w:val="true"/>
        </w:rPr>
        <w:footnoteReference w:id="11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چنين انديشه‌اى را بسط دهيم و بگوييم كه چند ميليارد جمعيت دنيا، غیر مسلمان، و نه کافر لجوج هستند و احکامشان برابراست، توانسته‌ايم بدبينى ميلياردها انسان را نسبت به اسلام برطرف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گفتگو با روزنامه شرق الاوسط نيز بر روى اين مسأله تأكيد كردم و از قرآن استدلال عقلى و انديشه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اى آوردم كه كافر با غير مسلمان فرق دارد و هفت ميليارد جمعيت روى زمين، غير مسلمان‌اند نه كافر</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البته اين بحث مفصّلى را مي‌طلبد و مربوط به زير بناى فكرىاسلام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مي‌توانستيم در كنفرانسى بين المللى </w:t>
      </w:r>
    </w:p>
    <w:p>
      <w:pPr>
        <w:pStyle w:val="BookText"/>
        <w:rPr/>
      </w:pPr>
      <w:r>
        <w:rPr>
          <w:rFonts w:ascii="IRNazanin" w:hAnsi="IRNazanin" w:eastAsia="IRNazanin"/>
          <w:color w:val="111111"/>
          <w:sz w:val="28"/>
          <w:sz w:val="28"/>
          <w:szCs w:val="28"/>
          <w:rtl w:val="true"/>
          <w:lang w:bidi="fa-IR"/>
        </w:rPr>
        <w:t>یا منطقه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حضور پيدا کرده و مطالب خود را مطرح مي‌كرديم،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توانستیم بسيارى از مشكلات با دیگر ادیان و انسان‌ها را،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به‌خاطر دارم كه چند سال پيش هيأتى از دانشمندان مسيحى و سنّى از آمريكا با ما ديدار داشتند، در آنجا به همين نكته اشاره كردم؛ وقتي آنها را با همين ديدگاه آشنا كردم، بسيار اظهار خوشحالى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سالازار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در واقع می‌تواند خميرمايه يك پژوهش و تحقیق کاربردی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العظمي صانعی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خميرمايه، مطلبی اساسی است تا بتوانيم بشريّت را به آموزه‌های اسلام نزديك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سالازار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همكارى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هايى كه ما الآن با دانشگاه مفيد قم داريم، پيدا كردن اين تفسيرهاى متفاوت و آشنا ساختن جهان با اين ديدگاه‌ها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العظمي صانعی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ساختن بشريّت با تفسيرهاى عقلانى از اسلام و واقعيت‌هاى متجلّى از آن، خدمت به انسانيّت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تلاش كنيد و از قول بنده نيز نقل كنيد كه اسلام همه انسان‌ها را با مسلمانان، در حق، يكى مي‌داند و تنها براى كفار معاند و لجوج برخي حقوق مساوي راقائل نيست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سالازار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مطالب مختصری که از اسلام مطرح کردید، مرا بيشتر تشويق كرديد كه مسلمان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العظمي صانعی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درست مي‌گوييد، همان طور كه قبلاً گفتم اگر ترتيبى داده شود تا ما اصول صحيح اسلامى را طى يك كنفرانسى ارائه بدهيم، مطمئن باشيد كه بشريّت و عقلاى آنها به اسلام گرايش پيدا مي‌كنند، زيرا اسلام، سخنى كه خلاف عقل و انديشه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اسلام، دين آسانى وسهولت است و اگر تبليغاتى عليه اسلام مي‌شنويد، مربوط به متحجرين و ناآگاهان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سالازار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بقيه ادیان دنيا هم متعصّبين و متحجّرین زيادى وجود دارد و شايد ما بتوانيم با اين همكارى، آنها را نيز دعوت به اصلاح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العظمي صانعی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فرهنگ تبليغ شود، همه تعصب‌ها كنار مي‌رود و همه با نورانيّت اسلام آشنا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سالازار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باره گفتگوی تمدن‌ها به جز مخالفت با جنگ میان آنها با ناديده گرفتن تمدن‌ها هم، باید ابراز مخالفت کرد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العظمي صانعی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گرفتن دیگر تمدن‌ها امری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زمانی که آقای خاتمیایده گفتگوی تمدن‌ها را مطرح کرده بود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بياييد در مسأله تمدن‌ها، همين خميرمايه را </w:t>
      </w:r>
    </w:p>
    <w:p>
      <w:pPr>
        <w:pStyle w:val="BookText"/>
        <w:rPr/>
      </w:pPr>
      <w:r>
        <w:rPr>
          <w:rFonts w:ascii="IRNazanin" w:hAnsi="IRNazanin" w:eastAsia="IRNazanin"/>
          <w:color w:val="111111"/>
          <w:sz w:val="28"/>
          <w:sz w:val="28"/>
          <w:szCs w:val="28"/>
          <w:rtl w:val="true"/>
          <w:lang w:bidi="fa-IR"/>
        </w:rPr>
        <w:t>مطرح كنيد، و آن وقت خواهید دید، همه چيز حل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مشكلات ما از اينجا ناشی می‌شود كه نمى‌توانيم دیگران را تحمل کرده و اين افكار را گسترش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نماند كه همه اين اصول را ما از شخصيت‌هاى بزرگى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اردبيلى، میرزای قمي و امام خمينى داريم، پيشينيان ما بودند كه ما را به اينجا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معاصر هم، امام‌خمينى با روشنگرى‌هايشان به ما درس پيشرفت و مقاومت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 در مقابل حمله متحجران مقاومت كردند، ما نيز به پيروى از ايشان، در بسط اين انديشه‌ها، مقاومت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آنها دعا مي‌كنيم و به روح بلندشان درود مي‌فرستيم كه چنين فضايى را براى ما مهيا ساختند تا با الهام از آنها، تمام اين اصول را به صورت مكتوب منتشر سازيم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سالازار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خيلى متشكرم که وقت خود را در اختیار ما گذاشتید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العظمي صانعی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و مويّد باشيد، إن‌شاءاللّه</w:t>
      </w:r>
      <w:r>
        <w:rPr>
          <w:rFonts w:eastAsia="IRNazanin" w:cs="IRNazanin"/>
          <w:color w:val="111111"/>
          <w:sz w:val="28"/>
          <w:szCs w:val="28"/>
          <w:rtl w:val="true"/>
          <w:lang w:bidi="fa-IR"/>
        </w:rPr>
        <w:t xml:space="preserve">. </w:t>
      </w:r>
      <w:bookmarkStart w:id="146" w:name="pg9392_88150"/>
    </w:p>
    <w:p>
      <w:pPr>
        <w:pStyle w:val="Heading3"/>
        <w:numPr>
          <w:ilvl w:val="2"/>
          <w:numId w:val="1"/>
        </w:numPr>
        <w:rPr/>
      </w:pPr>
      <w:bookmarkStart w:id="147" w:name="__RefHeading___Toc5532628_2870459653"/>
      <w:bookmarkStart w:id="148" w:name="_Toc51"/>
      <w:bookmarkEnd w:id="146"/>
      <w:bookmarkEnd w:id="147"/>
      <w:r>
        <w:rPr>
          <w:rtl w:val="true"/>
        </w:rPr>
        <w:t>حرمت کودک آزاري در فتاواي حضرت آيت اللّه العظمي صانعي</w:t>
      </w:r>
      <w:bookmarkEnd w:id="148"/>
    </w:p>
    <w:p>
      <w:pPr>
        <w:pStyle w:val="Heading4"/>
        <w:numPr>
          <w:ilvl w:val="3"/>
          <w:numId w:val="1"/>
        </w:numPr>
        <w:rPr/>
      </w:pPr>
      <w:bookmarkStart w:id="149" w:name="__RefHeading___Toc5532630_2870459653"/>
      <w:bookmarkStart w:id="150" w:name="_Toc52"/>
      <w:bookmarkEnd w:id="149"/>
      <w:r>
        <w:rPr>
          <w:rtl w:val="true"/>
        </w:rPr>
        <w:t>اشاره</w:t>
      </w:r>
      <w:bookmarkEnd w:id="1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مى‌توان كودك را از سرپرستى پدر و مادر كودك آزار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مراجع قانونى به اثبات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كرد؟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دفع منكر و آزار و اذيت، نه تنها جايز است، بلكه واجب مى‌باشد؛ ليكن به هر حال بايد و به هر نحو ممكن آنها را وادار به عمل به تكليف واجب حضانت و تربيت نمود تا هم به تكليف و وظيفه واجب خود عمل نمايند و هم بار و زحمت فرزنددارى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آنها سبب آن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ديگران نيفتد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شرعى تنبيه چيست و بيش از آن چه حكمى دارد؟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راستاى ادب و تربيت كودكان توسط والدين، تنها زدن حداكثر پنج ضربه ويا شش ضربه نه </w:t>
      </w:r>
    </w:p>
    <w:p>
      <w:pPr>
        <w:pStyle w:val="BookText"/>
        <w:rPr/>
      </w:pPr>
      <w:r>
        <w:rPr>
          <w:rFonts w:ascii="IRNazanin" w:hAnsi="IRNazanin" w:eastAsia="IRNazanin"/>
          <w:color w:val="111111"/>
          <w:sz w:val="28"/>
          <w:sz w:val="28"/>
          <w:szCs w:val="28"/>
          <w:rtl w:val="true"/>
          <w:lang w:bidi="fa-IR"/>
        </w:rPr>
        <w:t xml:space="preserve">زيادتر، آن هم با انحصار راه تربيت به آن و در مسير جلوگيرى از فساد اخلاقى و ارتكاب كارهاى ناشايست و به شرط اين كه ضربه به طور سخت و موجب زخم شدن و يا تغيير رنگ پوست نباشد، اجازه داده شده؛وناگفته نماند با آن كه امروز تربيت اولاد و رشد استعدادهاى آنان خود داراى رشته بسيار با اهميت و داراى علما و متخصصين مى‌باشد، نياز به تنبيه بدنى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مانع از تربيت و رشد استعدادهاست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نادر بوده و هست، و بر همة قدرت‌هاى تبليغى و فرهنگى است كه راه‌هاى احسن تربيت و ادب و فرهنگ را تبليغ نموده تا طبعاً پدران و مادران مهربان و همة مربيان از آن استفاده كنند و راه كودك آزارى مسدود گردد، و بايد همگان را به سيرة رسول گرامى اسلام صلی الله علیه و آله در جلوگيرى از تربيت و ادب هنگام غضب و خشم متوجه ساخته تا ادب و تربيت همراه با عاطفه و حاكميت عقل و علم و خرد انجام گيرد، چرا كه حالت خشم و غضب در هنگام ادب و تربيت، همة جهات عقلانى و علمى و انسانى تربيت را مستور نموده و پرده و حجاب سخت وآهنينى بر روى همة آنها قرار مى‌دهد كه نعوذ باللّه منه</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كودك‌آزاري در شرع به چه مواردى اطلاق مي شود؟ و حكم شرعی والدين كودك آزار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نسبت به محاكم، با قانون است و نسبت به خود افراد بين خود و خدا موارد آن معلوم و روشن است، گرچه داراى موارد مختلفه است و همة آنها حرام است؛ چون آزار به انسان‌ها بدون تفاوت درآزاردهنده و آزارشونده و مراتب آن به حكم عقل و شرع حرام است</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همان‌طورى كه مستحضريد اين روزها پديدة مذموم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 آزارى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 گسترده‌اى در جامعه رايج شده است، لذا به منظور كمك به شناسايى و كنترل اين آسيب اجتماعى، ديدگاه‌ها و رهنمودهاى حضرت‌عالى مى‌تواند ما را يارى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عنايت به اين كه درصد زيادى از موارد كودك آزارى درمحيط امن خانه اتفاق مى‌افتد، آيا شرع مقدس، والدين را در انجام اين عمل ضد انسانى، مخير دانسته است؟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كودك آزارى از سوى والدين، از نظر شرع مقدس جايز است يا حرام؟</w:t>
      </w:r>
    </w:p>
    <w:p>
      <w:pPr>
        <w:pStyle w:val="BookText"/>
        <w:rPr/>
      </w:pPr>
      <w:r>
        <w:rPr>
          <w:rFonts w:ascii="IRNazanin" w:hAnsi="IRNazanin" w:eastAsia="IRNazanin"/>
          <w:color w:val="111111"/>
          <w:sz w:val="28"/>
          <w:sz w:val="28"/>
          <w:szCs w:val="28"/>
          <w:rtl w:val="true"/>
          <w:lang w:bidi="fa-IR"/>
        </w:rPr>
        <w:t>با توجه به عنايت ويژه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درخصوص اجتهاد به روز، آيا امروز كه مسأله كودك آزارى در حال تبديل شدن به يك بحران در جامعه است، مى‌توان يك راهكار يا حكم شرعى را براى رفع اين مشكل به كار گرفت؟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تغيير قانون حمايت از كودكان و نوجوانان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تا حدّى والدين را درتنبيه كودك مجاز 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شرعى دارد؟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سؤال علاوه بر روشن بودنش، از خود سؤال هم معلوم مى‌باشد؛ چون هيچ شرع و قانونى چه رسد به شرع مقدس اسلام كه دينى الهى است، آزار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چه رسد به كودكان مظلوم و بى‌پناه آن هم درمحيط دربسته خانه را اجازه نداده و نمى‌دهد، و عقل و نقل و همه علما و فقها اجماعاً آن را حرام و معصيت وگناه و ظلم و ايذا مى‌دانند؛ و ناگفته نماند كه به حكم اطلاق ادلّه حرمت ظلم و اذيت، فرقى بين ايذاى جسمى و روحى نمى‌باشد و هر دوى آنها حرام است و مرتكبش به علاوه از ضمان و لزوم جبران خسارت و ضرر وارده به كودك، همانند ضرر به ديگران، مستحق تعزير هم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آزار كودكان از طرف والدين، جايز نبوده و مخيّر در آن نبوده و نيستند و كودك آزارى از طرف آنها در شرع مقدس، حرام و معصيت مي‌باشد، بلكه عمده و غالب انواعش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نگوييم همه‌اش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معاصى كبيره است، اين بود بيان حكم كلّى مسئله؛ و امّا راجع به رفع معضل مفروض در سؤال، قبل از مطلب بلند و بالاى نقل شده از فقيهى همانند امام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راهكار جلوگيرى از آن مانند راهكارهاى جلوگيرى از ظلم به ديگران در اسلام پيش بينى شده و بر همگان مخصوصاً دولت مردان قانونگذارى و اجرا، تشكيل محاكم، جلوگيرى از ايذا و به فرياد چنان مظلومان بى پناه رسيدن، واجب شرعى و عقلى است، بلكه بر آنها به علاوه از تكليف، يك حق هم مى‌باشد چون هر مظلومى بر حكومت، حقّ رفع ظلم از خودش را دارد و حكومت بايد جلوى هرگونه ايذا و اذيت را گرفته و عدالت را اجرا نمايد، و مسأله حمايت، قاعدتاً همان حضانت و سرپرستى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تربيت كودك و حفظ بدن و روح و جان او مى‌باشد كه بر پدر و مادر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در راستاى ادب و تربيت كودكان از طرف آنها، تنها زدن حدّاكثر تا پنجضربه و يا شش ضربه نه زيادتر، آن هم با انحصار راه تربيت به آن و در مسير جلوگيرى از فساد اخلاقى و ارتكاب كارهاى ناشايست و به شرط اين كه ضربه به طور سخت و موجب زخم شدن و يا تغيير رنگ پوست نباشد، اجازه داده شده، و ناگفته نماند با آن كه امروز تربيت اولاد و رشد استعدادهاى آنان خود رشته بسيار با اهميت و داراى علما و متخصصين مى‌باشد، نياز به تنبيه بدنى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مانع از تربيت و رشد استعدادها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نادر بوده و هست و بر همة قدرت‌هاى تبليغى و فرهنگى است كه راه‌هاى احسن تربيت و ادب و فرهنگ را تبليغ نموده تا طبعاً پدران و مادران مهربان و همة مربيان، از آن راه‌ها استفاده كنند و راه كودك آزارى مسدود گردد، و بايد همگان را به سيرة رسول گرامى اسلام صلی الله علیه و آله در جلوگيرى از تربيت و ادب هنگام غضب و خشم متوجّه ساخت تا ادب و تربيت همراه با عاطفه و حاكميت عقل و علم و خرد انجام گيرد؛ چرا كه حالت خشم وغضب در هنگام ادب و تربيت، همة جهات عقلانى و علمى و انسانى تربيت را مستور نموده و پرده و حجاب سخت و آهنينى بر روى همه آنها قرار مى‌دهد كه نعوذ باللّه منه</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bookmarkStart w:id="151" w:name="pg9392_88160"/>
    </w:p>
    <w:p>
      <w:pPr>
        <w:pStyle w:val="BookText"/>
        <w:rPr/>
      </w:pPr>
      <w:bookmarkEnd w:id="15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در تربيت فرزندان تا چه اندازه حقّ تأديب دارند، و آيا از ديه معاف هستند؟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تأديب بايد به غير از زدن انجام گيرد، و درصورت وارد آمدن ضربه‌اى به فرزند، ديه از آنان ساقط نمى‌شود</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و مربيان تعليم و تربيت، تا چه اندازه در تأديب مجاز و معاف از ديه هستند؟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كودك را مورد ضرب و اذيت قرار داد و تأديب و تعليم بايد به غير از چنين اعمالى انجام گيرد و به هر حال، ديه كه به عهدة انسان آمد، مانند بقية ديون است كه بايد پرداخت شود و عسر، سبب سقوط آن نمى‌گردد</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 w:name="__RefHeading___Toc5532632_2870459653"/>
      <w:bookmarkStart w:id="153" w:name="_Toc53"/>
      <w:bookmarkEnd w:id="152"/>
      <w:r>
        <w:rPr>
          <w:rtl w:val="true"/>
        </w:rPr>
        <w:t>تشکيل نظام ويژه دادرسي براي کودکان و نوجوانان</w:t>
      </w:r>
      <w:bookmarkEnd w:id="15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اين‌که در سنين كمتر از هجده سال، كودكان و نوجوانان آن چنان رشد عقلى و فكرى پيدا نكرده‌اند و به يك معنى، مستحق توجه و كمك ويژه‌اى هستند تا بتوانند نقش خود را در جامعه ايفا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امروزه دنيا به اين فكر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تهيه كنوانسيون حقوق كودك كه مورد پذيرش بيش از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جهان نيز قرار گرفته و جمهورى اسلامى ايران نيز در سنوات اخير با حقّ شرط به اين قانون 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نظام دادرسى ويژه‌اى را براى افراد كمتر از هجده سال اعمال نمايد و در آن</w:t>
      </w:r>
    </w:p>
    <w:p>
      <w:pPr>
        <w:pStyle w:val="BookText"/>
        <w:rPr/>
      </w:pPr>
      <w:r>
        <w:rPr>
          <w:rFonts w:ascii="IRNazanin" w:hAnsi="IRNazanin" w:eastAsia="IRNazanin"/>
          <w:color w:val="111111"/>
          <w:sz w:val="28"/>
          <w:sz w:val="28"/>
          <w:szCs w:val="28"/>
          <w:rtl w:val="true"/>
          <w:lang w:bidi="fa-IR"/>
        </w:rPr>
        <w:t>سيستم عمدتاً از نظام جايگزين استفاده مى‌شود، به نظر حضرت عالى با توجه به وسعت اختيارات قضات خصوصاً در تعزيرات، آيا مى‌توان نظام دادرسى ويژه‌اى براى آنان ترتيب داد تا در موارد تعزيرى از يك نظام جايگزينى كه در ترميم شخصيّت آسيب ديده آنها مؤثر است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توبيخ شفاهى اكتفا نمود يا متهم را به يك مؤسسه تخصصى با مربيان اجتماعى كه براى اين منظور در نظر گرفته شده فرستاد، يا به يك مؤسسه پزشكى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تربيتى بر اساس توصيه يك پزشك واجد شرايط براى انجام تربيت صحيح فرستاد، يا صرفاً به جريمه نقدى اكتفا كرد يا كار اجبارى بدون حقوق به نفع مؤسسات و انجمن‌هاى حقوقى عمومى زير نظر و مراقبت قاضى، محكوم كرد و يا به هر شيوه جديدى كه در ساختار شخصيتى آنان نقش مؤثرى داشته باشد و حالت بازدارندگى خود را نيز حفظ كند، حكم داد؟ و آيا در معناى تعزيرات، قايل به موارد خاصّى هستيد يا هر چيز و هر مؤسسه‌اى كه حالت اصلاحى و بازدارندگى داشته باشد و در منع افراد از بزه اثر بخش باشد را تعزير مى‌دانيد؟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ترتيب نظام ويژة دادرسى براى جوانان كمتر از هجده سال كه در سؤال آمده، به تعزير نمودن آنها به انواع تعزيرها و بازدارنده‌ها كه به عنوان مثال ذكر شده، به نظر اين‌جانب بلااشكال و بلامانع است، اگر نگوييم با فرض انحصار طريق بازدارنده به برخى از آنها در بعضى از افراد واجب و متيقّن است، چه رسد به جواز، و وجه جواز را در حقيقتِ تعزير و علّت آن بايد جستجو نمود؛ چون تعزير 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عرفاً و شرعاً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مجرم از تكرار جرم و ديگران از ارتكاب آن در حدّى كه مقدور است؛ يعنى كارى كه به حَسَب متعارف و طبع مى‌تواند مانع و رادع باشد، آن‌را تعزير </w:t>
      </w:r>
    </w:p>
    <w:p>
      <w:pPr>
        <w:pStyle w:val="BookText"/>
        <w:rPr/>
      </w:pPr>
      <w:r>
        <w:rPr>
          <w:rFonts w:ascii="IRNazanin" w:hAnsi="IRNazanin" w:eastAsia="IRNazanin"/>
          <w:color w:val="111111"/>
          <w:sz w:val="28"/>
          <w:sz w:val="28"/>
          <w:szCs w:val="28"/>
          <w:rtl w:val="true"/>
          <w:lang w:bidi="fa-IR"/>
        </w:rPr>
        <w:t>مى‌گويند و تعزير هم به وسيله آن بايد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تعزير مثل حدّ به معناى منع استو به كارى كه مانع است، يعنى به خود جزا هم، حدّ و تعزير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تفاوت عمده آنها در تعيّن به حَسَب شرع و عدم تعيّن آن مى‌باشد كه در تعزير، تابع نظر حكومت در بُعد قانونگذارى و كارشناسى مى‌باشد، يعنى احتياج به قانون مصوّب مجلس شوراى اسلامى دارد و مراجعه به كتب فقهيّه هر چه زيادتر باشد، حقيقت بودن تعزير در منع و به يد حكومت بودن آن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تحرير</w:t>
      </w:r>
      <w:r>
        <w:rPr>
          <w:rStyle w:val="FootnoteAnchor"/>
          <w:rtl w:val="true"/>
        </w:rPr>
        <w:footnoteReference w:id="119"/>
      </w:r>
      <w:r>
        <w:rPr>
          <w:rFonts w:ascii="IRNazanin" w:hAnsi="IRNazanin" w:eastAsia="IRNazanin"/>
          <w:color w:val="111111"/>
          <w:sz w:val="28"/>
          <w:sz w:val="28"/>
          <w:szCs w:val="28"/>
          <w:rtl w:val="true"/>
          <w:lang w:bidi="fa-IR"/>
        </w:rPr>
        <w:t>در مبحث سيزده از مباحث احكام قذف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تعزير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بالضّرب و الحبس و التوبيخ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دقت نمود كه علّامه حتى توبيخ را صريحاً در تعزير كافى دانسته، و معلوم است كه براى توبيخ خصوصيّتى نيست؛ چون توبيخ مانند غير آن از ضرب و حبس جزو حدود نيامده تا بگوييم از باب مشابهت با حدود است، بلكه معلوم است كه به عنوان يك طريق از طرق مانعه ذكرشده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غير آن هم از بقيّه طرق به نظر ايشان، بلكه به نظر بقيّه هم در تعزير، كفايت مى‌كند؛ و فقيه عالى مقدار و محقق بزرگوار در فقه، مرحوم فاضل اصفهاني، مشهور به فاضل هندى صاحب كشف‌اللثام</w:t>
      </w:r>
      <w:r>
        <w:rPr>
          <w:rStyle w:val="FootnoteAnchor"/>
          <w:rtl w:val="true"/>
        </w:rPr>
        <w:footnoteReference w:id="120"/>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بحث تعزير كه در ذيل حدّ قذف متعرض آن شده </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وجوب التعزير فى كلّ محرّم من فعل أو ترك إن لم ينته بالنّهى والتوبيخ ونحوهما فهو ظاهر؛ لوجوب إنكار المنكر، و أمّا إن انتهى بما دون الضّرب فلا دليل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يمكن تعميم التعزير فى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كلام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كلام غيره لما دون الضّرب من مراتب الإنكار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فقيه بزرگوار گويا براى جامعه امروز سخن مى‌گويد و پاسخ به سؤال‌هاى امثال حضرت عالى را مى‌دهد و مخصوصاً صراحت ذيل كلامش، هر گونه شبهه‌اى را در عدم جواز تعزير به غير زدن از مراتب انكار و بازدارنده زدوده و پاسخ فقهى عميق را داده و شبيه عبارت كشف اللثام را كتاب فقهى نفيس و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نيز دارد و اين عبارات، به‌علاوه از بيان نظر خودشان و بيان مقتضاى قواعد، نظر فقها را هم براى ما بيان نموده‌اند و از عبارات نقل شده، جهت و دليل تعزير هم روشن شد كه همان جلوگيرى و انكار منكر است، ليكن بايد به چيزى غير از حدّ باشد و بايد مانع و رادع 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تمام مناط، ردع و منع است، به هر نحو كه حاصل شود و معلوم است جلوگيرى و تعزير و ردع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كه نسبت به سن بعد از بلوغ معتبر است، و يا اصلاح مرتكب و جامعه و تأديب كه نسبت به قبل از بلوغ و بعد از تميز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نگوييم كه آنجا هم تعزير به خاطر جلوگيرى از كار خلاف و زشت است، به‌علاوه از اصلاح و تأديب مرتكب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موارد و </w:t>
      </w:r>
    </w:p>
    <w:p>
      <w:pPr>
        <w:pStyle w:val="BookText"/>
        <w:rPr/>
      </w:pPr>
      <w:r>
        <w:rPr>
          <w:rFonts w:ascii="IRNazanin" w:hAnsi="IRNazanin" w:eastAsia="IRNazanin"/>
          <w:color w:val="111111"/>
          <w:sz w:val="28"/>
          <w:sz w:val="28"/>
          <w:szCs w:val="28"/>
          <w:rtl w:val="true"/>
          <w:lang w:bidi="fa-IR"/>
        </w:rPr>
        <w:t>اشخاص و محيط‌ها و مكان‌ها و زمان‌ها و غير آنها از خصوصيات مختلف است و اين نظر كارشناسان تربيتىجامعه و نظر جرم شناسان و علماى جزاء و حقوق جزايى و نظر قانونگذار است كه مى‌تواند ضابطه و قاعده و قانون را حَسَب موارد معيّن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كلام اين‌که، جايز است و مى‌توان به هر شيوه جديدى كه نقش مؤثرى در بازدارندگى در ساختار شخصيّتى نوجوانان قبل از هجده سال دارد، دست زد و دادرسى ويژه‌اى را براى آنان ترتيب داد، و گذشت كه ترتيب شيوه جديد در بعضى موارد، نه تنها جايز است، بلكه اگر راه بازدارندگى منحصر به آن باشد، تعزير به وسيله آن راه و روش جديد به خاطر وجوب تعزير، لازم و واجب است</w:t>
      </w:r>
      <w:r>
        <w:rPr>
          <w:rFonts w:eastAsia="IRNazanin" w:cs="IRNazanin"/>
          <w:color w:val="111111"/>
          <w:sz w:val="28"/>
          <w:szCs w:val="28"/>
          <w:rtl w:val="true"/>
          <w:lang w:bidi="fa-IR"/>
        </w:rPr>
        <w:t>.</w:t>
      </w:r>
      <w:r>
        <w:rPr>
          <w:rStyle w:val="FootnoteAnchor"/>
          <w:rtl w:val="true"/>
        </w:rPr>
        <w:footnoteReference w:id="122"/>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bookmarkStart w:id="154" w:name="pg9392_88171"/>
    </w:p>
    <w:p>
      <w:pPr>
        <w:pStyle w:val="Heading2"/>
        <w:numPr>
          <w:ilvl w:val="1"/>
          <w:numId w:val="1"/>
        </w:numPr>
        <w:rPr/>
      </w:pPr>
      <w:bookmarkStart w:id="155" w:name="__RefHeading___Toc5532634_2870459653"/>
      <w:bookmarkStart w:id="156" w:name="_Toc54"/>
      <w:bookmarkEnd w:id="154"/>
      <w:bookmarkEnd w:id="155"/>
      <w:r>
        <w:rPr>
          <w:rtl w:val="true"/>
        </w:rPr>
        <w:t>کتابنامه</w:t>
      </w:r>
      <w:bookmarkEnd w:id="1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حکیم، ترجمه سید جلال الدین مجتبوی، حکمت، چاپ اول،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القرآن، محمد بن عبدالله معروف به ابن عربی، تحقیق محمد عبدالقادر عطا، دارالفکر، بیروت،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بانوان، یوسف صانعی، میثم تمار، قم، چاپ بیست و سوم،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المعروف برجال الکشّي، شیخ طوسی، تحقیق محمد تقی فاضل میبدی، سید ابوالفضل موسویان، چاپ اوّل،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استفتائات قضایی، یوسف صانعی، پرتو خورشید، قم، </w:t>
      </w:r>
    </w:p>
    <w:p>
      <w:pPr>
        <w:pStyle w:val="BookText"/>
        <w:rPr/>
      </w:pP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امثال الحکم، علی اکبر دهخدا، امیرکبیر،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 المجلسي، داراحياء التراث العربي، بيروت،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تحریر الأحکام الشرعیة علی مذهب الإمامیة، علامه حلّی، تحقیق ابراهیم بهادری، مؤسسه امام صادق، چاپ اوّل، قم،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فقهی شهادت زن در اسلام، فخرالدین صانعی، انتشارات میثم تمار، چاپ نهم،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الفقهاء، العلام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الحلّي، الحسن بن يوسف بن المطهر، مؤسس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البيت، قم،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الاُولي،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تفصیل وسائل الشیعة إلی تحصیل مسائل الشریعة، شیخ حرّ عاملی، تحقیق و نشر مؤسسه آل البیت لإحیاء التراث، چاپ دوم، بیروت،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الأحکام، شیخ طوسی، تحقیق سید حسن موسوی خرسان، دارالکتب الإسلامیة، چاپ چهارم،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المدارك، السيّد أحمد الخوانساري، محقّق علي اکبر غفاري، مؤسسه اسماعيليان، چاپ دوم،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الشتات، ميرزا ابوالقاسم ابن الحسن الجيلاني القمي، منشورات شوکة الرضوان، تهران، بي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الکلام في شرح شرایع الإسلام، شیخ محمدحسن نجفی، دارالکتب الإسلامیة،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رسائل فقهيه، الشيخ الأعظم الأنصاري، لجنة التحقيق </w:t>
      </w:r>
    </w:p>
    <w:p>
      <w:pPr>
        <w:pStyle w:val="BookText"/>
        <w:rPr/>
      </w:pPr>
      <w:r>
        <w:rPr>
          <w:rFonts w:ascii="IRNazanin" w:hAnsi="IRNazanin" w:eastAsia="IRNazanin"/>
          <w:color w:val="111111"/>
          <w:sz w:val="28"/>
          <w:sz w:val="28"/>
          <w:szCs w:val="28"/>
          <w:rtl w:val="true"/>
          <w:lang w:bidi="fa-IR"/>
        </w:rPr>
        <w:t xml:space="preserve">تراث الشيخ الأعظم، مجمع الفکر الإسلامي، قم، الطبعة الثانية،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توضيح المسائل، يوسف صانعي، انتشارات ميثم تمّار، چاپ شصت و دوم،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السرائر، ابن ادریس حلّی، تحقیق و نشر مؤسسه نشر اسلامی، چاپ پنجم، قم،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 ابی بکر احمد بیهقی، تحقیق یوسف عبدالرحمن المرعشلی، دارالمعرفة،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امام، روح الله الموسوي الخميني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ناشر مؤسسه تنظيم و نشر آثار امام خميني، چاپ چهارم، تهران،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فرائد الاصول، شیخ مرتضی انصاری، نشر آرموس، چاپ دوم،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الثقلین في شرح تحریر الوسیله،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یوسف صانعی، مؤسسه تنظیم و نشر آثار امام خمینی، چاپ دوم، تهران،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لايحضره الفقيه، الصدوق، مؤسسة الاعلمي للمطبوعات،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مجازات اسلامی، نشر خورشید،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مدنی، نشر فروزش، چاپ دوم،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الکافي، ثقة الإسلام کلینی، تحقیق علی اکبر غفّاری، دارالکتب الإسلامیة، چاپ هفتم،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 علی المذاهب الأربعة، عبدالرحمان الجزیری، دار الاحیاء التراث العربی، چاپ هفتم،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اللثام، الفاضل الهندي، مؤسسة النشر الإسلامي، </w:t>
      </w:r>
    </w:p>
    <w:p>
      <w:pPr>
        <w:pStyle w:val="BookText"/>
        <w:rPr/>
      </w:pPr>
      <w:r>
        <w:rPr>
          <w:rFonts w:ascii="Amiri" w:hAnsi="Amiri" w:eastAsia="Amiri" w:cs="Amiri"/>
          <w:color w:val="111111"/>
          <w:sz w:val="28"/>
          <w:sz w:val="28"/>
          <w:szCs w:val="28"/>
          <w:rtl w:val="true"/>
          <w:lang w:bidi="ar-SA"/>
        </w:rPr>
        <w:t xml:space="preserve">الطبعة الثانية، قم،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الاصول، آخوند شیخ محمد کاظم خراسانی، تحقیق و نشر مؤسسه آل‌البیت لإحیاء التراث، چاپ دوم،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في سنن الأقوال و الأفعال، علاءالدین هندی، مؤسسه الرسالة،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اللمعة الدمشقیّة في فقه الإمامیة، شهید اول محمد بن مکی عاملی، دارالفکر، چاپ دوم، قم،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في تفسیر القرآن، امین الاسلام طبرسی، تحقیق سیدهاشم رسولی محلاتی، سید فضل الله یزدی طباطبایی، دارالمعرفة،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الفائدة و البرهان في شرح إرشاد الأذهان، مقدس اردبیلی، تحقیق مجتبی عراقی، علی پناه إشتهاردی، حسین یزدی، مؤسسه نشر اسلامی، چاپ دوم،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المسائل، یوسف صانعی، میثم تمار، قم، چاپ پانزدهم،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فقه و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شماره‌هاى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یوسف صانعی، فقه الثقلین، چاپ هفتم، قم،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المختصر النافع، المحقّق الحلّي نجم الدّين، جعفربن حسن، مؤسسة المطبوعات الدينية، الطبعة السادسة،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مسالک الأفهام إلی تنقیح شرائع الإسلام، شهید ثانى زین الدین بن على عاملی، تحقیق مؤسسه معارف اسلامی، چاپ اوّل، قم، </w:t>
      </w:r>
      <w:r>
        <w:rPr>
          <w:rFonts w:eastAsia="IRNazanin" w:cs="IRNazanin"/>
          <w:color w:val="111111"/>
          <w:sz w:val="28"/>
          <w:szCs w:val="28"/>
          <w:lang w:bidi="fa-IR"/>
        </w:rPr>
        <w:t>14191413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و مستنبط المسائل، میرزا حسین نورى، تحقیق و نشر مؤسسه آل البیت لإحیاء التراث، چاپ اول، مشهد،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مستند الشیعة في أحکام الشریعة، ملاّ احمد نراقی، تحقیق و نشر مؤسسه آل‌البیت لإحیاء التراث، چاپ اوّل، مشهد،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المغني و الشرح الکبیر، ابن قدامه مقدسی، دارالفکر،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المقنعة، شیخ مفید، مؤسسه نشر اسلامی، چاپ چهارم،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الموطأ، مالک بن انس، تحقیق احمد راتب عرموش، دارالنفائس، چاپ دهم،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حقوق زن در اسلام، مرتضی مطهری، انتشارات صدرا، چاپ بیستم، تهران،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عبده، مکتب الاعلام اسلامي، چاپ اول،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الفصاحة، ابوالقاسم پاينده، انتشارات جاويدان، تهران، چاپ يازدهم،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الوسيلة، الى نيل الفضيلة ابن حمزه، نشر مکتبة آية الله مرعشي نجفي، اول،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امام خمينى، سيد روح الله موسوى، مؤسسه تنظيم و نشر آثار امام خمينى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دوازدهم، تهران،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يادآوري است جهت اطلاع بيشتر خوانندگان محترم از فتاواي کاربردي در زمينة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 و مسئوليت کيفري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کامل سؤال سرويس فقه و حقوق خبرگزاري دانشجويان ايران و جواب حضرت آيت الله العظمي صانعي، در پايان همين بخش تقديم علاقه‌مندان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اطلاع بيشتر خوانندگان محترم از نحوه استدلال و استنباط موضوع فوق، توسط حضرت آيت الله العظمي صانعي به کتاب فقه و زندگي،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بلوغ دختران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نشانه‌های بالغ شدن در پسران را بیان فرمایید؟</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اگر از آنان رشدي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و حسن تدبير امور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ديديد اموالشان را به خودشان بدهيد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مدني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اموال صغیری را که بالغ شده است در صورتی می‌توان به او داد که رشد او ثابت شده باشد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ابواب مقدّمة العبادات،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از باب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الثقلين في شرح تحرير الوسيلة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تأليف معظم‌له،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ضمان النفوس و غيرها،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بيشتر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و زندگی،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دیه بر عاقله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ثيّبه به زني گفته مي‌شود که ازدواج کرده و شوهرش را از دست داده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چنين زني هم که باکره نيست بايد به حد رشد در امور رسيده باشد تا براي ازدواج مجدد نياز به اذن پدر نداشته باشد؛ درباره حکم دختري که باکره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توضيح المسائل معظم‌له،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الحکم، دهخدا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هرگاه ديوانه يا نابالغي عمداً کسي را بکشد خطا محسوب و قصاص نمي‌شود، بلکه بايد عاقله آنها، ديه قتل خطا را به ورثه مقتول بدهند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قانون مجازات اسلامي، فصل چهارم، شرايط قصاص، ماده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أبواب المقدمات 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کساني که زنان پاکدامن را به زنا نسبت دهند آن‌گاه چهار گواه نياورند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از زنانتان آنان که کاري زشت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کنند چهار 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خودتان بر آنها گواه خواهيد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مائده و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طلاق</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شما را از يک مرد و زن بیافريديم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آية</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شما را از يک 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آدم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کار هيچ عمل کننده‌اي از شما را، از مرد يا زن، تباه نکنم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الجهاد، ابواب جهاد النفس، 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اشتراط الذکورة، فذلك ظاهر فيما لم يجز للمراة فيه أمر، وأمّا في غير ذلك فلا نعلم له دليلاً واضحاً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ذلك هو المشهور، فلو کان اجماعاً، فلا بحث، وإلاّ فالمنع بالکلية محل بحث، إذ لامحذور في حکمها بشهادة النساء، مع سماع شهادتين بين المرأتين مثلاً بشيء مع اتصافها بشرائط الحکم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تحصيل علم و اجتهاد را نمي‌توان مخصوص مرد دانست؛ چرا که همه انسان‌ها به کسب علم تشویق شده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 و امّا مسأله قضاوت و مرجعیت و ولایت و رهبری از مسائلی است که عقیده بنده این است که زن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تواند تمام این مراحل و مراتب را دارا گردد و در مورد زن، باید به زهرا</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زینب و امّ کلثوم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همه زنان با فضیلت عالم نگاه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قضايي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احکام بانوان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کتاب فضل العلم، باب المستأکل بعلمه و المباهي به،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 رسول الله صلی الله علیه و آله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صفة العلم وفضله وفضل العلماء،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 الصادق علیه السلام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بلکه نگاه کنيد در ميان خودتان چه مردي قضاوت‌هاي ما را مي‌داند و او را حَکم قرار دهيد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صفات القاضي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 الصادق علیه السلام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اصولاً شهادت به عنوان یک اماره نه یک دلیل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امروزه در دنیا متعارف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زن و مرد در اسلام تفاوتی ندارد؛ و هر اماره و قرینه‌ای به قدر اماره بودنش معتبر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شهادت در اسلام که به عنوان یک دلیل حجت است در غیر مورد مالی که در قرآن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هم با توجه به عدم آشنایی کامل زن به مسائل مالی که شهادت دو نفر از آنان به جای یک نفر مرد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فقهی اینجانب در بقیه موارد همانند مرد است، و یک زن عادله با یک مرد عادل همانند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فقه العلماء،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حضرت استاد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امتیازی در موضوع شهادت از زنان ساقط نشده و حقی هم از آنان تضییع نشده است و اسلام هدفش خرد کردن شخصیت زن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مکتب و ایدئولوژی برای فراخوانی جامعه به سوی خویش باید نیازهای فطری انسان‌ها و مشکلات جوامع را در نظر گرفته، بر طبق آن، مبانی خویش را بنیان و به جامعه ارائه 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فَأَقِمْ وَجْهَكَ لِلدِّينِ حَنيفاً فِطْرَتَ اللَّهِ الَّتي فَطَرَ النَّاسَ عَلَيْها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سوره روم،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14597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باب القطع و الظن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باب النکاح، باب التسليم علي النساء،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ابي‌عبدالله علیه السلام ، عن رسول الله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زنان از تکلم کردن ناتوانند و سزاوار است که پوشيده بمانند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جهاد زن خوب شوهرداري کردن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 حق الزوج علي المرأة،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پاورقی صفحه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از شرط بودن شهادت در صحّت طلاق و ثبوت آن، به حسب واقع و فیما بین مکلف و خدای خویش، از مختصات طلاق است و هیچ یک از احکام شرعی دیگر، براساس مذهب شیعه، به چنین شرطی مشروط نبوده و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اینکه مرد بودنِ دو شاهد عادل و عدم کفایت شهادتِ زن در صحّت طلاق جزءِ مسلّمات شرعی فقه شیعه است و هیچ شک و شبهه‌ای در آن وجود ندارد؛ چرا که کتاب و سنت بر لزوم وجود شاهدِ مرد دلالت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 شرائطه،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اعتبار نیز مرد بودن شاهدان اجرای صیغه‌ی طلاق ضروری به نظر می‌رسد و اگر تبعیضی در این میان بین زن و مرد تصور شود، بر اساس رعایت مصالح کلی و به نفع اجتماع و برای جلوگیری از بر هم خوردن نظم خانواده است که منافع آن در هر صورت به زنان نیز بر می‌گردد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ذيل 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درباره چگونگی استدلال به آیه شریفه مبنی بر عدم تساوی شهادت مرد و زن در دیون و اموال و نقد این استدلال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فقهی شهادت زن در اسلام،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ذکر العقول، ح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xml:space="preserve">؛ السنن الکبري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16627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الشرح الکبير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5019</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علي المذاهب الأربعة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تحرير الاحکام الشرعية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الديات، باب الرجل يقتل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حضرت استاد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تمایز دیه عمد با شبه عمد و خطا که در این گفتگو بیان شده و در ادامه، تمسّک به روایات دالّه بر تنصیف دیه زنان در قتل عمد شده است، منطبق با رأی معظم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له در آن زمان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باشد، لیکن در حال حاضر معظم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له قایل به برابری دیه زن و مرد؛ هم در قتل شبه عمد و خطا و هم در قتل عمد که اگر اولیای دم بخواهند قصاص را با دیه گرفتن از قاتل مصالحه نمایند و یا اینکه اولیای زن مقتوله بخواهند قاتل را قصاص نمایند، ردّ فاضل دیه ساقط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فقه و زندگی،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برابری دیه زن و مرد، مسلمان و غیرمسلمان؛ استفتاآت قضایی،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القدامة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مسألۀ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6838</w:t>
      </w:r>
      <w:r>
        <w:rPr>
          <w:rFonts w:ascii="IRNazanin" w:hAnsi="IRNazanin" w:eastAsia="IRNazanin"/>
          <w:b w:val="false"/>
          <w:b w:val="false"/>
          <w:bCs w:val="false"/>
          <w:i w:val="false"/>
          <w:i w:val="false"/>
          <w:iCs w:val="false"/>
          <w:color w:val="333333"/>
          <w:sz w:val="20"/>
          <w:sz w:val="20"/>
          <w:szCs w:val="20"/>
          <w:rtl w:val="true"/>
        </w:rPr>
        <w:t xml:space="preserve">، تساوی جراح المرأۀ جراح الرجل إلی ثلث الدیة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رواياتي است که در آن امام صادق علیه السلام زراره را مورد لعن قرار داده يا زراره را بدعت‌گذار خوانده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باب زرارة،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که آقاي دکتر مهرپور به فقه شیعه نسبت داده است، صحيح نيست، بلکه این نظریه موافق است با دیدگاه ابن عربی که ظاهراً مبناي پرداخت ديه را رتبه و اعتبار اشخاص مي‌داند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مطالبی که در این پرسش و پاسخ مطرح شده است مشی بر مبنای گذشته حضرت استاد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موضوع قصاص بوده است و لیکن مبنای اخیر معظم‌له بر مساوت قصاص زن و مرد، مسلم و کافر تأکید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بیان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پایه آیات قرآنی و اصول شریعت اسلامی انسان‌ها در تمامی اصناف، در قصاص برابرند و هیچ‌گونه مزیّتی در جنسیّت و دیانت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مبنا و برای اثبات این مطلب، دو دسته از آيات قرآنى بر برابرى قصاص دلالت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خاص شامل سوره‌های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بقره،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مائده،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اسراء،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وَكَتَبْنَا عَلَيْهِمْ فِيهَا أَنَّ النَّفْسَ بِالنَّفْسِ وَالْعَيْنَ بِالْعَيْنِ وَالأَنفَ بِالأَنفِ وَالأُذُنَ بِالأُذُنِ وَالسِّنَّ بِالسِّنِّ وَالْجُرُوحَ قِصَاصٌ؛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آن برآنان اين حکم نوشتيم که تن را به تن و چشم را به چشم و بيني را به بيني و گوش را به گوش و دندان را به دندان و زخم‌ها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برابرش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قصاص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كُتِبَ عَلَيْكُمُ الْقِصَاصُ فِي الْقَتْلَى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اعْتَدَىٰ بَعْدَ ذَلِكَ فَلَهُ عَذَابٌ أَلِيمٌ؛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شما درباره کشته شدگان قصاص نوشته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هرکه پس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 کردن و ديه گرفتن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اندازه درگذرد او را عذابي دردناک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وَلَكُمْ فِي الْقِصَاصِ حَيَاةٌ يَاْ أُولِيْ الأَلْبَابِ لَعَلَّكُمْ تَتَّقُونَ؛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خردمندان، شما را در قصاص، حيات و زندگاني است تا شايد پروا کنيد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 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کفاية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الثقلين في شرح تحرير الوسيلة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11211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کتاب الحدود و التعزيرات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اينجاي جواب که مربوط به تعيين سنّ مسئوليّت کيفري در تعزيرات است در آخر دفتر سوم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تشکيل نظام ويژه دادرسي براي کودکان و نوجوانان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به‌مناسبت بدان پرداخته شده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 خردمندان، شما را در قصاص، حيات و زندگاني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هر که درگذرد و اصلاح کند پاداش او بر خداست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هر که از سوي برادر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چيزي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برايش بخشوده شد پس بايد رفتاري نيک و پسنديده در پيش گيرد و پرداخت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خونبها از سوي 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به نيکي گزارده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تخفيف و مهر و بخشايشي است از پروردگارتان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و زندگي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قيموميت مادر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نظر تبعیت کرده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العظمي صانعي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بنده در زمان مسئولیت قضایی‌ام نظرم همین بود و در حقیقت این مبانی زیربنایی فکری را از خیلی قبل داشتم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منتها در آن زمان تنها به عنوان احتمال و یک بحث تحقیق نشده یا یک فرضیه به آن نگاه می‌کردم؛ اما امروز به عنوان یک اصل در نظر دارم و موازین و مستندات فقهی آن را هم می‌گویم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نظر من در گذشته تنها یک نظر بود، اما امروز به عنوان یک فتوا عرض می‌کنم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و زندگي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قيموميت مادر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تُضَارَّ وَالِدَةٌ بِوَلَدِهَا وَ لاَ مَوْلُودٌ لَهُ بِوَلَدِهِ؛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مادري و هيچ پدري نبايد به سبب فرزندش زيان بيند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جَعَلَ عَلَيْكُمْ فِي الدِّينِ مِنْ حَرَجٍ؛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شما در کار دين هيچ تنگي و دشواري ننهاده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قضايي،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خواهر ابي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خواهر پدري</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قضايي،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دارند؟</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ضمن تراث الشيخ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قضايي،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نهج‌البلاغه، حکمت</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نهج‌الفصاحة،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تأکد الاستحباب الاجتهاد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الأعمال و الأدعیة مطلق لیالی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الصَّادِقُ علیه السلام إِنَّ اﷲَ عَزَّ وَ جَلَّ لَيَرْحَمُ الرَّجُلَ لِشِدَّةِ حُبِّهِ لِوَلَدِهِ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لايحضره الفقيه،ج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4695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ذیل حدیث</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إِلَى النَّبِيِّ صلی الله علیه و آله فَقَالَ مَا قَبَّلْتُ صَبِيّاً لِي قَطُّ فَلَمَّا وَلَّى قَالَ رَسُولُ اﷲِ صلی الله علیه و آله هَذَا رَجُلٌ عِنْدِي أَنَّهُ مِنْ أَهْلِ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رَسُولُ اﷲِ صلی الله علیه و آله يُقَبِّلُ الْحَسَنَ وَ الْحسَيْنَ علیه السلام فَقَالَ الْأَقْرَعُ بْنُ حَابِسٍ إِنَّ لِي عَشَرَةً مِنَ الْوَلَدِ مَا قَبَّلْتُ أَحَداً مِنْهُمْ فَقَالَ رَسُولُ اﷲِ صلی الله علیه و آله مَنْ لَا يَرْحَمْ لَا يُرْحَمْ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اين موضوع در صفحات پاياني همين دفتر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در غالب پرسش و پاسخ از محضر حضرت آيت الله العظمي صانعي بيان شده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في فقه الإماميّة،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کذا الحدود لا ينفذها إلاّ الإمام أو من نَصَبه </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يجوز لأحدٍ إقامة الحدود إلا الإمام أو من نصبه الإمام لإقامتها، و لا يجوز لأحد سواهما إقامتها علي حالٍ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اثبات زنا و لواط به همان نهجي است كه در محل خود مسطور است كه بايد به اقرار چهار مرتبه يا چهار شاهد به تفصيلي كه مذكور است در كتب 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حقير در اجراي حدود در زمان غيبت امام علیه السلام توقف دارم، ثمره در بيان اين نيست؛ لكن حاكم شرع، يعني مجتهد عادل، شايد چنين شخصي را به مقتضاي حال تعزير مي‌تواند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بهتر اين است كه اين شخص توبه كند و صاحب حق هم اسقاط حق خود بكند و عفو كند تا آن كه حد هم ساقط شود؛ چون از جمله حقوق الناس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أمّا إقامة الحدود في غير زمان الحضور و زمان الغيبة فالمعروف عدم جوازها و ادّعي الإجماع في کلام جماعة علي عدم الجواز إلاّ للإمام علیه السلام أو المنصوب من قبله </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صفة الرجم، باب آخرمنه،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وَلَكُمْ فِي الْقِصَاصِ حَيَاةٌ يَاْ أُولِيْ الأَلْبَابِ؛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خردمندان، شما را در قصاص، حيات و زندگاني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از مباحث استدلالي تساوي حقوق مسلمان با غير مسلمان از ديدگاه آيت الله العظمي صانعي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و زندگي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برابري قصاص، مسلمان و غير مسلمان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برابري ديه، مسلمان با غير مسلمان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ارث غير مسلمان از مسلمان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مبحث کفر و کافر و حدود و ثغور و همچنين اقسام آن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الثقلين في شرح تحرير الوسيلة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الإرث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كتاب الحدود و التعزيرات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قضايي،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image" Target="media/image2.jpeg"/><Relationship Id="rId163" Type="http://schemas.openxmlformats.org/officeDocument/2006/relationships/image" Target="media/image2.jpeg"/><Relationship Id="rId164" Type="http://schemas.openxmlformats.org/officeDocument/2006/relationships/footer" Target="footer157.xml"/><Relationship Id="rId165" Type="http://schemas.openxmlformats.org/officeDocument/2006/relationships/footnotes" Target="footnotes.xml"/><Relationship Id="rId166" Type="http://schemas.openxmlformats.org/officeDocument/2006/relationships/numbering" Target="numbering.xml"/><Relationship Id="rId167" Type="http://schemas.openxmlformats.org/officeDocument/2006/relationships/fontTable" Target="fontTable.xml"/><Relationship Id="rId168" Type="http://schemas.openxmlformats.org/officeDocument/2006/relationships/settings" Target="settings.xml"/><Relationship Id="rId1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160</Pages>
  <Words>31297</Words>
  <Characters>120706</Characters>
  <CharactersWithSpaces>151170</CharactersWithSpaces>
  <Paragraphs>1122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2026-08-20T14:02:54Z</dcterms:created>
  <dc:creator>ghaemiyeh.com</dc:creator>
  <dc:description/>
  <dc:language>en-US</dc:language>
  <cp:lastModifiedBy/>
  <dcterms:modified xsi:type="dcterms:W3CDTF">2026-08-20T17:32:58Z</dcterms:modified>
  <cp:revision>1</cp:revision>
  <dc:subject/>
  <dc:title>حقوق زنان و کودکان از منظر فقیه اهل بیت عصمت و طهارت علیهم السلام حضرت آیه الله العظمی صانعی مدظله</dc:title>
</cp:coreProperties>
</file>

<file path=docProps/custom.xml><?xml version="1.0" encoding="utf-8"?>
<Properties xmlns="http://schemas.openxmlformats.org/officeDocument/2006/custom-properties" xmlns:vt="http://schemas.openxmlformats.org/officeDocument/2006/docPropsVTypes"/>
</file>