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18</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2539_2870459653">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482541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82543_2870459653">
            <w:r>
              <w:rPr>
                <w:webHidden/>
                <w:rStyle w:val="IndexLink"/>
                <w:rtl w:val="true"/>
              </w:rPr>
              <w:t>الأُسس المعتمدة للنّشر</w:t>
            </w:r>
            <w:r>
              <w:rPr>
                <w:rStyle w:val="IndexLink"/>
                <w:rtl w:val="true"/>
              </w:rPr>
              <w:tab/>
            </w:r>
            <w:r>
              <w:rPr>
                <w:rStyle w:val="IndexLink"/>
              </w:rPr>
              <w:t>13</w:t>
            </w:r>
          </w:hyperlink>
        </w:p>
        <w:p>
          <w:pPr>
            <w:pStyle w:val="Contents2"/>
            <w:tabs>
              <w:tab w:val="clear" w:pos="8743"/>
              <w:tab w:val="right" w:pos="9026" w:leader="dot"/>
            </w:tabs>
            <w:rPr/>
          </w:pPr>
          <w:hyperlink w:anchor="__RefHeading___Toc3482545_2870459653">
            <w:r>
              <w:rPr>
                <w:webHidden/>
                <w:rStyle w:val="IndexLink"/>
                <w:rtl w:val="true"/>
              </w:rPr>
              <w:t>المحتوی</w:t>
            </w:r>
            <w:r>
              <w:rPr>
                <w:rStyle w:val="IndexLink"/>
                <w:rtl w:val="true"/>
              </w:rPr>
              <w:tab/>
            </w:r>
            <w:r>
              <w:rPr>
                <w:rStyle w:val="IndexLink"/>
              </w:rPr>
              <w:t>14</w:t>
            </w:r>
          </w:hyperlink>
        </w:p>
        <w:p>
          <w:pPr>
            <w:pStyle w:val="Contents2"/>
            <w:tabs>
              <w:tab w:val="clear" w:pos="8743"/>
              <w:tab w:val="right" w:pos="9026" w:leader="dot"/>
            </w:tabs>
            <w:rPr/>
          </w:pPr>
          <w:hyperlink w:anchor="__RefHeading___Toc3482547_2870459653">
            <w:r>
              <w:rPr>
                <w:webHidden/>
                <w:rStyle w:val="IndexLink"/>
                <w:rtl w:val="true"/>
              </w:rPr>
              <w:t>کلمة العدد</w:t>
            </w:r>
            <w:r>
              <w:rPr>
                <w:rStyle w:val="IndexLink"/>
                <w:rtl w:val="true"/>
              </w:rPr>
              <w:tab/>
            </w:r>
            <w:r>
              <w:rPr>
                <w:rStyle w:val="IndexLink"/>
              </w:rPr>
              <w:t>16</w:t>
            </w:r>
          </w:hyperlink>
        </w:p>
        <w:p>
          <w:pPr>
            <w:pStyle w:val="Contents2"/>
            <w:tabs>
              <w:tab w:val="clear" w:pos="8743"/>
              <w:tab w:val="right" w:pos="9026" w:leader="dot"/>
            </w:tabs>
            <w:rPr/>
          </w:pPr>
          <w:hyperlink w:anchor="__RefHeading___Toc3482549_2870459653">
            <w:r>
              <w:rPr>
                <w:webHidden/>
                <w:rStyle w:val="IndexLink"/>
                <w:rtl w:val="true"/>
              </w:rPr>
              <w:t xml:space="preserve">التّطوّع بالصّلاة النّافلة في وقت الفريضة </w:t>
            </w:r>
            <w:r>
              <w:rPr>
                <w:rStyle w:val="IndexLink"/>
                <w:rtl w:val="true"/>
              </w:rPr>
              <w:t xml:space="preserve">- </w:t>
            </w:r>
            <w:r>
              <w:rPr>
                <w:rStyle w:val="IndexLink"/>
                <w:rtl w:val="true"/>
              </w:rPr>
              <w:t xml:space="preserve">الشّيخ مرتضى المشرفاويّ </w:t>
            </w:r>
            <w:r>
              <w:rPr>
                <w:rStyle w:val="IndexLink"/>
                <w:rtl w:val="true"/>
              </w:rPr>
              <w:t>(</w:t>
            </w:r>
            <w:r>
              <w:rPr>
                <w:rStyle w:val="IndexLink"/>
                <w:rtl w:val="true"/>
              </w:rPr>
              <w:t>دام عزه</w:t>
            </w:r>
            <w:r>
              <w:rPr>
                <w:rStyle w:val="IndexLink"/>
                <w:rtl w:val="true"/>
              </w:rPr>
              <w:t>)</w:t>
              <w:tab/>
            </w:r>
            <w:r>
              <w:rPr>
                <w:rStyle w:val="IndexLink"/>
              </w:rPr>
              <w:t>20</w:t>
            </w:r>
          </w:hyperlink>
        </w:p>
        <w:p>
          <w:pPr>
            <w:pStyle w:val="Contents3"/>
            <w:tabs>
              <w:tab w:val="clear" w:pos="8459"/>
              <w:tab w:val="right" w:pos="9026" w:leader="dot"/>
            </w:tabs>
            <w:rPr/>
          </w:pPr>
          <w:hyperlink w:anchor="__RefHeading___Toc3482551_2870459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482553_2870459653">
            <w:r>
              <w:rPr>
                <w:webHidden/>
                <w:rStyle w:val="IndexLink"/>
                <w:rtl w:val="true"/>
              </w:rPr>
              <w:t>تمهيد</w:t>
            </w:r>
            <w:r>
              <w:rPr>
                <w:rStyle w:val="IndexLink"/>
                <w:rtl w:val="true"/>
              </w:rPr>
              <w:tab/>
            </w:r>
            <w:r>
              <w:rPr>
                <w:rStyle w:val="IndexLink"/>
              </w:rPr>
              <w:t>25</w:t>
            </w:r>
          </w:hyperlink>
        </w:p>
        <w:p>
          <w:pPr>
            <w:pStyle w:val="Contents3"/>
            <w:tabs>
              <w:tab w:val="clear" w:pos="8459"/>
              <w:tab w:val="right" w:pos="9026" w:leader="dot"/>
            </w:tabs>
            <w:rPr/>
          </w:pPr>
          <w:hyperlink w:anchor="__RefHeading___Toc3482555_2870459653">
            <w:r>
              <w:rPr>
                <w:webHidden/>
                <w:rStyle w:val="IndexLink"/>
                <w:rtl w:val="true"/>
              </w:rPr>
              <w:t>الأقوال في المسألة</w:t>
            </w:r>
            <w:r>
              <w:rPr>
                <w:rStyle w:val="IndexLink"/>
                <w:rtl w:val="true"/>
              </w:rPr>
              <w:tab/>
            </w:r>
            <w:r>
              <w:rPr>
                <w:rStyle w:val="IndexLink"/>
              </w:rPr>
              <w:t>28</w:t>
            </w:r>
          </w:hyperlink>
        </w:p>
        <w:p>
          <w:pPr>
            <w:pStyle w:val="Contents4"/>
            <w:tabs>
              <w:tab w:val="clear" w:pos="8176"/>
              <w:tab w:val="right" w:pos="9026" w:leader="dot"/>
            </w:tabs>
            <w:rPr/>
          </w:pPr>
          <w:hyperlink w:anchor="__RefHeading___Toc3482557_2870459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482559_2870459653">
            <w:r>
              <w:rPr>
                <w:webHidden/>
                <w:rStyle w:val="IndexLink"/>
                <w:rtl w:val="true"/>
              </w:rPr>
              <w:t>القول الأوّل</w:t>
            </w:r>
            <w:r>
              <w:rPr>
                <w:rStyle w:val="IndexLink"/>
                <w:rtl w:val="true"/>
              </w:rPr>
              <w:tab/>
            </w:r>
            <w:r>
              <w:rPr>
                <w:rStyle w:val="IndexLink"/>
              </w:rPr>
              <w:t>28</w:t>
            </w:r>
          </w:hyperlink>
        </w:p>
        <w:p>
          <w:pPr>
            <w:pStyle w:val="Contents4"/>
            <w:tabs>
              <w:tab w:val="clear" w:pos="8176"/>
              <w:tab w:val="right" w:pos="9026" w:leader="dot"/>
            </w:tabs>
            <w:rPr/>
          </w:pPr>
          <w:hyperlink w:anchor="__RefHeading___Toc3482561_2870459653">
            <w:r>
              <w:rPr>
                <w:webHidden/>
                <w:rStyle w:val="IndexLink"/>
                <w:rtl w:val="true"/>
              </w:rPr>
              <w:t>القول الآخر</w:t>
            </w:r>
            <w:r>
              <w:rPr>
                <w:rStyle w:val="IndexLink"/>
                <w:rtl w:val="true"/>
              </w:rPr>
              <w:tab/>
            </w:r>
            <w:r>
              <w:rPr>
                <w:rStyle w:val="IndexLink"/>
              </w:rPr>
              <w:t>28</w:t>
            </w:r>
          </w:hyperlink>
        </w:p>
        <w:p>
          <w:pPr>
            <w:pStyle w:val="Contents3"/>
            <w:tabs>
              <w:tab w:val="clear" w:pos="8459"/>
              <w:tab w:val="right" w:pos="9026" w:leader="dot"/>
            </w:tabs>
            <w:rPr/>
          </w:pPr>
          <w:hyperlink w:anchor="__RefHeading___Toc3482563_2870459653">
            <w:r>
              <w:rPr>
                <w:webHidden/>
                <w:rStyle w:val="IndexLink"/>
                <w:rtl w:val="true"/>
              </w:rPr>
              <w:t>أدلّة القول الأوّل</w:t>
            </w:r>
            <w:r>
              <w:rPr>
                <w:rStyle w:val="IndexLink"/>
                <w:rtl w:val="true"/>
              </w:rPr>
              <w:tab/>
            </w:r>
            <w:r>
              <w:rPr>
                <w:rStyle w:val="IndexLink"/>
              </w:rPr>
              <w:t>29</w:t>
            </w:r>
          </w:hyperlink>
        </w:p>
        <w:p>
          <w:pPr>
            <w:pStyle w:val="Contents4"/>
            <w:tabs>
              <w:tab w:val="clear" w:pos="8176"/>
              <w:tab w:val="right" w:pos="9026" w:leader="dot"/>
            </w:tabs>
            <w:rPr/>
          </w:pPr>
          <w:hyperlink w:anchor="__RefHeading___Toc3482565_2870459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482567_2870459653">
            <w:r>
              <w:rPr>
                <w:webHidden/>
                <w:rStyle w:val="IndexLink"/>
                <w:rtl w:val="true"/>
              </w:rPr>
              <w:t>الوجه الأوّل</w:t>
            </w:r>
            <w:r>
              <w:rPr>
                <w:rStyle w:val="IndexLink"/>
                <w:rtl w:val="true"/>
              </w:rPr>
              <w:t xml:space="preserve">: </w:t>
            </w:r>
            <w:r>
              <w:rPr>
                <w:rStyle w:val="IndexLink"/>
                <w:rtl w:val="true"/>
              </w:rPr>
              <w:t>ما ورد بلسان الأمر بالبدء بالفريضة عند دخول وقتها</w:t>
            </w:r>
            <w:r>
              <w:rPr>
                <w:rStyle w:val="IndexLink"/>
                <w:rtl w:val="true"/>
              </w:rPr>
              <w:tab/>
            </w:r>
            <w:r>
              <w:rPr>
                <w:rStyle w:val="IndexLink"/>
              </w:rPr>
              <w:t>29</w:t>
            </w:r>
          </w:hyperlink>
        </w:p>
        <w:p>
          <w:pPr>
            <w:pStyle w:val="Contents4"/>
            <w:tabs>
              <w:tab w:val="clear" w:pos="8176"/>
              <w:tab w:val="right" w:pos="9026" w:leader="dot"/>
            </w:tabs>
            <w:rPr/>
          </w:pPr>
          <w:hyperlink w:anchor="__RefHeading___Toc3482569_2870459653">
            <w:r>
              <w:rPr>
                <w:webHidden/>
                <w:rStyle w:val="IndexLink"/>
                <w:rtl w:val="true"/>
              </w:rPr>
              <w:t>الوجه الثاني</w:t>
            </w:r>
            <w:r>
              <w:rPr>
                <w:rStyle w:val="IndexLink"/>
                <w:rtl w:val="true"/>
              </w:rPr>
              <w:t xml:space="preserve">: </w:t>
            </w:r>
            <w:r>
              <w:rPr>
                <w:rStyle w:val="IndexLink"/>
                <w:rtl w:val="true"/>
              </w:rPr>
              <w:t>ما دلّ على النهي عن التطوّع في وقت الفريضة</w:t>
            </w:r>
            <w:r>
              <w:rPr>
                <w:rStyle w:val="IndexLink"/>
                <w:rtl w:val="true"/>
              </w:rPr>
              <w:tab/>
            </w:r>
            <w:r>
              <w:rPr>
                <w:rStyle w:val="IndexLink"/>
              </w:rPr>
              <w:t>32</w:t>
            </w:r>
          </w:hyperlink>
        </w:p>
        <w:p>
          <w:pPr>
            <w:pStyle w:val="Contents4"/>
            <w:tabs>
              <w:tab w:val="clear" w:pos="8176"/>
              <w:tab w:val="right" w:pos="9026" w:leader="dot"/>
            </w:tabs>
            <w:rPr/>
          </w:pPr>
          <w:hyperlink w:anchor="__RefHeading___Toc3482571_2870459653">
            <w:r>
              <w:rPr>
                <w:webHidden/>
                <w:rStyle w:val="IndexLink"/>
                <w:rtl w:val="true"/>
              </w:rPr>
              <w:t>الوجه الثالث</w:t>
            </w:r>
            <w:r>
              <w:rPr>
                <w:rStyle w:val="IndexLink"/>
                <w:rtl w:val="true"/>
              </w:rPr>
              <w:t xml:space="preserve">: </w:t>
            </w:r>
            <w:r>
              <w:rPr>
                <w:rStyle w:val="IndexLink"/>
                <w:rtl w:val="true"/>
              </w:rPr>
              <w:t>ما ورد بلسان النهي عن التطوّع لمن عليه قضاء فريضة</w:t>
            </w:r>
            <w:r>
              <w:rPr>
                <w:rStyle w:val="IndexLink"/>
                <w:rtl w:val="true"/>
              </w:rPr>
              <w:tab/>
            </w:r>
            <w:r>
              <w:rPr>
                <w:rStyle w:val="IndexLink"/>
              </w:rPr>
              <w:t>43</w:t>
            </w:r>
          </w:hyperlink>
        </w:p>
        <w:p>
          <w:pPr>
            <w:pStyle w:val="Contents4"/>
            <w:tabs>
              <w:tab w:val="clear" w:pos="8176"/>
              <w:tab w:val="right" w:pos="9026" w:leader="dot"/>
            </w:tabs>
            <w:rPr/>
          </w:pPr>
          <w:hyperlink w:anchor="__RefHeading___Toc3482573_2870459653">
            <w:r>
              <w:rPr>
                <w:webHidden/>
                <w:rStyle w:val="IndexLink"/>
                <w:rtl w:val="true"/>
              </w:rPr>
              <w:t>الوجه الرابع</w:t>
            </w:r>
            <w:r>
              <w:rPr>
                <w:rStyle w:val="IndexLink"/>
                <w:rtl w:val="true"/>
              </w:rPr>
              <w:t xml:space="preserve">: </w:t>
            </w:r>
            <w:r>
              <w:rPr>
                <w:rStyle w:val="IndexLink"/>
                <w:rtl w:val="true"/>
              </w:rPr>
              <w:t>الإجماع الذي ادّعاه المحقّق بظاهر عبارته في المعتبر</w:t>
            </w:r>
            <w:r>
              <w:rPr>
                <w:rStyle w:val="IndexLink"/>
                <w:rtl w:val="true"/>
              </w:rPr>
              <w:tab/>
            </w:r>
            <w:r>
              <w:rPr>
                <w:rStyle w:val="IndexLink"/>
              </w:rPr>
              <w:t>44</w:t>
            </w:r>
          </w:hyperlink>
        </w:p>
        <w:p>
          <w:pPr>
            <w:pStyle w:val="Contents3"/>
            <w:tabs>
              <w:tab w:val="clear" w:pos="8459"/>
              <w:tab w:val="right" w:pos="9026" w:leader="dot"/>
            </w:tabs>
            <w:rPr/>
          </w:pPr>
          <w:hyperlink w:anchor="__RefHeading___Toc3482575_2870459653">
            <w:r>
              <w:rPr>
                <w:webHidden/>
                <w:rStyle w:val="IndexLink"/>
                <w:rtl w:val="true"/>
              </w:rPr>
              <w:t>أدلّة القول الثاني</w:t>
            </w:r>
            <w:r>
              <w:rPr>
                <w:rStyle w:val="IndexLink"/>
                <w:rtl w:val="true"/>
              </w:rPr>
              <w:tab/>
            </w:r>
            <w:r>
              <w:rPr>
                <w:rStyle w:val="IndexLink"/>
              </w:rPr>
              <w:t>45</w:t>
            </w:r>
          </w:hyperlink>
        </w:p>
        <w:p>
          <w:pPr>
            <w:pStyle w:val="Contents4"/>
            <w:tabs>
              <w:tab w:val="clear" w:pos="8176"/>
              <w:tab w:val="right" w:pos="9026" w:leader="dot"/>
            </w:tabs>
            <w:rPr/>
          </w:pPr>
          <w:hyperlink w:anchor="__RefHeading___Toc3482577_287045965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3482579_2870459653">
            <w:r>
              <w:rPr>
                <w:webHidden/>
                <w:rStyle w:val="IndexLink"/>
                <w:rtl w:val="true"/>
              </w:rPr>
              <w:t>الوجه الأوّل</w:t>
            </w:r>
            <w:r>
              <w:rPr>
                <w:rStyle w:val="IndexLink"/>
                <w:rtl w:val="true"/>
              </w:rPr>
              <w:t xml:space="preserve">: </w:t>
            </w:r>
            <w:r>
              <w:rPr>
                <w:rStyle w:val="IndexLink"/>
                <w:rtl w:val="true"/>
              </w:rPr>
              <w:t>ما دلّ على جواز التطوّع وقت الفريضة ما لم يخف فوات وقت فضيلتها</w:t>
            </w:r>
            <w:r>
              <w:rPr>
                <w:rStyle w:val="IndexLink"/>
                <w:rtl w:val="true"/>
              </w:rPr>
              <w:tab/>
            </w:r>
            <w:r>
              <w:rPr>
                <w:rStyle w:val="IndexLink"/>
              </w:rPr>
              <w:t>45</w:t>
            </w:r>
          </w:hyperlink>
        </w:p>
        <w:p>
          <w:pPr>
            <w:pStyle w:val="Contents4"/>
            <w:tabs>
              <w:tab w:val="clear" w:pos="8176"/>
              <w:tab w:val="right" w:pos="9026" w:leader="dot"/>
            </w:tabs>
            <w:rPr/>
          </w:pPr>
          <w:hyperlink w:anchor="__RefHeading___Toc3482581_2870459653">
            <w:r>
              <w:rPr>
                <w:webHidden/>
                <w:rStyle w:val="IndexLink"/>
                <w:rtl w:val="true"/>
              </w:rPr>
              <w:t>الوجه الثاني</w:t>
            </w:r>
            <w:r>
              <w:rPr>
                <w:rStyle w:val="IndexLink"/>
                <w:rtl w:val="true"/>
              </w:rPr>
              <w:t xml:space="preserve">: </w:t>
            </w:r>
            <w:r>
              <w:rPr>
                <w:rStyle w:val="IndexLink"/>
                <w:rtl w:val="true"/>
              </w:rPr>
              <w:t>ما دلّ على جواز التطوّع في وقت الفريضة غير أنّ الابتداء بالفريضة أفضل</w:t>
            </w:r>
            <w:r>
              <w:rPr>
                <w:rStyle w:val="IndexLink"/>
                <w:rtl w:val="true"/>
              </w:rPr>
              <w:tab/>
            </w:r>
            <w:r>
              <w:rPr>
                <w:rStyle w:val="IndexLink"/>
              </w:rPr>
              <w:t>47</w:t>
            </w:r>
          </w:hyperlink>
        </w:p>
        <w:p>
          <w:pPr>
            <w:pStyle w:val="Contents4"/>
            <w:tabs>
              <w:tab w:val="clear" w:pos="8176"/>
              <w:tab w:val="right" w:pos="9026" w:leader="dot"/>
            </w:tabs>
            <w:rPr/>
          </w:pPr>
          <w:hyperlink w:anchor="__RefHeading___Toc3482583_2870459653">
            <w:r>
              <w:rPr>
                <w:webHidden/>
                <w:rStyle w:val="IndexLink"/>
                <w:rtl w:val="true"/>
              </w:rPr>
              <w:t>الوجه الثالث</w:t>
            </w:r>
            <w:r>
              <w:rPr>
                <w:rStyle w:val="IndexLink"/>
                <w:rtl w:val="true"/>
              </w:rPr>
              <w:t xml:space="preserve">: </w:t>
            </w:r>
            <w:r>
              <w:rPr>
                <w:rStyle w:val="IndexLink"/>
                <w:rtl w:val="true"/>
              </w:rPr>
              <w:t>ما ورد من الترخيص في التنفّل بعد دخول وقت الفريضة لمن ينتظر الجماعة</w:t>
            </w:r>
            <w:r>
              <w:rPr>
                <w:rStyle w:val="IndexLink"/>
                <w:rtl w:val="true"/>
              </w:rPr>
              <w:tab/>
            </w:r>
            <w:r>
              <w:rPr>
                <w:rStyle w:val="IndexLink"/>
              </w:rPr>
              <w:t>49</w:t>
            </w:r>
          </w:hyperlink>
        </w:p>
        <w:p>
          <w:pPr>
            <w:pStyle w:val="Contents4"/>
            <w:tabs>
              <w:tab w:val="clear" w:pos="8176"/>
              <w:tab w:val="right" w:pos="9026" w:leader="dot"/>
            </w:tabs>
            <w:rPr/>
          </w:pPr>
          <w:hyperlink w:anchor="__RefHeading___Toc3482585_2870459653">
            <w:r>
              <w:rPr>
                <w:webHidden/>
                <w:rStyle w:val="IndexLink"/>
                <w:rtl w:val="true"/>
              </w:rPr>
              <w:t>الوجه الرابع</w:t>
            </w:r>
            <w:r>
              <w:rPr>
                <w:rStyle w:val="IndexLink"/>
                <w:rtl w:val="true"/>
              </w:rPr>
              <w:t xml:space="preserve">: </w:t>
            </w:r>
            <w:r>
              <w:rPr>
                <w:rStyle w:val="IndexLink"/>
                <w:rtl w:val="true"/>
              </w:rPr>
              <w:t>ما ورد من تفسير الوقت الممنوع فيه التطوّع بالوقت الذي يأخذ المقيم فيه في الإقامة</w:t>
            </w:r>
            <w:r>
              <w:rPr>
                <w:rStyle w:val="IndexLink"/>
                <w:rtl w:val="true"/>
              </w:rPr>
              <w:tab/>
            </w:r>
            <w:r>
              <w:rPr>
                <w:rStyle w:val="IndexLink"/>
              </w:rPr>
              <w:t>49</w:t>
            </w:r>
          </w:hyperlink>
        </w:p>
        <w:p>
          <w:pPr>
            <w:pStyle w:val="Contents4"/>
            <w:tabs>
              <w:tab w:val="clear" w:pos="8176"/>
              <w:tab w:val="right" w:pos="9026" w:leader="dot"/>
            </w:tabs>
            <w:rPr/>
          </w:pPr>
          <w:hyperlink w:anchor="__RefHeading___Toc3482587_2870459653">
            <w:r>
              <w:rPr>
                <w:webHidden/>
                <w:rStyle w:val="IndexLink"/>
                <w:rtl w:val="true"/>
              </w:rPr>
              <w:t>الوجه الخامس</w:t>
            </w:r>
            <w:r>
              <w:rPr>
                <w:rStyle w:val="IndexLink"/>
                <w:rtl w:val="true"/>
              </w:rPr>
              <w:tab/>
            </w:r>
            <w:r>
              <w:rPr>
                <w:rStyle w:val="IndexLink"/>
              </w:rPr>
              <w:t>50</w:t>
            </w:r>
          </w:hyperlink>
        </w:p>
        <w:p>
          <w:pPr>
            <w:pStyle w:val="Contents4"/>
            <w:tabs>
              <w:tab w:val="clear" w:pos="8176"/>
              <w:tab w:val="right" w:pos="9026" w:leader="dot"/>
            </w:tabs>
            <w:rPr/>
          </w:pPr>
          <w:hyperlink w:anchor="__RefHeading___Toc3482589_2870459653">
            <w:r>
              <w:rPr>
                <w:webHidden/>
                <w:rStyle w:val="IndexLink"/>
                <w:rtl w:val="true"/>
              </w:rPr>
              <w:t>الوجه السادس</w:t>
            </w:r>
            <w:r>
              <w:rPr>
                <w:rStyle w:val="IndexLink"/>
                <w:rtl w:val="true"/>
              </w:rPr>
              <w:tab/>
            </w:r>
            <w:r>
              <w:rPr>
                <w:rStyle w:val="IndexLink"/>
              </w:rPr>
              <w:t>51</w:t>
            </w:r>
          </w:hyperlink>
        </w:p>
        <w:p>
          <w:pPr>
            <w:pStyle w:val="Contents3"/>
            <w:tabs>
              <w:tab w:val="clear" w:pos="8459"/>
              <w:tab w:val="right" w:pos="9026" w:leader="dot"/>
            </w:tabs>
            <w:rPr/>
          </w:pPr>
          <w:hyperlink w:anchor="__RefHeading___Toc3482591_2870459653">
            <w:r>
              <w:rPr>
                <w:webHidden/>
                <w:rStyle w:val="IndexLink"/>
                <w:rtl w:val="true"/>
              </w:rPr>
              <w:t>طرق الجمع بين الروايات</w:t>
            </w:r>
            <w:r>
              <w:rPr>
                <w:rStyle w:val="IndexLink"/>
                <w:rtl w:val="true"/>
              </w:rPr>
              <w:tab/>
            </w:r>
            <w:r>
              <w:rPr>
                <w:rStyle w:val="IndexLink"/>
              </w:rPr>
              <w:t>53</w:t>
            </w:r>
          </w:hyperlink>
        </w:p>
        <w:p>
          <w:pPr>
            <w:pStyle w:val="Contents4"/>
            <w:tabs>
              <w:tab w:val="clear" w:pos="8176"/>
              <w:tab w:val="right" w:pos="9026" w:leader="dot"/>
            </w:tabs>
            <w:rPr/>
          </w:pPr>
          <w:hyperlink w:anchor="__RefHeading___Toc3482593_2870459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482595_2870459653">
            <w:r>
              <w:rPr>
                <w:webHidden/>
                <w:rStyle w:val="IndexLink"/>
                <w:rtl w:val="true"/>
              </w:rPr>
              <w:t>الفرع الأوّل</w:t>
            </w:r>
            <w:r>
              <w:rPr>
                <w:rStyle w:val="IndexLink"/>
                <w:rtl w:val="true"/>
              </w:rPr>
              <w:t xml:space="preserve">: </w:t>
            </w:r>
            <w:r>
              <w:rPr>
                <w:rStyle w:val="IndexLink"/>
                <w:rtl w:val="true"/>
              </w:rPr>
              <w:t>في صحّة نذر النافلة وقت الفريضة</w:t>
            </w:r>
            <w:r>
              <w:rPr>
                <w:rStyle w:val="IndexLink"/>
                <w:rtl w:val="true"/>
              </w:rPr>
              <w:tab/>
            </w:r>
            <w:r>
              <w:rPr>
                <w:rStyle w:val="IndexLink"/>
              </w:rPr>
              <w:t>58</w:t>
            </w:r>
          </w:hyperlink>
        </w:p>
        <w:p>
          <w:pPr>
            <w:pStyle w:val="Contents5"/>
            <w:tabs>
              <w:tab w:val="clear" w:pos="7892"/>
              <w:tab w:val="right" w:pos="9026" w:leader="dot"/>
            </w:tabs>
            <w:rPr/>
          </w:pPr>
          <w:hyperlink w:anchor="__RefHeading___Toc3482597_2870459653">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482599_2870459653">
            <w:r>
              <w:rPr>
                <w:webHidden/>
                <w:rStyle w:val="IndexLink"/>
                <w:rtl w:val="true"/>
              </w:rPr>
              <w:t>الصورة الأولى</w:t>
            </w:r>
            <w:r>
              <w:rPr>
                <w:rStyle w:val="IndexLink"/>
                <w:rtl w:val="true"/>
              </w:rPr>
              <w:t xml:space="preserve">: </w:t>
            </w:r>
            <w:r>
              <w:rPr>
                <w:rStyle w:val="IndexLink"/>
                <w:rtl w:val="true"/>
              </w:rPr>
              <w:t>فيما إذا كان متعلّق النذر مطلقاً</w:t>
            </w:r>
            <w:r>
              <w:rPr>
                <w:rStyle w:val="IndexLink"/>
                <w:rtl w:val="true"/>
              </w:rPr>
              <w:tab/>
            </w:r>
            <w:r>
              <w:rPr>
                <w:rStyle w:val="IndexLink"/>
              </w:rPr>
              <w:t>59</w:t>
            </w:r>
          </w:hyperlink>
        </w:p>
        <w:p>
          <w:pPr>
            <w:pStyle w:val="Contents5"/>
            <w:tabs>
              <w:tab w:val="clear" w:pos="7892"/>
              <w:tab w:val="right" w:pos="9026" w:leader="dot"/>
            </w:tabs>
            <w:rPr/>
          </w:pPr>
          <w:hyperlink w:anchor="__RefHeading___Toc3482601_2870459653">
            <w:r>
              <w:rPr>
                <w:webHidden/>
                <w:rStyle w:val="IndexLink"/>
                <w:rtl w:val="true"/>
              </w:rPr>
              <w:t>الصورة الأخرى</w:t>
            </w:r>
            <w:r>
              <w:rPr>
                <w:rStyle w:val="IndexLink"/>
                <w:rtl w:val="true"/>
              </w:rPr>
              <w:t xml:space="preserve">: </w:t>
            </w:r>
            <w:r>
              <w:rPr>
                <w:rStyle w:val="IndexLink"/>
                <w:rtl w:val="true"/>
              </w:rPr>
              <w:t>فيما إذا كان متعلّق النذر مقيّداً بوقت الفريضة</w:t>
            </w:r>
            <w:r>
              <w:rPr>
                <w:rStyle w:val="IndexLink"/>
                <w:rtl w:val="true"/>
              </w:rPr>
              <w:tab/>
            </w:r>
            <w:r>
              <w:rPr>
                <w:rStyle w:val="IndexLink"/>
              </w:rPr>
              <w:t>60</w:t>
            </w:r>
          </w:hyperlink>
        </w:p>
        <w:p>
          <w:pPr>
            <w:pStyle w:val="Contents6"/>
            <w:tabs>
              <w:tab w:val="clear" w:pos="7609"/>
              <w:tab w:val="right" w:pos="9026" w:leader="dot"/>
            </w:tabs>
            <w:rPr/>
          </w:pPr>
          <w:hyperlink w:anchor="__RefHeading___Toc3482603_2870459653">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482605_2870459653">
            <w:r>
              <w:rPr>
                <w:webHidden/>
                <w:rStyle w:val="IndexLink"/>
                <w:rtl w:val="true"/>
              </w:rPr>
              <w:t>النحو الأوّل</w:t>
            </w:r>
            <w:r>
              <w:rPr>
                <w:rStyle w:val="IndexLink"/>
                <w:rtl w:val="true"/>
              </w:rPr>
              <w:tab/>
            </w:r>
            <w:r>
              <w:rPr>
                <w:rStyle w:val="IndexLink"/>
              </w:rPr>
              <w:t>60</w:t>
            </w:r>
          </w:hyperlink>
        </w:p>
        <w:p>
          <w:pPr>
            <w:pStyle w:val="Contents6"/>
            <w:tabs>
              <w:tab w:val="clear" w:pos="7609"/>
              <w:tab w:val="right" w:pos="9026" w:leader="dot"/>
            </w:tabs>
            <w:rPr/>
          </w:pPr>
          <w:hyperlink w:anchor="__RefHeading___Toc3482607_2870459653">
            <w:r>
              <w:rPr>
                <w:webHidden/>
                <w:rStyle w:val="IndexLink"/>
                <w:rtl w:val="true"/>
              </w:rPr>
              <w:t>النحو الآخر</w:t>
            </w:r>
            <w:r>
              <w:rPr>
                <w:rStyle w:val="IndexLink"/>
                <w:rtl w:val="true"/>
              </w:rPr>
              <w:tab/>
            </w:r>
            <w:r>
              <w:rPr>
                <w:rStyle w:val="IndexLink"/>
              </w:rPr>
              <w:t>61</w:t>
            </w:r>
          </w:hyperlink>
        </w:p>
        <w:p>
          <w:pPr>
            <w:pStyle w:val="Contents4"/>
            <w:tabs>
              <w:tab w:val="clear" w:pos="8176"/>
              <w:tab w:val="right" w:pos="9026" w:leader="dot"/>
            </w:tabs>
            <w:rPr/>
          </w:pPr>
          <w:hyperlink w:anchor="__RefHeading___Toc3482609_2870459653">
            <w:r>
              <w:rPr>
                <w:webHidden/>
                <w:rStyle w:val="IndexLink"/>
                <w:rtl w:val="true"/>
              </w:rPr>
              <w:t>الفرع الآخر</w:t>
            </w:r>
            <w:r>
              <w:rPr>
                <w:rStyle w:val="IndexLink"/>
                <w:rtl w:val="true"/>
              </w:rPr>
              <w:t xml:space="preserve">: </w:t>
            </w:r>
            <w:r>
              <w:rPr>
                <w:rStyle w:val="IndexLink"/>
                <w:rtl w:val="true"/>
              </w:rPr>
              <w:t>في صحّة الإجارة على النافلة في وقت الفريضة</w:t>
            </w:r>
            <w:r>
              <w:rPr>
                <w:rStyle w:val="IndexLink"/>
                <w:rtl w:val="true"/>
              </w:rPr>
              <w:tab/>
            </w:r>
            <w:r>
              <w:rPr>
                <w:rStyle w:val="IndexLink"/>
              </w:rPr>
              <w:t>64</w:t>
            </w:r>
          </w:hyperlink>
        </w:p>
        <w:p>
          <w:pPr>
            <w:pStyle w:val="Contents3"/>
            <w:tabs>
              <w:tab w:val="clear" w:pos="8459"/>
              <w:tab w:val="right" w:pos="9026" w:leader="dot"/>
            </w:tabs>
            <w:rPr/>
          </w:pPr>
          <w:hyperlink w:anchor="__RefHeading___Toc3482611_2870459653">
            <w:r>
              <w:rPr>
                <w:webHidden/>
                <w:rStyle w:val="IndexLink"/>
                <w:rtl w:val="true"/>
              </w:rPr>
              <w:t>تذنيب</w:t>
            </w:r>
            <w:r>
              <w:rPr>
                <w:rStyle w:val="IndexLink"/>
                <w:rtl w:val="true"/>
              </w:rPr>
              <w:t xml:space="preserve">: </w:t>
            </w:r>
            <w:r>
              <w:rPr>
                <w:rStyle w:val="IndexLink"/>
                <w:rtl w:val="true"/>
              </w:rPr>
              <w:t>حكم التطوّع بالنافلة لمن عليه قضاء صلاة الفريضة</w:t>
            </w:r>
            <w:r>
              <w:rPr>
                <w:rStyle w:val="IndexLink"/>
                <w:rtl w:val="true"/>
              </w:rPr>
              <w:tab/>
            </w:r>
            <w:r>
              <w:rPr>
                <w:rStyle w:val="IndexLink"/>
              </w:rPr>
              <w:t>66</w:t>
            </w:r>
          </w:hyperlink>
        </w:p>
        <w:p>
          <w:pPr>
            <w:pStyle w:val="Contents3"/>
            <w:tabs>
              <w:tab w:val="clear" w:pos="8459"/>
              <w:tab w:val="right" w:pos="9026" w:leader="dot"/>
            </w:tabs>
            <w:rPr/>
          </w:pPr>
          <w:hyperlink w:anchor="__RefHeading___Toc3482613_2870459653">
            <w:r>
              <w:rPr>
                <w:webHidden/>
                <w:rStyle w:val="IndexLink"/>
                <w:rtl w:val="true"/>
              </w:rPr>
              <w:t>مصادر البحث</w:t>
            </w:r>
            <w:r>
              <w:rPr>
                <w:rStyle w:val="IndexLink"/>
                <w:rtl w:val="true"/>
              </w:rPr>
              <w:tab/>
            </w:r>
            <w:r>
              <w:rPr>
                <w:rStyle w:val="IndexLink"/>
              </w:rPr>
              <w:t>73</w:t>
            </w:r>
          </w:hyperlink>
        </w:p>
        <w:p>
          <w:pPr>
            <w:pStyle w:val="Contents2"/>
            <w:tabs>
              <w:tab w:val="clear" w:pos="8743"/>
              <w:tab w:val="right" w:pos="9026" w:leader="dot"/>
            </w:tabs>
            <w:rPr/>
          </w:pPr>
          <w:hyperlink w:anchor="__RefHeading___Toc3482615_2870459653">
            <w:r>
              <w:rPr>
                <w:webHidden/>
                <w:rStyle w:val="IndexLink"/>
                <w:rtl w:val="true"/>
              </w:rPr>
              <w:t xml:space="preserve">سنّ البلوغ في الأنثى </w:t>
            </w:r>
            <w:r>
              <w:rPr>
                <w:rStyle w:val="IndexLink"/>
                <w:rtl w:val="true"/>
              </w:rPr>
              <w:t>(</w:t>
            </w:r>
            <w:r>
              <w:rPr>
                <w:rStyle w:val="IndexLink"/>
                <w:rtl w:val="true"/>
              </w:rPr>
              <w:t>الحلقة الثانیة</w:t>
            </w:r>
            <w:r>
              <w:rPr>
                <w:rStyle w:val="IndexLink"/>
                <w:rtl w:val="true"/>
              </w:rPr>
              <w:t xml:space="preserve">) - </w:t>
            </w:r>
            <w:r>
              <w:rPr>
                <w:rStyle w:val="IndexLink"/>
                <w:rtl w:val="true"/>
              </w:rPr>
              <w:t xml:space="preserve">الشّيخ وسام عبد الرّسول </w:t>
            </w:r>
            <w:r>
              <w:rPr>
                <w:rStyle w:val="IndexLink"/>
                <w:rtl w:val="true"/>
              </w:rPr>
              <w:t>(</w:t>
            </w:r>
            <w:r>
              <w:rPr>
                <w:rStyle w:val="IndexLink"/>
                <w:rtl w:val="true"/>
              </w:rPr>
              <w:t>دام عزه</w:t>
            </w:r>
            <w:r>
              <w:rPr>
                <w:rStyle w:val="IndexLink"/>
                <w:rtl w:val="true"/>
              </w:rPr>
              <w:t>)</w:t>
              <w:tab/>
            </w:r>
            <w:r>
              <w:rPr>
                <w:rStyle w:val="IndexLink"/>
              </w:rPr>
              <w:t>78</w:t>
            </w:r>
          </w:hyperlink>
        </w:p>
        <w:p>
          <w:pPr>
            <w:pStyle w:val="Contents3"/>
            <w:tabs>
              <w:tab w:val="clear" w:pos="8459"/>
              <w:tab w:val="right" w:pos="9026" w:leader="dot"/>
            </w:tabs>
            <w:rPr/>
          </w:pPr>
          <w:hyperlink w:anchor="__RefHeading___Toc3482617_2870459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3482619_2870459653">
            <w:r>
              <w:rPr>
                <w:webHidden/>
                <w:rStyle w:val="IndexLink"/>
                <w:rtl w:val="true"/>
              </w:rPr>
              <w:t>كيفيّة الجمع بين الروايات</w:t>
            </w:r>
            <w:r>
              <w:rPr>
                <w:rStyle w:val="IndexLink"/>
                <w:rtl w:val="true"/>
              </w:rPr>
              <w:tab/>
            </w:r>
            <w:r>
              <w:rPr>
                <w:rStyle w:val="IndexLink"/>
              </w:rPr>
              <w:t>80</w:t>
            </w:r>
          </w:hyperlink>
        </w:p>
        <w:p>
          <w:pPr>
            <w:pStyle w:val="Contents4"/>
            <w:tabs>
              <w:tab w:val="clear" w:pos="8176"/>
              <w:tab w:val="right" w:pos="9026" w:leader="dot"/>
            </w:tabs>
            <w:rPr/>
          </w:pPr>
          <w:hyperlink w:anchor="__RefHeading___Toc3482621_2870459653">
            <w:r>
              <w:rPr>
                <w:webHidden/>
                <w:rStyle w:val="IndexLink"/>
                <w:rtl w:val="true"/>
              </w:rPr>
              <w:t>الجمع الأوّل</w:t>
            </w:r>
            <w:r>
              <w:rPr>
                <w:rStyle w:val="IndexLink"/>
                <w:rtl w:val="true"/>
              </w:rPr>
              <w:t xml:space="preserve">: </w:t>
            </w:r>
            <w:r>
              <w:rPr>
                <w:rStyle w:val="IndexLink"/>
                <w:rtl w:val="true"/>
              </w:rPr>
              <w:t>اختلاف مراتب البلوغ حسب اختلاف نوع التكليف</w:t>
            </w:r>
            <w:r>
              <w:rPr>
                <w:rStyle w:val="IndexLink"/>
                <w:rtl w:val="true"/>
              </w:rPr>
              <w:tab/>
            </w:r>
            <w:r>
              <w:rPr>
                <w:rStyle w:val="IndexLink"/>
              </w:rPr>
              <w:t>80</w:t>
            </w:r>
          </w:hyperlink>
        </w:p>
        <w:p>
          <w:pPr>
            <w:pStyle w:val="Contents5"/>
            <w:tabs>
              <w:tab w:val="clear" w:pos="7892"/>
              <w:tab w:val="right" w:pos="9026" w:leader="dot"/>
            </w:tabs>
            <w:rPr/>
          </w:pPr>
          <w:hyperlink w:anchor="__RefHeading___Toc3482623_2870459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482625_2870459653">
            <w:r>
              <w:rPr>
                <w:webHidden/>
                <w:rStyle w:val="IndexLink"/>
                <w:rtl w:val="true"/>
              </w:rPr>
              <w:t>المرحلة الأولى</w:t>
            </w:r>
            <w:r>
              <w:rPr>
                <w:rStyle w:val="IndexLink"/>
                <w:rtl w:val="true"/>
              </w:rPr>
              <w:tab/>
            </w:r>
            <w:r>
              <w:rPr>
                <w:rStyle w:val="IndexLink"/>
              </w:rPr>
              <w:t>81</w:t>
            </w:r>
          </w:hyperlink>
        </w:p>
        <w:p>
          <w:pPr>
            <w:pStyle w:val="Contents5"/>
            <w:tabs>
              <w:tab w:val="clear" w:pos="7892"/>
              <w:tab w:val="right" w:pos="9026" w:leader="dot"/>
            </w:tabs>
            <w:rPr/>
          </w:pPr>
          <w:hyperlink w:anchor="__RefHeading___Toc3482627_2870459653">
            <w:r>
              <w:rPr>
                <w:webHidden/>
                <w:rStyle w:val="IndexLink"/>
                <w:rtl w:val="true"/>
              </w:rPr>
              <w:t>المرحلة الثانية</w:t>
            </w:r>
            <w:r>
              <w:rPr>
                <w:rStyle w:val="IndexLink"/>
                <w:rtl w:val="true"/>
              </w:rPr>
              <w:tab/>
            </w:r>
            <w:r>
              <w:rPr>
                <w:rStyle w:val="IndexLink"/>
              </w:rPr>
              <w:t>81</w:t>
            </w:r>
          </w:hyperlink>
        </w:p>
        <w:p>
          <w:pPr>
            <w:pStyle w:val="Contents5"/>
            <w:tabs>
              <w:tab w:val="clear" w:pos="7892"/>
              <w:tab w:val="right" w:pos="9026" w:leader="dot"/>
            </w:tabs>
            <w:rPr/>
          </w:pPr>
          <w:hyperlink w:anchor="__RefHeading___Toc3482629_2870459653">
            <w:r>
              <w:rPr>
                <w:webHidden/>
                <w:rStyle w:val="IndexLink"/>
                <w:rtl w:val="true"/>
              </w:rPr>
              <w:t>المرحلة الثالثة</w:t>
            </w:r>
            <w:r>
              <w:rPr>
                <w:rStyle w:val="IndexLink"/>
                <w:rtl w:val="true"/>
              </w:rPr>
              <w:tab/>
            </w:r>
            <w:r>
              <w:rPr>
                <w:rStyle w:val="IndexLink"/>
              </w:rPr>
              <w:t>81</w:t>
            </w:r>
          </w:hyperlink>
        </w:p>
        <w:p>
          <w:pPr>
            <w:pStyle w:val="Contents4"/>
            <w:tabs>
              <w:tab w:val="clear" w:pos="8176"/>
              <w:tab w:val="right" w:pos="9026" w:leader="dot"/>
            </w:tabs>
            <w:rPr/>
          </w:pPr>
          <w:hyperlink w:anchor="__RefHeading___Toc3482631_2870459653">
            <w:r>
              <w:rPr>
                <w:webHidden/>
                <w:rStyle w:val="IndexLink"/>
                <w:rtl w:val="true"/>
              </w:rPr>
              <w:t>الجمع الثاني</w:t>
            </w:r>
            <w:r>
              <w:rPr>
                <w:rStyle w:val="IndexLink"/>
                <w:rtl w:val="true"/>
              </w:rPr>
              <w:t xml:space="preserve">: </w:t>
            </w:r>
            <w:r>
              <w:rPr>
                <w:rStyle w:val="IndexLink"/>
                <w:rtl w:val="true"/>
              </w:rPr>
              <w:t>هو أنّ الأنثى إذا بلغت ثلاث عشرة سنة فقد بلغت</w:t>
            </w:r>
            <w:r>
              <w:rPr>
                <w:rStyle w:val="IndexLink"/>
                <w:rtl w:val="true"/>
              </w:rPr>
              <w:tab/>
            </w:r>
            <w:r>
              <w:rPr>
                <w:rStyle w:val="IndexLink"/>
              </w:rPr>
              <w:t>83</w:t>
            </w:r>
          </w:hyperlink>
        </w:p>
        <w:p>
          <w:pPr>
            <w:pStyle w:val="Contents5"/>
            <w:tabs>
              <w:tab w:val="clear" w:pos="7892"/>
              <w:tab w:val="right" w:pos="9026" w:leader="dot"/>
            </w:tabs>
            <w:rPr/>
          </w:pPr>
          <w:hyperlink w:anchor="__RefHeading___Toc3482633_2870459653">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482635_2870459653">
            <w:r>
              <w:rPr>
                <w:webHidden/>
                <w:rStyle w:val="IndexLink"/>
                <w:rtl w:val="true"/>
              </w:rPr>
              <w:t>النقطة الأولى</w:t>
            </w:r>
            <w:r>
              <w:rPr>
                <w:rStyle w:val="IndexLink"/>
                <w:rtl w:val="true"/>
              </w:rPr>
              <w:tab/>
            </w:r>
            <w:r>
              <w:rPr>
                <w:rStyle w:val="IndexLink"/>
              </w:rPr>
              <w:t>83</w:t>
            </w:r>
          </w:hyperlink>
        </w:p>
        <w:p>
          <w:pPr>
            <w:pStyle w:val="Contents5"/>
            <w:tabs>
              <w:tab w:val="clear" w:pos="7892"/>
              <w:tab w:val="right" w:pos="9026" w:leader="dot"/>
            </w:tabs>
            <w:rPr/>
          </w:pPr>
          <w:hyperlink w:anchor="__RefHeading___Toc3482637_2870459653">
            <w:r>
              <w:rPr>
                <w:webHidden/>
                <w:rStyle w:val="IndexLink"/>
                <w:rtl w:val="true"/>
              </w:rPr>
              <w:t>النقطة الأخرى</w:t>
            </w:r>
            <w:r>
              <w:rPr>
                <w:rStyle w:val="IndexLink"/>
                <w:rtl w:val="true"/>
              </w:rPr>
              <w:tab/>
            </w:r>
            <w:r>
              <w:rPr>
                <w:rStyle w:val="IndexLink"/>
              </w:rPr>
              <w:t>84</w:t>
            </w:r>
          </w:hyperlink>
        </w:p>
        <w:p>
          <w:pPr>
            <w:pStyle w:val="Contents6"/>
            <w:tabs>
              <w:tab w:val="clear" w:pos="7609"/>
              <w:tab w:val="right" w:pos="9026" w:leader="dot"/>
            </w:tabs>
            <w:rPr/>
          </w:pPr>
          <w:hyperlink w:anchor="__RefHeading___Toc3482639_2870459653">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3482641_2870459653">
            <w:r>
              <w:rPr>
                <w:webHidden/>
                <w:rStyle w:val="IndexLink"/>
                <w:rtl w:val="true"/>
              </w:rPr>
              <w:t>المناقشة الأولى</w:t>
            </w:r>
            <w:r>
              <w:rPr>
                <w:rStyle w:val="IndexLink"/>
                <w:rtl w:val="true"/>
              </w:rPr>
              <w:tab/>
            </w:r>
            <w:r>
              <w:rPr>
                <w:rStyle w:val="IndexLink"/>
              </w:rPr>
              <w:t>84</w:t>
            </w:r>
          </w:hyperlink>
        </w:p>
        <w:p>
          <w:pPr>
            <w:pStyle w:val="Contents6"/>
            <w:tabs>
              <w:tab w:val="clear" w:pos="7609"/>
              <w:tab w:val="right" w:pos="9026" w:leader="dot"/>
            </w:tabs>
            <w:rPr/>
          </w:pPr>
          <w:hyperlink w:anchor="__RefHeading___Toc3482643_2870459653">
            <w:r>
              <w:rPr>
                <w:webHidden/>
                <w:rStyle w:val="IndexLink"/>
                <w:rtl w:val="true"/>
              </w:rPr>
              <w:t>المناقشة الأخرى</w:t>
            </w:r>
            <w:r>
              <w:rPr>
                <w:rStyle w:val="IndexLink"/>
                <w:rtl w:val="true"/>
              </w:rPr>
              <w:tab/>
            </w:r>
            <w:r>
              <w:rPr>
                <w:rStyle w:val="IndexLink"/>
              </w:rPr>
              <w:t>84</w:t>
            </w:r>
          </w:hyperlink>
        </w:p>
        <w:p>
          <w:pPr>
            <w:pStyle w:val="Contents4"/>
            <w:tabs>
              <w:tab w:val="clear" w:pos="8176"/>
              <w:tab w:val="right" w:pos="9026" w:leader="dot"/>
            </w:tabs>
            <w:rPr/>
          </w:pPr>
          <w:hyperlink w:anchor="__RefHeading___Toc3482645_2870459653">
            <w:r>
              <w:rPr>
                <w:webHidden/>
                <w:rStyle w:val="IndexLink"/>
                <w:rtl w:val="true"/>
              </w:rPr>
              <w:t>الجمع الثالث</w:t>
            </w:r>
            <w:r>
              <w:rPr>
                <w:rStyle w:val="IndexLink"/>
                <w:rtl w:val="true"/>
              </w:rPr>
              <w:t xml:space="preserve">: </w:t>
            </w:r>
            <w:r>
              <w:rPr>
                <w:rStyle w:val="IndexLink"/>
                <w:rtl w:val="true"/>
              </w:rPr>
              <w:t>الحمل على استحباب ترتيب آثار البلوغ في سنّ التاسعة وحصول البلوغ فعلاً بثلاث عشرة سنة</w:t>
            </w:r>
            <w:r>
              <w:rPr>
                <w:rStyle w:val="IndexLink"/>
                <w:rtl w:val="true"/>
              </w:rPr>
              <w:tab/>
            </w:r>
            <w:r>
              <w:rPr>
                <w:rStyle w:val="IndexLink"/>
              </w:rPr>
              <w:t>85</w:t>
            </w:r>
          </w:hyperlink>
        </w:p>
        <w:p>
          <w:pPr>
            <w:pStyle w:val="Contents3"/>
            <w:tabs>
              <w:tab w:val="clear" w:pos="8459"/>
              <w:tab w:val="right" w:pos="9026" w:leader="dot"/>
            </w:tabs>
            <w:rPr/>
          </w:pPr>
          <w:hyperlink w:anchor="__RefHeading___Toc3482647_2870459653">
            <w:r>
              <w:rPr>
                <w:webHidden/>
                <w:rStyle w:val="IndexLink"/>
                <w:rtl w:val="true"/>
              </w:rPr>
              <w:t>المرجّحات</w:t>
            </w:r>
            <w:r>
              <w:rPr>
                <w:rStyle w:val="IndexLink"/>
                <w:rtl w:val="true"/>
              </w:rPr>
              <w:tab/>
            </w:r>
            <w:r>
              <w:rPr>
                <w:rStyle w:val="IndexLink"/>
              </w:rPr>
              <w:t>86</w:t>
            </w:r>
          </w:hyperlink>
        </w:p>
        <w:p>
          <w:pPr>
            <w:pStyle w:val="Contents4"/>
            <w:tabs>
              <w:tab w:val="clear" w:pos="8176"/>
              <w:tab w:val="right" w:pos="9026" w:leader="dot"/>
            </w:tabs>
            <w:rPr/>
          </w:pPr>
          <w:hyperlink w:anchor="__RefHeading___Toc3482649_2870459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3482651_2870459653">
            <w:r>
              <w:rPr>
                <w:webHidden/>
                <w:rStyle w:val="IndexLink"/>
                <w:rtl w:val="true"/>
              </w:rPr>
              <w:t>المرجّح الأوّل</w:t>
            </w:r>
            <w:r>
              <w:rPr>
                <w:rStyle w:val="IndexLink"/>
                <w:rtl w:val="true"/>
              </w:rPr>
              <w:t xml:space="preserve">: </w:t>
            </w:r>
            <w:r>
              <w:rPr>
                <w:rStyle w:val="IndexLink"/>
                <w:rtl w:val="true"/>
              </w:rPr>
              <w:t>الشهرة</w:t>
            </w:r>
            <w:r>
              <w:rPr>
                <w:rStyle w:val="IndexLink"/>
                <w:rtl w:val="true"/>
              </w:rPr>
              <w:tab/>
            </w:r>
            <w:r>
              <w:rPr>
                <w:rStyle w:val="IndexLink"/>
              </w:rPr>
              <w:t>86</w:t>
            </w:r>
          </w:hyperlink>
        </w:p>
        <w:p>
          <w:pPr>
            <w:pStyle w:val="Contents4"/>
            <w:tabs>
              <w:tab w:val="clear" w:pos="8176"/>
              <w:tab w:val="right" w:pos="9026" w:leader="dot"/>
            </w:tabs>
            <w:rPr/>
          </w:pPr>
          <w:hyperlink w:anchor="__RefHeading___Toc3482653_2870459653">
            <w:r>
              <w:rPr>
                <w:webHidden/>
                <w:rStyle w:val="IndexLink"/>
                <w:rtl w:val="true"/>
              </w:rPr>
              <w:t>المرجّح الثاني</w:t>
            </w:r>
            <w:r>
              <w:rPr>
                <w:rStyle w:val="IndexLink"/>
                <w:rtl w:val="true"/>
              </w:rPr>
              <w:t xml:space="preserve">: </w:t>
            </w:r>
            <w:r>
              <w:rPr>
                <w:rStyle w:val="IndexLink"/>
                <w:rtl w:val="true"/>
              </w:rPr>
              <w:t>موافقة الكتاب</w:t>
            </w:r>
            <w:r>
              <w:rPr>
                <w:rStyle w:val="IndexLink"/>
                <w:rtl w:val="true"/>
              </w:rPr>
              <w:tab/>
            </w:r>
            <w:r>
              <w:rPr>
                <w:rStyle w:val="IndexLink"/>
              </w:rPr>
              <w:t>87</w:t>
            </w:r>
          </w:hyperlink>
        </w:p>
        <w:p>
          <w:pPr>
            <w:pStyle w:val="Contents4"/>
            <w:tabs>
              <w:tab w:val="clear" w:pos="8176"/>
              <w:tab w:val="right" w:pos="9026" w:leader="dot"/>
            </w:tabs>
            <w:rPr/>
          </w:pPr>
          <w:hyperlink w:anchor="__RefHeading___Toc3482655_2870459653">
            <w:r>
              <w:rPr>
                <w:webHidden/>
                <w:rStyle w:val="IndexLink"/>
                <w:rtl w:val="true"/>
              </w:rPr>
              <w:t>المرجّح الثالث</w:t>
            </w:r>
            <w:r>
              <w:rPr>
                <w:rStyle w:val="IndexLink"/>
                <w:rtl w:val="true"/>
              </w:rPr>
              <w:t xml:space="preserve">: </w:t>
            </w:r>
            <w:r>
              <w:rPr>
                <w:rStyle w:val="IndexLink"/>
                <w:rtl w:val="true"/>
              </w:rPr>
              <w:t>مخالفة العامّة</w:t>
            </w:r>
            <w:r>
              <w:rPr>
                <w:rStyle w:val="IndexLink"/>
                <w:rtl w:val="true"/>
              </w:rPr>
              <w:tab/>
            </w:r>
            <w:r>
              <w:rPr>
                <w:rStyle w:val="IndexLink"/>
              </w:rPr>
              <w:t>88</w:t>
            </w:r>
          </w:hyperlink>
        </w:p>
        <w:p>
          <w:pPr>
            <w:pStyle w:val="Contents3"/>
            <w:tabs>
              <w:tab w:val="clear" w:pos="8459"/>
              <w:tab w:val="right" w:pos="9026" w:leader="dot"/>
            </w:tabs>
            <w:rPr/>
          </w:pPr>
          <w:hyperlink w:anchor="__RefHeading___Toc3482657_2870459653">
            <w:r>
              <w:rPr>
                <w:webHidden/>
                <w:rStyle w:val="IndexLink"/>
                <w:rtl w:val="true"/>
              </w:rPr>
              <w:t>العمومات الفوقانية</w:t>
            </w:r>
            <w:r>
              <w:rPr>
                <w:rStyle w:val="IndexLink"/>
                <w:rtl w:val="true"/>
              </w:rPr>
              <w:tab/>
            </w:r>
            <w:r>
              <w:rPr>
                <w:rStyle w:val="IndexLink"/>
              </w:rPr>
              <w:t>90</w:t>
            </w:r>
          </w:hyperlink>
        </w:p>
        <w:p>
          <w:pPr>
            <w:pStyle w:val="Contents4"/>
            <w:tabs>
              <w:tab w:val="clear" w:pos="8176"/>
              <w:tab w:val="right" w:pos="9026" w:leader="dot"/>
            </w:tabs>
            <w:rPr/>
          </w:pPr>
          <w:hyperlink w:anchor="__RefHeading___Toc3482659_2870459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482661_2870459653">
            <w:r>
              <w:rPr>
                <w:webHidden/>
                <w:rStyle w:val="IndexLink"/>
                <w:rtl w:val="true"/>
              </w:rPr>
              <w:t>الوجه الأوّل</w:t>
            </w:r>
            <w:r>
              <w:rPr>
                <w:rStyle w:val="IndexLink"/>
                <w:rtl w:val="true"/>
              </w:rPr>
              <w:tab/>
            </w:r>
            <w:r>
              <w:rPr>
                <w:rStyle w:val="IndexLink"/>
              </w:rPr>
              <w:t>90</w:t>
            </w:r>
          </w:hyperlink>
        </w:p>
        <w:p>
          <w:pPr>
            <w:pStyle w:val="Contents4"/>
            <w:tabs>
              <w:tab w:val="clear" w:pos="8176"/>
              <w:tab w:val="right" w:pos="9026" w:leader="dot"/>
            </w:tabs>
            <w:rPr/>
          </w:pPr>
          <w:hyperlink w:anchor="__RefHeading___Toc3482663_2870459653">
            <w:r>
              <w:rPr>
                <w:webHidden/>
                <w:rStyle w:val="IndexLink"/>
                <w:rtl w:val="true"/>
              </w:rPr>
              <w:t>الوجه الثاني</w:t>
            </w:r>
            <w:r>
              <w:rPr>
                <w:rStyle w:val="IndexLink"/>
                <w:rtl w:val="true"/>
              </w:rPr>
              <w:tab/>
            </w:r>
            <w:r>
              <w:rPr>
                <w:rStyle w:val="IndexLink"/>
              </w:rPr>
              <w:t>91</w:t>
            </w:r>
          </w:hyperlink>
        </w:p>
        <w:p>
          <w:pPr>
            <w:pStyle w:val="Contents4"/>
            <w:tabs>
              <w:tab w:val="clear" w:pos="8176"/>
              <w:tab w:val="right" w:pos="9026" w:leader="dot"/>
            </w:tabs>
            <w:rPr/>
          </w:pPr>
          <w:hyperlink w:anchor="__RefHeading___Toc3482665_2870459653">
            <w:r>
              <w:rPr>
                <w:webHidden/>
                <w:rStyle w:val="IndexLink"/>
                <w:rtl w:val="true"/>
              </w:rPr>
              <w:t>الوجه الثالث</w:t>
            </w:r>
            <w:r>
              <w:rPr>
                <w:rStyle w:val="IndexLink"/>
                <w:rtl w:val="true"/>
              </w:rPr>
              <w:tab/>
            </w:r>
            <w:r>
              <w:rPr>
                <w:rStyle w:val="IndexLink"/>
              </w:rPr>
              <w:t>91</w:t>
            </w:r>
          </w:hyperlink>
        </w:p>
        <w:p>
          <w:pPr>
            <w:pStyle w:val="Contents4"/>
            <w:tabs>
              <w:tab w:val="clear" w:pos="8176"/>
              <w:tab w:val="right" w:pos="9026" w:leader="dot"/>
            </w:tabs>
            <w:rPr/>
          </w:pPr>
          <w:hyperlink w:anchor="__RefHeading___Toc3482667_2870459653">
            <w:r>
              <w:rPr>
                <w:webHidden/>
                <w:rStyle w:val="IndexLink"/>
                <w:rtl w:val="true"/>
              </w:rPr>
              <w:t>الوجه الرابع</w:t>
            </w:r>
            <w:r>
              <w:rPr>
                <w:rStyle w:val="IndexLink"/>
                <w:rtl w:val="true"/>
              </w:rPr>
              <w:tab/>
            </w:r>
            <w:r>
              <w:rPr>
                <w:rStyle w:val="IndexLink"/>
              </w:rPr>
              <w:t>91</w:t>
            </w:r>
          </w:hyperlink>
        </w:p>
        <w:p>
          <w:pPr>
            <w:pStyle w:val="Contents3"/>
            <w:tabs>
              <w:tab w:val="clear" w:pos="8459"/>
              <w:tab w:val="right" w:pos="9026" w:leader="dot"/>
            </w:tabs>
            <w:rPr/>
          </w:pPr>
          <w:hyperlink w:anchor="__RefHeading___Toc3482669_2870459653">
            <w:r>
              <w:rPr>
                <w:webHidden/>
                <w:rStyle w:val="IndexLink"/>
                <w:rtl w:val="true"/>
              </w:rPr>
              <w:t>إشكال عامّ على روايات البلوغ بالسنّ</w:t>
            </w:r>
            <w:r>
              <w:rPr>
                <w:rStyle w:val="IndexLink"/>
                <w:rtl w:val="true"/>
              </w:rPr>
              <w:tab/>
            </w:r>
            <w:r>
              <w:rPr>
                <w:rStyle w:val="IndexLink"/>
              </w:rPr>
              <w:t>93</w:t>
            </w:r>
          </w:hyperlink>
        </w:p>
        <w:p>
          <w:pPr>
            <w:pStyle w:val="Contents4"/>
            <w:tabs>
              <w:tab w:val="clear" w:pos="8176"/>
              <w:tab w:val="right" w:pos="9026" w:leader="dot"/>
            </w:tabs>
            <w:rPr/>
          </w:pPr>
          <w:hyperlink w:anchor="__RefHeading___Toc3482671_287045965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482673_2870459653">
            <w:r>
              <w:rPr>
                <w:webHidden/>
                <w:rStyle w:val="IndexLink"/>
                <w:rtl w:val="true"/>
              </w:rPr>
              <w:t>التقريب الأوّل</w:t>
            </w:r>
            <w:r>
              <w:rPr>
                <w:rStyle w:val="IndexLink"/>
                <w:rtl w:val="true"/>
              </w:rPr>
              <w:tab/>
            </w:r>
            <w:r>
              <w:rPr>
                <w:rStyle w:val="IndexLink"/>
              </w:rPr>
              <w:t>93</w:t>
            </w:r>
          </w:hyperlink>
        </w:p>
        <w:p>
          <w:pPr>
            <w:pStyle w:val="Contents5"/>
            <w:tabs>
              <w:tab w:val="clear" w:pos="7892"/>
              <w:tab w:val="right" w:pos="9026" w:leader="dot"/>
            </w:tabs>
            <w:rPr/>
          </w:pPr>
          <w:hyperlink w:anchor="__RefHeading___Toc3482675_2870459653">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482677_2870459653">
            <w:r>
              <w:rPr>
                <w:webHidden/>
                <w:rStyle w:val="IndexLink"/>
                <w:rtl w:val="true"/>
              </w:rPr>
              <w:t>الإشكال الأوّل</w:t>
            </w:r>
            <w:r>
              <w:rPr>
                <w:rStyle w:val="IndexLink"/>
                <w:rtl w:val="true"/>
              </w:rPr>
              <w:tab/>
            </w:r>
            <w:r>
              <w:rPr>
                <w:rStyle w:val="IndexLink"/>
              </w:rPr>
              <w:t>93</w:t>
            </w:r>
          </w:hyperlink>
        </w:p>
        <w:p>
          <w:pPr>
            <w:pStyle w:val="Contents5"/>
            <w:tabs>
              <w:tab w:val="clear" w:pos="7892"/>
              <w:tab w:val="right" w:pos="9026" w:leader="dot"/>
            </w:tabs>
            <w:rPr/>
          </w:pPr>
          <w:hyperlink w:anchor="__RefHeading___Toc3482679_2870459653">
            <w:r>
              <w:rPr>
                <w:webHidden/>
                <w:rStyle w:val="IndexLink"/>
                <w:rtl w:val="true"/>
              </w:rPr>
              <w:t>الإشكال الآخر</w:t>
            </w:r>
            <w:r>
              <w:rPr>
                <w:rStyle w:val="IndexLink"/>
                <w:rtl w:val="true"/>
              </w:rPr>
              <w:tab/>
            </w:r>
            <w:r>
              <w:rPr>
                <w:rStyle w:val="IndexLink"/>
              </w:rPr>
              <w:t>94</w:t>
            </w:r>
          </w:hyperlink>
        </w:p>
        <w:p>
          <w:pPr>
            <w:pStyle w:val="Contents6"/>
            <w:tabs>
              <w:tab w:val="clear" w:pos="7609"/>
              <w:tab w:val="right" w:pos="9026" w:leader="dot"/>
            </w:tabs>
            <w:rPr/>
          </w:pPr>
          <w:hyperlink w:anchor="__RefHeading___Toc3482681_2870459653">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482683_2870459653">
            <w:r>
              <w:rPr>
                <w:webHidden/>
                <w:rStyle w:val="IndexLink"/>
                <w:rtl w:val="true"/>
              </w:rPr>
              <w:t>الجواب الأوّل</w:t>
            </w:r>
            <w:r>
              <w:rPr>
                <w:rStyle w:val="IndexLink"/>
                <w:rtl w:val="true"/>
              </w:rPr>
              <w:tab/>
            </w:r>
            <w:r>
              <w:rPr>
                <w:rStyle w:val="IndexLink"/>
              </w:rPr>
              <w:t>94</w:t>
            </w:r>
          </w:hyperlink>
        </w:p>
        <w:p>
          <w:pPr>
            <w:pStyle w:val="Contents6"/>
            <w:tabs>
              <w:tab w:val="clear" w:pos="7609"/>
              <w:tab w:val="right" w:pos="9026" w:leader="dot"/>
            </w:tabs>
            <w:rPr/>
          </w:pPr>
          <w:hyperlink w:anchor="__RefHeading___Toc3482685_2870459653">
            <w:r>
              <w:rPr>
                <w:webHidden/>
                <w:rStyle w:val="IndexLink"/>
                <w:rtl w:val="true"/>
              </w:rPr>
              <w:t>الجواب الآخر</w:t>
            </w:r>
            <w:r>
              <w:rPr>
                <w:rStyle w:val="IndexLink"/>
                <w:rtl w:val="true"/>
              </w:rPr>
              <w:tab/>
            </w:r>
            <w:r>
              <w:rPr>
                <w:rStyle w:val="IndexLink"/>
              </w:rPr>
              <w:t>94</w:t>
            </w:r>
          </w:hyperlink>
        </w:p>
        <w:p>
          <w:pPr>
            <w:pStyle w:val="Contents6"/>
            <w:tabs>
              <w:tab w:val="clear" w:pos="7609"/>
              <w:tab w:val="right" w:pos="9026" w:leader="dot"/>
            </w:tabs>
            <w:rPr/>
          </w:pPr>
          <w:hyperlink w:anchor="__RefHeading___Toc3482687_2870459653">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482689_2870459653">
            <w:r>
              <w:rPr>
                <w:webHidden/>
                <w:rStyle w:val="IndexLink"/>
                <w:rtl w:val="true"/>
              </w:rPr>
              <w:t>الرواية الأولى</w:t>
            </w:r>
            <w:r>
              <w:rPr>
                <w:rStyle w:val="IndexLink"/>
                <w:rtl w:val="true"/>
              </w:rPr>
              <w:tab/>
            </w:r>
            <w:r>
              <w:rPr>
                <w:rStyle w:val="IndexLink"/>
              </w:rPr>
              <w:t>95</w:t>
            </w:r>
          </w:hyperlink>
        </w:p>
        <w:p>
          <w:pPr>
            <w:pStyle w:val="Contents6"/>
            <w:tabs>
              <w:tab w:val="clear" w:pos="7609"/>
              <w:tab w:val="right" w:pos="9026" w:leader="dot"/>
            </w:tabs>
            <w:rPr/>
          </w:pPr>
          <w:hyperlink w:anchor="__RefHeading___Toc3482691_2870459653">
            <w:r>
              <w:rPr>
                <w:webHidden/>
                <w:rStyle w:val="IndexLink"/>
                <w:rtl w:val="true"/>
              </w:rPr>
              <w:t>الرواية الأخرى</w:t>
            </w:r>
            <w:r>
              <w:rPr>
                <w:rStyle w:val="IndexLink"/>
                <w:rtl w:val="true"/>
              </w:rPr>
              <w:tab/>
            </w:r>
            <w:r>
              <w:rPr>
                <w:rStyle w:val="IndexLink"/>
              </w:rPr>
              <w:t>95</w:t>
            </w:r>
          </w:hyperlink>
        </w:p>
        <w:p>
          <w:pPr>
            <w:pStyle w:val="Contents4"/>
            <w:tabs>
              <w:tab w:val="clear" w:pos="8176"/>
              <w:tab w:val="right" w:pos="9026" w:leader="dot"/>
            </w:tabs>
            <w:rPr/>
          </w:pPr>
          <w:hyperlink w:anchor="__RefHeading___Toc3482693_2870459653">
            <w:r>
              <w:rPr>
                <w:webHidden/>
                <w:rStyle w:val="IndexLink"/>
                <w:rtl w:val="true"/>
              </w:rPr>
              <w:t>التقريب الآخر</w:t>
            </w:r>
            <w:r>
              <w:rPr>
                <w:rStyle w:val="IndexLink"/>
                <w:rtl w:val="true"/>
              </w:rPr>
              <w:tab/>
            </w:r>
            <w:r>
              <w:rPr>
                <w:rStyle w:val="IndexLink"/>
              </w:rPr>
              <w:t>97</w:t>
            </w:r>
          </w:hyperlink>
        </w:p>
        <w:p>
          <w:pPr>
            <w:pStyle w:val="Contents4"/>
            <w:tabs>
              <w:tab w:val="clear" w:pos="8176"/>
              <w:tab w:val="right" w:pos="9026" w:leader="dot"/>
            </w:tabs>
            <w:rPr/>
          </w:pPr>
          <w:hyperlink w:anchor="__RefHeading___Toc3482695_2870459653">
            <w:r>
              <w:rPr>
                <w:webHidden/>
                <w:rStyle w:val="IndexLink"/>
                <w:rtl w:val="true"/>
              </w:rPr>
              <w:t>المرجّح الأوّل</w:t>
            </w:r>
            <w:r>
              <w:rPr>
                <w:rStyle w:val="IndexLink"/>
                <w:rtl w:val="true"/>
              </w:rPr>
              <w:t xml:space="preserve">: </w:t>
            </w:r>
            <w:r>
              <w:rPr>
                <w:rStyle w:val="IndexLink"/>
                <w:rtl w:val="true"/>
              </w:rPr>
              <w:t>الشهرة الروائية</w:t>
            </w:r>
            <w:r>
              <w:rPr>
                <w:rStyle w:val="IndexLink"/>
                <w:rtl w:val="true"/>
              </w:rPr>
              <w:tab/>
            </w:r>
            <w:r>
              <w:rPr>
                <w:rStyle w:val="IndexLink"/>
              </w:rPr>
              <w:t>98</w:t>
            </w:r>
          </w:hyperlink>
        </w:p>
        <w:p>
          <w:pPr>
            <w:pStyle w:val="Contents4"/>
            <w:tabs>
              <w:tab w:val="clear" w:pos="8176"/>
              <w:tab w:val="right" w:pos="9026" w:leader="dot"/>
            </w:tabs>
            <w:rPr/>
          </w:pPr>
          <w:hyperlink w:anchor="__RefHeading___Toc3482697_2870459653">
            <w:r>
              <w:rPr>
                <w:webHidden/>
                <w:rStyle w:val="IndexLink"/>
                <w:rtl w:val="true"/>
              </w:rPr>
              <w:t>المرجّح الثاني</w:t>
            </w:r>
            <w:r>
              <w:rPr>
                <w:rStyle w:val="IndexLink"/>
                <w:rtl w:val="true"/>
              </w:rPr>
              <w:t xml:space="preserve">: </w:t>
            </w:r>
            <w:r>
              <w:rPr>
                <w:rStyle w:val="IndexLink"/>
                <w:rtl w:val="true"/>
              </w:rPr>
              <w:t>موافقة الكتاب</w:t>
            </w:r>
            <w:r>
              <w:rPr>
                <w:rStyle w:val="IndexLink"/>
                <w:rtl w:val="true"/>
              </w:rPr>
              <w:tab/>
            </w:r>
            <w:r>
              <w:rPr>
                <w:rStyle w:val="IndexLink"/>
              </w:rPr>
              <w:t>99</w:t>
            </w:r>
          </w:hyperlink>
        </w:p>
        <w:p>
          <w:pPr>
            <w:pStyle w:val="Contents4"/>
            <w:tabs>
              <w:tab w:val="clear" w:pos="8176"/>
              <w:tab w:val="right" w:pos="9026" w:leader="dot"/>
            </w:tabs>
            <w:rPr/>
          </w:pPr>
          <w:hyperlink w:anchor="__RefHeading___Toc3482699_2870459653">
            <w:r>
              <w:rPr>
                <w:webHidden/>
                <w:rStyle w:val="IndexLink"/>
                <w:rtl w:val="true"/>
              </w:rPr>
              <w:t>المرجّح الثالث</w:t>
            </w:r>
            <w:r>
              <w:rPr>
                <w:rStyle w:val="IndexLink"/>
                <w:rtl w:val="true"/>
              </w:rPr>
              <w:t xml:space="preserve">: </w:t>
            </w:r>
            <w:r>
              <w:rPr>
                <w:rStyle w:val="IndexLink"/>
                <w:rtl w:val="true"/>
              </w:rPr>
              <w:t>طرح الموافق للعامّة والتمسّك بالمخالف لهم</w:t>
            </w:r>
            <w:r>
              <w:rPr>
                <w:rStyle w:val="IndexLink"/>
                <w:rtl w:val="true"/>
              </w:rPr>
              <w:tab/>
            </w:r>
            <w:r>
              <w:rPr>
                <w:rStyle w:val="IndexLink"/>
              </w:rPr>
              <w:t>99</w:t>
            </w:r>
          </w:hyperlink>
        </w:p>
        <w:p>
          <w:pPr>
            <w:pStyle w:val="Contents3"/>
            <w:tabs>
              <w:tab w:val="clear" w:pos="8459"/>
              <w:tab w:val="right" w:pos="9026" w:leader="dot"/>
            </w:tabs>
            <w:rPr/>
          </w:pPr>
          <w:hyperlink w:anchor="__RefHeading___Toc3482701_2870459653">
            <w:r>
              <w:rPr>
                <w:webHidden/>
                <w:rStyle w:val="IndexLink"/>
                <w:rtl w:val="true"/>
              </w:rPr>
              <w:t>المحور الثالث</w:t>
            </w:r>
            <w:r>
              <w:rPr>
                <w:rStyle w:val="IndexLink"/>
                <w:rtl w:val="true"/>
              </w:rPr>
              <w:t xml:space="preserve">: </w:t>
            </w:r>
            <w:r>
              <w:rPr>
                <w:rStyle w:val="IndexLink"/>
                <w:rtl w:val="true"/>
              </w:rPr>
              <w:t>التنبيهات</w:t>
            </w:r>
            <w:r>
              <w:rPr>
                <w:rStyle w:val="IndexLink"/>
                <w:rtl w:val="true"/>
              </w:rPr>
              <w:tab/>
            </w:r>
            <w:r>
              <w:rPr>
                <w:rStyle w:val="IndexLink"/>
              </w:rPr>
              <w:t>101</w:t>
            </w:r>
          </w:hyperlink>
        </w:p>
        <w:p>
          <w:pPr>
            <w:pStyle w:val="Contents4"/>
            <w:tabs>
              <w:tab w:val="clear" w:pos="8176"/>
              <w:tab w:val="right" w:pos="9026" w:leader="dot"/>
            </w:tabs>
            <w:rPr/>
          </w:pPr>
          <w:hyperlink w:anchor="__RefHeading___Toc3482703_2870459653">
            <w:r>
              <w:rPr>
                <w:webHidden/>
                <w:rStyle w:val="IndexLink"/>
                <w:rtl w:val="true"/>
              </w:rPr>
              <w:t>التنبيه الأوّل</w:t>
            </w:r>
            <w:r>
              <w:rPr>
                <w:rStyle w:val="IndexLink"/>
                <w:rtl w:val="true"/>
              </w:rPr>
              <w:tab/>
            </w:r>
            <w:r>
              <w:rPr>
                <w:rStyle w:val="IndexLink"/>
              </w:rPr>
              <w:t>101</w:t>
            </w:r>
          </w:hyperlink>
        </w:p>
        <w:p>
          <w:pPr>
            <w:pStyle w:val="Contents5"/>
            <w:tabs>
              <w:tab w:val="clear" w:pos="7892"/>
              <w:tab w:val="right" w:pos="9026" w:leader="dot"/>
            </w:tabs>
            <w:rPr/>
          </w:pPr>
          <w:hyperlink w:anchor="__RefHeading___Toc3482705_2870459653">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482707_2870459653">
            <w:r>
              <w:rPr>
                <w:webHidden/>
                <w:rStyle w:val="IndexLink"/>
                <w:rtl w:val="true"/>
              </w:rPr>
              <w:t>الدليل الأوّل</w:t>
            </w:r>
            <w:r>
              <w:rPr>
                <w:rStyle w:val="IndexLink"/>
                <w:rtl w:val="true"/>
              </w:rPr>
              <w:tab/>
            </w:r>
            <w:r>
              <w:rPr>
                <w:rStyle w:val="IndexLink"/>
              </w:rPr>
              <w:t>102</w:t>
            </w:r>
          </w:hyperlink>
        </w:p>
        <w:p>
          <w:pPr>
            <w:pStyle w:val="Contents5"/>
            <w:tabs>
              <w:tab w:val="clear" w:pos="7892"/>
              <w:tab w:val="right" w:pos="9026" w:leader="dot"/>
            </w:tabs>
            <w:rPr/>
          </w:pPr>
          <w:hyperlink w:anchor="__RefHeading___Toc3482709_2870459653">
            <w:r>
              <w:rPr>
                <w:webHidden/>
                <w:rStyle w:val="IndexLink"/>
                <w:rtl w:val="true"/>
              </w:rPr>
              <w:t>الدليل الثاني</w:t>
            </w:r>
            <w:r>
              <w:rPr>
                <w:rStyle w:val="IndexLink"/>
                <w:rtl w:val="true"/>
              </w:rPr>
              <w:tab/>
            </w:r>
            <w:r>
              <w:rPr>
                <w:rStyle w:val="IndexLink"/>
              </w:rPr>
              <w:t>102</w:t>
            </w:r>
          </w:hyperlink>
        </w:p>
        <w:p>
          <w:pPr>
            <w:pStyle w:val="Contents5"/>
            <w:tabs>
              <w:tab w:val="clear" w:pos="7892"/>
              <w:tab w:val="right" w:pos="9026" w:leader="dot"/>
            </w:tabs>
            <w:rPr/>
          </w:pPr>
          <w:hyperlink w:anchor="__RefHeading___Toc3482711_2870459653">
            <w:r>
              <w:rPr>
                <w:webHidden/>
                <w:rStyle w:val="IndexLink"/>
                <w:rtl w:val="true"/>
              </w:rPr>
              <w:t>الدليل الثالث</w:t>
            </w:r>
            <w:r>
              <w:rPr>
                <w:rStyle w:val="IndexLink"/>
                <w:rtl w:val="true"/>
              </w:rPr>
              <w:tab/>
            </w:r>
            <w:r>
              <w:rPr>
                <w:rStyle w:val="IndexLink"/>
              </w:rPr>
              <w:t>102</w:t>
            </w:r>
          </w:hyperlink>
        </w:p>
        <w:p>
          <w:pPr>
            <w:pStyle w:val="Contents6"/>
            <w:tabs>
              <w:tab w:val="clear" w:pos="7609"/>
              <w:tab w:val="right" w:pos="9026" w:leader="dot"/>
            </w:tabs>
            <w:rPr/>
          </w:pPr>
          <w:hyperlink w:anchor="__RefHeading___Toc3482713_2870459653">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3482715_2870459653">
            <w:r>
              <w:rPr>
                <w:webHidden/>
                <w:rStyle w:val="IndexLink"/>
                <w:rtl w:val="true"/>
              </w:rPr>
              <w:t>المعنى الأوّل</w:t>
            </w:r>
            <w:r>
              <w:rPr>
                <w:rStyle w:val="IndexLink"/>
                <w:rtl w:val="true"/>
              </w:rPr>
              <w:tab/>
            </w:r>
            <w:r>
              <w:rPr>
                <w:rStyle w:val="IndexLink"/>
              </w:rPr>
              <w:t>102</w:t>
            </w:r>
          </w:hyperlink>
        </w:p>
        <w:p>
          <w:pPr>
            <w:pStyle w:val="Contents6"/>
            <w:tabs>
              <w:tab w:val="clear" w:pos="7609"/>
              <w:tab w:val="right" w:pos="9026" w:leader="dot"/>
            </w:tabs>
            <w:rPr/>
          </w:pPr>
          <w:hyperlink w:anchor="__RefHeading___Toc3482717_2870459653">
            <w:r>
              <w:rPr>
                <w:webHidden/>
                <w:rStyle w:val="IndexLink"/>
                <w:rtl w:val="true"/>
              </w:rPr>
              <w:t>المعنى الثاني</w:t>
            </w:r>
            <w:r>
              <w:rPr>
                <w:rStyle w:val="IndexLink"/>
                <w:rtl w:val="true"/>
              </w:rPr>
              <w:tab/>
            </w:r>
            <w:r>
              <w:rPr>
                <w:rStyle w:val="IndexLink"/>
              </w:rPr>
              <w:t>103</w:t>
            </w:r>
          </w:hyperlink>
        </w:p>
        <w:p>
          <w:pPr>
            <w:pStyle w:val="Contents6"/>
            <w:tabs>
              <w:tab w:val="clear" w:pos="7609"/>
              <w:tab w:val="right" w:pos="9026" w:leader="dot"/>
            </w:tabs>
            <w:rPr/>
          </w:pPr>
          <w:hyperlink w:anchor="__RefHeading___Toc3482719_2870459653">
            <w:r>
              <w:rPr>
                <w:webHidden/>
                <w:rStyle w:val="IndexLink"/>
                <w:rtl w:val="true"/>
              </w:rPr>
              <w:t>المعنى الثالث</w:t>
            </w:r>
            <w:r>
              <w:rPr>
                <w:rStyle w:val="IndexLink"/>
                <w:rtl w:val="true"/>
              </w:rPr>
              <w:tab/>
            </w:r>
            <w:r>
              <w:rPr>
                <w:rStyle w:val="IndexLink"/>
              </w:rPr>
              <w:t>103</w:t>
            </w:r>
          </w:hyperlink>
        </w:p>
        <w:p>
          <w:pPr>
            <w:pStyle w:val="Contents4"/>
            <w:tabs>
              <w:tab w:val="clear" w:pos="8176"/>
              <w:tab w:val="right" w:pos="9026" w:leader="dot"/>
            </w:tabs>
            <w:rPr/>
          </w:pPr>
          <w:hyperlink w:anchor="__RefHeading___Toc3482721_2870459653">
            <w:r>
              <w:rPr>
                <w:webHidden/>
                <w:rStyle w:val="IndexLink"/>
                <w:rtl w:val="true"/>
              </w:rPr>
              <w:t>التنبيه الثاني</w:t>
            </w:r>
            <w:r>
              <w:rPr>
                <w:rStyle w:val="IndexLink"/>
                <w:rtl w:val="true"/>
              </w:rPr>
              <w:tab/>
            </w:r>
            <w:r>
              <w:rPr>
                <w:rStyle w:val="IndexLink"/>
              </w:rPr>
              <w:t>104</w:t>
            </w:r>
          </w:hyperlink>
        </w:p>
        <w:p>
          <w:pPr>
            <w:pStyle w:val="Contents4"/>
            <w:tabs>
              <w:tab w:val="clear" w:pos="8176"/>
              <w:tab w:val="right" w:pos="9026" w:leader="dot"/>
            </w:tabs>
            <w:rPr/>
          </w:pPr>
          <w:hyperlink w:anchor="__RefHeading___Toc3482723_2870459653">
            <w:r>
              <w:rPr>
                <w:webHidden/>
                <w:rStyle w:val="IndexLink"/>
                <w:rtl w:val="true"/>
              </w:rPr>
              <w:t>التنبيه الثالث</w:t>
            </w:r>
            <w:r>
              <w:rPr>
                <w:rStyle w:val="IndexLink"/>
                <w:rtl w:val="true"/>
              </w:rPr>
              <w:tab/>
            </w:r>
            <w:r>
              <w:rPr>
                <w:rStyle w:val="IndexLink"/>
              </w:rPr>
              <w:t>104</w:t>
            </w:r>
          </w:hyperlink>
        </w:p>
        <w:p>
          <w:pPr>
            <w:pStyle w:val="Contents5"/>
            <w:tabs>
              <w:tab w:val="clear" w:pos="7892"/>
              <w:tab w:val="right" w:pos="9026" w:leader="dot"/>
            </w:tabs>
            <w:rPr/>
          </w:pPr>
          <w:hyperlink w:anchor="__RefHeading___Toc3482725_2870459653">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482727_2870459653">
            <w:r>
              <w:rPr>
                <w:webHidden/>
                <w:rStyle w:val="IndexLink"/>
                <w:rtl w:val="true"/>
              </w:rPr>
              <w:t>الأمر الأوَّل</w:t>
            </w:r>
            <w:r>
              <w:rPr>
                <w:rStyle w:val="IndexLink"/>
                <w:rtl w:val="true"/>
              </w:rPr>
              <w:tab/>
            </w:r>
            <w:r>
              <w:rPr>
                <w:rStyle w:val="IndexLink"/>
              </w:rPr>
              <w:t>104</w:t>
            </w:r>
          </w:hyperlink>
        </w:p>
        <w:p>
          <w:pPr>
            <w:pStyle w:val="Contents5"/>
            <w:tabs>
              <w:tab w:val="clear" w:pos="7892"/>
              <w:tab w:val="right" w:pos="9026" w:leader="dot"/>
            </w:tabs>
            <w:rPr/>
          </w:pPr>
          <w:hyperlink w:anchor="__RefHeading___Toc3482729_2870459653">
            <w:r>
              <w:rPr>
                <w:webHidden/>
                <w:rStyle w:val="IndexLink"/>
                <w:rtl w:val="true"/>
              </w:rPr>
              <w:t>الأمر الثاني</w:t>
            </w:r>
            <w:r>
              <w:rPr>
                <w:rStyle w:val="IndexLink"/>
                <w:rtl w:val="true"/>
              </w:rPr>
              <w:tab/>
            </w:r>
            <w:r>
              <w:rPr>
                <w:rStyle w:val="IndexLink"/>
              </w:rPr>
              <w:t>105</w:t>
            </w:r>
          </w:hyperlink>
        </w:p>
        <w:p>
          <w:pPr>
            <w:pStyle w:val="Contents5"/>
            <w:tabs>
              <w:tab w:val="clear" w:pos="7892"/>
              <w:tab w:val="right" w:pos="9026" w:leader="dot"/>
            </w:tabs>
            <w:rPr/>
          </w:pPr>
          <w:hyperlink w:anchor="__RefHeading___Toc3482731_2870459653">
            <w:r>
              <w:rPr>
                <w:webHidden/>
                <w:rStyle w:val="IndexLink"/>
                <w:rtl w:val="true"/>
              </w:rPr>
              <w:t>الأمر الثالث</w:t>
            </w:r>
            <w:r>
              <w:rPr>
                <w:rStyle w:val="IndexLink"/>
                <w:rtl w:val="true"/>
              </w:rPr>
              <w:tab/>
            </w:r>
            <w:r>
              <w:rPr>
                <w:rStyle w:val="IndexLink"/>
              </w:rPr>
              <w:t>105</w:t>
            </w:r>
          </w:hyperlink>
        </w:p>
        <w:p>
          <w:pPr>
            <w:pStyle w:val="Contents6"/>
            <w:tabs>
              <w:tab w:val="clear" w:pos="7609"/>
              <w:tab w:val="right" w:pos="9026" w:leader="dot"/>
            </w:tabs>
            <w:rPr/>
          </w:pPr>
          <w:hyperlink w:anchor="__RefHeading___Toc3482733_2870459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482735_2870459653">
            <w:r>
              <w:rPr>
                <w:webHidden/>
                <w:rStyle w:val="IndexLink"/>
                <w:rtl w:val="true"/>
              </w:rPr>
              <w:t>الجواب الأوَّل</w:t>
            </w:r>
            <w:r>
              <w:rPr>
                <w:rStyle w:val="IndexLink"/>
                <w:rtl w:val="true"/>
              </w:rPr>
              <w:tab/>
            </w:r>
            <w:r>
              <w:rPr>
                <w:rStyle w:val="IndexLink"/>
              </w:rPr>
              <w:t>105</w:t>
            </w:r>
          </w:hyperlink>
        </w:p>
        <w:p>
          <w:pPr>
            <w:pStyle w:val="Contents6"/>
            <w:tabs>
              <w:tab w:val="clear" w:pos="7609"/>
              <w:tab w:val="right" w:pos="9026" w:leader="dot"/>
            </w:tabs>
            <w:rPr/>
          </w:pPr>
          <w:hyperlink w:anchor="__RefHeading___Toc3482737_2870459653">
            <w:r>
              <w:rPr>
                <w:webHidden/>
                <w:rStyle w:val="IndexLink"/>
                <w:rtl w:val="true"/>
              </w:rPr>
              <w:t>الجواب الثاني</w:t>
            </w:r>
            <w:r>
              <w:rPr>
                <w:rStyle w:val="IndexLink"/>
                <w:rtl w:val="true"/>
              </w:rPr>
              <w:tab/>
            </w:r>
            <w:r>
              <w:rPr>
                <w:rStyle w:val="IndexLink"/>
              </w:rPr>
              <w:t>107</w:t>
            </w:r>
          </w:hyperlink>
        </w:p>
        <w:p>
          <w:pPr>
            <w:pStyle w:val="Contents6"/>
            <w:tabs>
              <w:tab w:val="clear" w:pos="7609"/>
              <w:tab w:val="right" w:pos="9026" w:leader="dot"/>
            </w:tabs>
            <w:rPr/>
          </w:pPr>
          <w:hyperlink w:anchor="__RefHeading___Toc3482739_2870459653">
            <w:r>
              <w:rPr>
                <w:webHidden/>
                <w:rStyle w:val="IndexLink"/>
                <w:rtl w:val="true"/>
              </w:rPr>
              <w:t>الجواب الثالث</w:t>
            </w:r>
            <w:r>
              <w:rPr>
                <w:rStyle w:val="IndexLink"/>
                <w:rtl w:val="true"/>
              </w:rPr>
              <w:tab/>
            </w:r>
            <w:r>
              <w:rPr>
                <w:rStyle w:val="IndexLink"/>
              </w:rPr>
              <w:t>107</w:t>
            </w:r>
          </w:hyperlink>
        </w:p>
        <w:p>
          <w:pPr>
            <w:pStyle w:val="Contents6"/>
            <w:tabs>
              <w:tab w:val="clear" w:pos="7609"/>
              <w:tab w:val="right" w:pos="9026" w:leader="dot"/>
            </w:tabs>
            <w:rPr/>
          </w:pPr>
          <w:hyperlink w:anchor="__RefHeading___Toc3482741_2870459653">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3482743_2870459653">
            <w:r>
              <w:rPr>
                <w:webHidden/>
                <w:rStyle w:val="IndexLink"/>
                <w:rtl w:val="true"/>
              </w:rPr>
              <w:t>السبب الأوَّل</w:t>
            </w:r>
            <w:r>
              <w:rPr>
                <w:rStyle w:val="IndexLink"/>
                <w:rtl w:val="true"/>
              </w:rPr>
              <w:tab/>
            </w:r>
            <w:r>
              <w:rPr>
                <w:rStyle w:val="IndexLink"/>
              </w:rPr>
              <w:t>108</w:t>
            </w:r>
          </w:hyperlink>
        </w:p>
        <w:p>
          <w:pPr>
            <w:pStyle w:val="Contents6"/>
            <w:tabs>
              <w:tab w:val="clear" w:pos="7609"/>
              <w:tab w:val="right" w:pos="9026" w:leader="dot"/>
            </w:tabs>
            <w:rPr/>
          </w:pPr>
          <w:hyperlink w:anchor="__RefHeading___Toc3482745_2870459653">
            <w:r>
              <w:rPr>
                <w:webHidden/>
                <w:rStyle w:val="IndexLink"/>
                <w:rtl w:val="true"/>
              </w:rPr>
              <w:t>السبب الثاني</w:t>
            </w:r>
            <w:r>
              <w:rPr>
                <w:rStyle w:val="IndexLink"/>
                <w:rtl w:val="true"/>
              </w:rPr>
              <w:tab/>
            </w:r>
            <w:r>
              <w:rPr>
                <w:rStyle w:val="IndexLink"/>
              </w:rPr>
              <w:t>109</w:t>
            </w:r>
          </w:hyperlink>
        </w:p>
        <w:p>
          <w:pPr>
            <w:pStyle w:val="Contents6"/>
            <w:tabs>
              <w:tab w:val="clear" w:pos="7609"/>
              <w:tab w:val="right" w:pos="9026" w:leader="dot"/>
            </w:tabs>
            <w:rPr/>
          </w:pPr>
          <w:hyperlink w:anchor="__RefHeading___Toc3482747_2870459653">
            <w:r>
              <w:rPr>
                <w:webHidden/>
                <w:rStyle w:val="IndexLink"/>
                <w:rtl w:val="true"/>
              </w:rPr>
              <w:t>السبب الثالث</w:t>
            </w:r>
            <w:r>
              <w:rPr>
                <w:rStyle w:val="IndexLink"/>
                <w:rtl w:val="true"/>
              </w:rPr>
              <w:tab/>
            </w:r>
            <w:r>
              <w:rPr>
                <w:rStyle w:val="IndexLink"/>
              </w:rPr>
              <w:t>109</w:t>
            </w:r>
          </w:hyperlink>
        </w:p>
        <w:p>
          <w:pPr>
            <w:pStyle w:val="Contents3"/>
            <w:tabs>
              <w:tab w:val="clear" w:pos="8459"/>
              <w:tab w:val="right" w:pos="9026" w:leader="dot"/>
            </w:tabs>
            <w:rPr/>
          </w:pPr>
          <w:hyperlink w:anchor="__RefHeading___Toc3482749_2870459653">
            <w:r>
              <w:rPr>
                <w:webHidden/>
                <w:rStyle w:val="IndexLink"/>
                <w:rtl w:val="true"/>
              </w:rPr>
              <w:t>المحور الرابع</w:t>
            </w:r>
            <w:r>
              <w:rPr>
                <w:rStyle w:val="IndexLink"/>
                <w:rtl w:val="true"/>
              </w:rPr>
              <w:t xml:space="preserve">: </w:t>
            </w:r>
            <w:r>
              <w:rPr>
                <w:rStyle w:val="IndexLink"/>
                <w:rtl w:val="true"/>
              </w:rPr>
              <w:t>نتائج البحث</w:t>
            </w:r>
            <w:r>
              <w:rPr>
                <w:rStyle w:val="IndexLink"/>
                <w:rtl w:val="true"/>
              </w:rPr>
              <w:tab/>
            </w:r>
            <w:r>
              <w:rPr>
                <w:rStyle w:val="IndexLink"/>
              </w:rPr>
              <w:t>110</w:t>
            </w:r>
          </w:hyperlink>
        </w:p>
        <w:p>
          <w:pPr>
            <w:pStyle w:val="Contents3"/>
            <w:tabs>
              <w:tab w:val="clear" w:pos="8459"/>
              <w:tab w:val="right" w:pos="9026" w:leader="dot"/>
            </w:tabs>
            <w:rPr/>
          </w:pPr>
          <w:hyperlink w:anchor="__RefHeading___Toc3482751_2870459653">
            <w:r>
              <w:rPr>
                <w:webHidden/>
                <w:rStyle w:val="IndexLink"/>
                <w:rtl w:val="true"/>
              </w:rPr>
              <w:t>مصادر البحث</w:t>
            </w:r>
            <w:r>
              <w:rPr>
                <w:rStyle w:val="IndexLink"/>
                <w:rtl w:val="true"/>
              </w:rPr>
              <w:tab/>
            </w:r>
            <w:r>
              <w:rPr>
                <w:rStyle w:val="IndexLink"/>
              </w:rPr>
              <w:t>111</w:t>
            </w:r>
          </w:hyperlink>
        </w:p>
        <w:p>
          <w:pPr>
            <w:pStyle w:val="Contents2"/>
            <w:tabs>
              <w:tab w:val="clear" w:pos="8743"/>
              <w:tab w:val="right" w:pos="9026" w:leader="dot"/>
            </w:tabs>
            <w:rPr/>
          </w:pPr>
          <w:hyperlink w:anchor="__RefHeading___Toc3482753_2870459653">
            <w:r>
              <w:rPr>
                <w:webHidden/>
                <w:rStyle w:val="IndexLink"/>
                <w:rtl w:val="true"/>
              </w:rPr>
              <w:t xml:space="preserve">استثناء الواقف المنافع لنفسه </w:t>
            </w:r>
            <w:r>
              <w:rPr>
                <w:rStyle w:val="IndexLink"/>
                <w:rtl w:val="true"/>
              </w:rPr>
              <w:t>(</w:t>
            </w:r>
            <w:r>
              <w:rPr>
                <w:rStyle w:val="IndexLink"/>
                <w:rtl w:val="true"/>
              </w:rPr>
              <w:t>الحلقة الثانیة</w:t>
            </w:r>
            <w:r>
              <w:rPr>
                <w:rStyle w:val="IndexLink"/>
                <w:rtl w:val="true"/>
              </w:rPr>
              <w:t xml:space="preserve">) - </w:t>
            </w:r>
            <w:r>
              <w:rPr>
                <w:rStyle w:val="IndexLink"/>
                <w:rtl w:val="true"/>
              </w:rPr>
              <w:t xml:space="preserve">الشّيخ أمجد رياض </w:t>
            </w:r>
            <w:r>
              <w:rPr>
                <w:rStyle w:val="IndexLink"/>
                <w:rtl w:val="true"/>
              </w:rPr>
              <w:t>(</w:t>
            </w:r>
            <w:r>
              <w:rPr>
                <w:rStyle w:val="IndexLink"/>
                <w:rtl w:val="true"/>
              </w:rPr>
              <w:t>دام عزه</w:t>
            </w:r>
            <w:r>
              <w:rPr>
                <w:rStyle w:val="IndexLink"/>
                <w:rtl w:val="true"/>
              </w:rPr>
              <w:t>)</w:t>
              <w:tab/>
            </w:r>
            <w:r>
              <w:rPr>
                <w:rStyle w:val="IndexLink"/>
              </w:rPr>
              <w:t>122</w:t>
            </w:r>
          </w:hyperlink>
        </w:p>
        <w:p>
          <w:pPr>
            <w:pStyle w:val="Contents3"/>
            <w:tabs>
              <w:tab w:val="clear" w:pos="8459"/>
              <w:tab w:val="right" w:pos="9026" w:leader="dot"/>
            </w:tabs>
            <w:rPr/>
          </w:pPr>
          <w:hyperlink w:anchor="__RefHeading___Toc3482755_287045965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3482757_2870459653">
            <w:r>
              <w:rPr>
                <w:webHidden/>
                <w:rStyle w:val="IndexLink"/>
                <w:rtl w:val="true"/>
              </w:rPr>
              <w:t>ما يستدلّ به على عدم صحّة الوقف مع استثناء الواقف للمنفعة</w:t>
            </w:r>
            <w:r>
              <w:rPr>
                <w:rStyle w:val="IndexLink"/>
                <w:rtl w:val="true"/>
              </w:rPr>
              <w:tab/>
            </w:r>
            <w:r>
              <w:rPr>
                <w:rStyle w:val="IndexLink"/>
              </w:rPr>
              <w:t>124</w:t>
            </w:r>
          </w:hyperlink>
        </w:p>
        <w:p>
          <w:pPr>
            <w:pStyle w:val="Contents4"/>
            <w:tabs>
              <w:tab w:val="clear" w:pos="8176"/>
              <w:tab w:val="right" w:pos="9026" w:leader="dot"/>
            </w:tabs>
            <w:rPr/>
          </w:pPr>
          <w:hyperlink w:anchor="__RefHeading___Toc3482759_2870459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482761_2870459653">
            <w:r>
              <w:rPr>
                <w:webHidden/>
                <w:rStyle w:val="IndexLink"/>
                <w:rtl w:val="true"/>
              </w:rPr>
              <w:t>التقريب الأوّل</w:t>
            </w:r>
            <w:r>
              <w:rPr>
                <w:rStyle w:val="IndexLink"/>
                <w:rtl w:val="true"/>
              </w:rPr>
              <w:tab/>
            </w:r>
            <w:r>
              <w:rPr>
                <w:rStyle w:val="IndexLink"/>
              </w:rPr>
              <w:t>130</w:t>
            </w:r>
          </w:hyperlink>
        </w:p>
        <w:p>
          <w:pPr>
            <w:pStyle w:val="Contents4"/>
            <w:tabs>
              <w:tab w:val="clear" w:pos="8176"/>
              <w:tab w:val="right" w:pos="9026" w:leader="dot"/>
            </w:tabs>
            <w:rPr/>
          </w:pPr>
          <w:hyperlink w:anchor="__RefHeading___Toc3482763_2870459653">
            <w:r>
              <w:rPr>
                <w:webHidden/>
                <w:rStyle w:val="IndexLink"/>
                <w:rtl w:val="true"/>
              </w:rPr>
              <w:t>التقريب الثاني</w:t>
            </w:r>
            <w:r>
              <w:rPr>
                <w:rStyle w:val="IndexLink"/>
                <w:rtl w:val="true"/>
              </w:rPr>
              <w:tab/>
            </w:r>
            <w:r>
              <w:rPr>
                <w:rStyle w:val="IndexLink"/>
              </w:rPr>
              <w:t>132</w:t>
            </w:r>
          </w:hyperlink>
        </w:p>
        <w:p>
          <w:pPr>
            <w:pStyle w:val="Contents4"/>
            <w:tabs>
              <w:tab w:val="clear" w:pos="8176"/>
              <w:tab w:val="right" w:pos="9026" w:leader="dot"/>
            </w:tabs>
            <w:rPr/>
          </w:pPr>
          <w:hyperlink w:anchor="__RefHeading___Toc3482765_2870459653">
            <w:r>
              <w:rPr>
                <w:webHidden/>
                <w:rStyle w:val="IndexLink"/>
                <w:rtl w:val="true"/>
              </w:rPr>
              <w:t>الأمر الأوّل</w:t>
            </w:r>
            <w:r>
              <w:rPr>
                <w:rStyle w:val="IndexLink"/>
                <w:rtl w:val="true"/>
              </w:rPr>
              <w:t xml:space="preserve">: </w:t>
            </w:r>
            <w:r>
              <w:rPr>
                <w:rStyle w:val="IndexLink"/>
                <w:rtl w:val="true"/>
              </w:rPr>
              <w:t>في حدود المسألة</w:t>
            </w:r>
            <w:r>
              <w:rPr>
                <w:rStyle w:val="IndexLink"/>
                <w:rtl w:val="true"/>
              </w:rPr>
              <w:tab/>
            </w:r>
            <w:r>
              <w:rPr>
                <w:rStyle w:val="IndexLink"/>
              </w:rPr>
              <w:t>144</w:t>
            </w:r>
          </w:hyperlink>
        </w:p>
        <w:p>
          <w:pPr>
            <w:pStyle w:val="Contents5"/>
            <w:tabs>
              <w:tab w:val="clear" w:pos="7892"/>
              <w:tab w:val="right" w:pos="9026" w:leader="dot"/>
            </w:tabs>
            <w:rPr/>
          </w:pPr>
          <w:hyperlink w:anchor="__RefHeading___Toc3482767_2870459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482769_2870459653">
            <w:r>
              <w:rPr>
                <w:webHidden/>
                <w:rStyle w:val="IndexLink"/>
                <w:rtl w:val="true"/>
              </w:rPr>
              <w:t>الضرب الأوّل</w:t>
            </w:r>
            <w:r>
              <w:rPr>
                <w:rStyle w:val="IndexLink"/>
                <w:rtl w:val="true"/>
              </w:rPr>
              <w:t xml:space="preserve">: </w:t>
            </w:r>
            <w:r>
              <w:rPr>
                <w:rStyle w:val="IndexLink"/>
                <w:rtl w:val="true"/>
              </w:rPr>
              <w:t>بعض ما يتفرّع على القول بالجواز</w:t>
            </w:r>
            <w:r>
              <w:rPr>
                <w:rStyle w:val="IndexLink"/>
                <w:rtl w:val="true"/>
              </w:rPr>
              <w:tab/>
            </w:r>
            <w:r>
              <w:rPr>
                <w:rStyle w:val="IndexLink"/>
              </w:rPr>
              <w:t>144</w:t>
            </w:r>
          </w:hyperlink>
        </w:p>
        <w:p>
          <w:pPr>
            <w:pStyle w:val="Contents5"/>
            <w:tabs>
              <w:tab w:val="clear" w:pos="7892"/>
              <w:tab w:val="right" w:pos="9026" w:leader="dot"/>
            </w:tabs>
            <w:rPr/>
          </w:pPr>
          <w:hyperlink w:anchor="__RefHeading___Toc3482771_2870459653">
            <w:r>
              <w:rPr>
                <w:webHidden/>
                <w:rStyle w:val="IndexLink"/>
                <w:rtl w:val="true"/>
              </w:rPr>
              <w:t>الضرب الثاني</w:t>
            </w:r>
            <w:r>
              <w:rPr>
                <w:rStyle w:val="IndexLink"/>
                <w:rtl w:val="true"/>
              </w:rPr>
              <w:t xml:space="preserve">: </w:t>
            </w:r>
            <w:r>
              <w:rPr>
                <w:rStyle w:val="IndexLink"/>
                <w:rtl w:val="true"/>
              </w:rPr>
              <w:t>بعض ما يتفرّع على القول بعدم الجواز</w:t>
            </w:r>
            <w:r>
              <w:rPr>
                <w:rStyle w:val="IndexLink"/>
                <w:rtl w:val="true"/>
              </w:rPr>
              <w:tab/>
            </w:r>
            <w:r>
              <w:rPr>
                <w:rStyle w:val="IndexLink"/>
              </w:rPr>
              <w:t>147</w:t>
            </w:r>
          </w:hyperlink>
        </w:p>
        <w:p>
          <w:pPr>
            <w:pStyle w:val="Contents4"/>
            <w:tabs>
              <w:tab w:val="clear" w:pos="8176"/>
              <w:tab w:val="right" w:pos="9026" w:leader="dot"/>
            </w:tabs>
            <w:rPr/>
          </w:pPr>
          <w:hyperlink w:anchor="__RefHeading___Toc3482773_2870459653">
            <w:r>
              <w:rPr>
                <w:webHidden/>
                <w:rStyle w:val="IndexLink"/>
                <w:rtl w:val="true"/>
              </w:rPr>
              <w:t>الأمر الثاني</w:t>
            </w:r>
            <w:r>
              <w:rPr>
                <w:rStyle w:val="IndexLink"/>
                <w:rtl w:val="true"/>
              </w:rPr>
              <w:t xml:space="preserve">: </w:t>
            </w:r>
            <w:r>
              <w:rPr>
                <w:rStyle w:val="IndexLink"/>
                <w:rtl w:val="true"/>
              </w:rPr>
              <w:t>في صور أخرى لها علاقة بهذه المسألة</w:t>
            </w:r>
            <w:r>
              <w:rPr>
                <w:rStyle w:val="IndexLink"/>
                <w:rtl w:val="true"/>
              </w:rPr>
              <w:tab/>
            </w:r>
            <w:r>
              <w:rPr>
                <w:rStyle w:val="IndexLink"/>
              </w:rPr>
              <w:t>150</w:t>
            </w:r>
          </w:hyperlink>
        </w:p>
        <w:p>
          <w:pPr>
            <w:pStyle w:val="Contents5"/>
            <w:tabs>
              <w:tab w:val="clear" w:pos="7892"/>
              <w:tab w:val="right" w:pos="9026" w:leader="dot"/>
            </w:tabs>
            <w:rPr/>
          </w:pPr>
          <w:hyperlink w:anchor="__RefHeading___Toc3482775_2870459653">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3482777_2870459653">
            <w:r>
              <w:rPr>
                <w:webHidden/>
                <w:rStyle w:val="IndexLink"/>
                <w:rtl w:val="true"/>
              </w:rPr>
              <w:t>الصورة الأولى</w:t>
            </w:r>
            <w:r>
              <w:rPr>
                <w:rStyle w:val="IndexLink"/>
                <w:rtl w:val="true"/>
              </w:rPr>
              <w:tab/>
            </w:r>
            <w:r>
              <w:rPr>
                <w:rStyle w:val="IndexLink"/>
              </w:rPr>
              <w:t>150</w:t>
            </w:r>
          </w:hyperlink>
        </w:p>
        <w:p>
          <w:pPr>
            <w:pStyle w:val="Contents5"/>
            <w:tabs>
              <w:tab w:val="clear" w:pos="7892"/>
              <w:tab w:val="right" w:pos="9026" w:leader="dot"/>
            </w:tabs>
            <w:rPr/>
          </w:pPr>
          <w:hyperlink w:anchor="__RefHeading___Toc3482779_2870459653">
            <w:r>
              <w:rPr>
                <w:webHidden/>
                <w:rStyle w:val="IndexLink"/>
                <w:rtl w:val="true"/>
              </w:rPr>
              <w:t>الصورة الثانية</w:t>
            </w:r>
            <w:r>
              <w:rPr>
                <w:rStyle w:val="IndexLink"/>
                <w:rtl w:val="true"/>
              </w:rPr>
              <w:tab/>
            </w:r>
            <w:r>
              <w:rPr>
                <w:rStyle w:val="IndexLink"/>
              </w:rPr>
              <w:t>151</w:t>
            </w:r>
          </w:hyperlink>
        </w:p>
        <w:p>
          <w:pPr>
            <w:pStyle w:val="Contents6"/>
            <w:tabs>
              <w:tab w:val="clear" w:pos="7609"/>
              <w:tab w:val="right" w:pos="9026" w:leader="dot"/>
            </w:tabs>
            <w:rPr/>
          </w:pPr>
          <w:hyperlink w:anchor="__RefHeading___Toc3482781_2870459653">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482783_2870459653">
            <w:r>
              <w:rPr>
                <w:webHidden/>
                <w:rStyle w:val="IndexLink"/>
                <w:rtl w:val="true"/>
              </w:rPr>
              <w:t>القول الأول</w:t>
            </w:r>
            <w:r>
              <w:rPr>
                <w:rStyle w:val="IndexLink"/>
                <w:rtl w:val="true"/>
              </w:rPr>
              <w:t xml:space="preserve">: </w:t>
            </w:r>
            <w:r>
              <w:rPr>
                <w:rStyle w:val="IndexLink"/>
                <w:rtl w:val="true"/>
              </w:rPr>
              <w:t>جواز انتفاع الواقف مطلقاً</w:t>
            </w:r>
            <w:r>
              <w:rPr>
                <w:rStyle w:val="IndexLink"/>
                <w:rtl w:val="true"/>
              </w:rPr>
              <w:tab/>
            </w:r>
            <w:r>
              <w:rPr>
                <w:rStyle w:val="IndexLink"/>
              </w:rPr>
              <w:t>151</w:t>
            </w:r>
          </w:hyperlink>
        </w:p>
        <w:p>
          <w:pPr>
            <w:pStyle w:val="Contents6"/>
            <w:tabs>
              <w:tab w:val="clear" w:pos="7609"/>
              <w:tab w:val="right" w:pos="9026" w:leader="dot"/>
            </w:tabs>
            <w:rPr/>
          </w:pPr>
          <w:hyperlink w:anchor="__RefHeading___Toc3482785_2870459653">
            <w:r>
              <w:rPr>
                <w:webHidden/>
                <w:rStyle w:val="IndexLink"/>
                <w:rtl w:val="true"/>
              </w:rPr>
              <w:t>القول الثاني</w:t>
            </w:r>
            <w:r>
              <w:rPr>
                <w:rStyle w:val="IndexLink"/>
                <w:rtl w:val="true"/>
              </w:rPr>
              <w:t xml:space="preserve">: </w:t>
            </w:r>
            <w:r>
              <w:rPr>
                <w:rStyle w:val="IndexLink"/>
                <w:rtl w:val="true"/>
              </w:rPr>
              <w:t>المنع من ذلك مطلقاً</w:t>
            </w:r>
            <w:r>
              <w:rPr>
                <w:rStyle w:val="IndexLink"/>
                <w:rtl w:val="true"/>
              </w:rPr>
              <w:tab/>
            </w:r>
            <w:r>
              <w:rPr>
                <w:rStyle w:val="IndexLink"/>
              </w:rPr>
              <w:t>152</w:t>
            </w:r>
          </w:hyperlink>
        </w:p>
        <w:p>
          <w:pPr>
            <w:pStyle w:val="Contents6"/>
            <w:tabs>
              <w:tab w:val="clear" w:pos="7609"/>
              <w:tab w:val="right" w:pos="9026" w:leader="dot"/>
            </w:tabs>
            <w:rPr/>
          </w:pPr>
          <w:hyperlink w:anchor="__RefHeading___Toc3482787_2870459653">
            <w:r>
              <w:rPr>
                <w:webHidden/>
                <w:rStyle w:val="IndexLink"/>
                <w:rtl w:val="true"/>
              </w:rPr>
              <w:t>القول الثالث</w:t>
            </w:r>
            <w:r>
              <w:rPr>
                <w:rStyle w:val="IndexLink"/>
                <w:rtl w:val="true"/>
              </w:rPr>
              <w:t xml:space="preserve">: </w:t>
            </w:r>
            <w:r>
              <w:rPr>
                <w:rStyle w:val="IndexLink"/>
                <w:rtl w:val="true"/>
              </w:rPr>
              <w:t>التفصيل في ذلك</w:t>
            </w:r>
            <w:r>
              <w:rPr>
                <w:rStyle w:val="IndexLink"/>
                <w:rtl w:val="true"/>
              </w:rPr>
              <w:tab/>
            </w:r>
            <w:r>
              <w:rPr>
                <w:rStyle w:val="IndexLink"/>
              </w:rPr>
              <w:t>152</w:t>
            </w:r>
          </w:hyperlink>
        </w:p>
        <w:p>
          <w:pPr>
            <w:pStyle w:val="Contents5"/>
            <w:tabs>
              <w:tab w:val="clear" w:pos="7892"/>
              <w:tab w:val="right" w:pos="9026" w:leader="dot"/>
            </w:tabs>
            <w:rPr/>
          </w:pPr>
          <w:hyperlink w:anchor="__RefHeading___Toc3482789_2870459653">
            <w:r>
              <w:rPr>
                <w:webHidden/>
                <w:rStyle w:val="IndexLink"/>
                <w:rtl w:val="true"/>
              </w:rPr>
              <w:t>الصورة الثالثة</w:t>
            </w:r>
            <w:r>
              <w:rPr>
                <w:rStyle w:val="IndexLink"/>
                <w:rtl w:val="true"/>
              </w:rPr>
              <w:t xml:space="preserve">: </w:t>
            </w:r>
            <w:r>
              <w:rPr>
                <w:rStyle w:val="IndexLink"/>
                <w:rtl w:val="true"/>
              </w:rPr>
              <w:t>وقف العين المستأجرة قبل انتهاء مدّة الإجارة</w:t>
            </w:r>
            <w:r>
              <w:rPr>
                <w:rStyle w:val="IndexLink"/>
                <w:rtl w:val="true"/>
              </w:rPr>
              <w:tab/>
            </w:r>
            <w:r>
              <w:rPr>
                <w:rStyle w:val="IndexLink"/>
              </w:rPr>
              <w:t>154</w:t>
            </w:r>
          </w:hyperlink>
        </w:p>
        <w:p>
          <w:pPr>
            <w:pStyle w:val="Contents5"/>
            <w:tabs>
              <w:tab w:val="clear" w:pos="7892"/>
              <w:tab w:val="right" w:pos="9026" w:leader="dot"/>
            </w:tabs>
            <w:rPr/>
          </w:pPr>
          <w:hyperlink w:anchor="__RefHeading___Toc3482791_2870459653">
            <w:r>
              <w:rPr>
                <w:webHidden/>
                <w:rStyle w:val="IndexLink"/>
                <w:rtl w:val="true"/>
              </w:rPr>
              <w:t>الصورة الرابعة</w:t>
            </w:r>
            <w:r>
              <w:rPr>
                <w:rStyle w:val="IndexLink"/>
                <w:rtl w:val="true"/>
              </w:rPr>
              <w:t xml:space="preserve">: </w:t>
            </w:r>
            <w:r>
              <w:rPr>
                <w:rStyle w:val="IndexLink"/>
                <w:rtl w:val="true"/>
              </w:rPr>
              <w:t>شمول البحث للمنافع الموجودة</w:t>
            </w:r>
            <w:r>
              <w:rPr>
                <w:rStyle w:val="IndexLink"/>
                <w:rtl w:val="true"/>
              </w:rPr>
              <w:tab/>
            </w:r>
            <w:r>
              <w:rPr>
                <w:rStyle w:val="IndexLink"/>
              </w:rPr>
              <w:t>155</w:t>
            </w:r>
          </w:hyperlink>
        </w:p>
        <w:p>
          <w:pPr>
            <w:pStyle w:val="Contents3"/>
            <w:tabs>
              <w:tab w:val="clear" w:pos="8459"/>
              <w:tab w:val="right" w:pos="9026" w:leader="dot"/>
            </w:tabs>
            <w:rPr/>
          </w:pPr>
          <w:hyperlink w:anchor="__RefHeading___Toc3482793_2870459653">
            <w:r>
              <w:rPr>
                <w:webHidden/>
                <w:rStyle w:val="IndexLink"/>
                <w:rtl w:val="true"/>
              </w:rPr>
              <w:t>المصادر والمراجع</w:t>
            </w:r>
            <w:r>
              <w:rPr>
                <w:rStyle w:val="IndexLink"/>
                <w:rtl w:val="true"/>
              </w:rPr>
              <w:tab/>
            </w:r>
            <w:r>
              <w:rPr>
                <w:rStyle w:val="IndexLink"/>
              </w:rPr>
              <w:t>159</w:t>
            </w:r>
          </w:hyperlink>
        </w:p>
        <w:p>
          <w:pPr>
            <w:pStyle w:val="Contents2"/>
            <w:tabs>
              <w:tab w:val="clear" w:pos="8743"/>
              <w:tab w:val="right" w:pos="9026" w:leader="dot"/>
            </w:tabs>
            <w:rPr/>
          </w:pPr>
          <w:hyperlink w:anchor="__RefHeading___Toc3482795_2870459653">
            <w:r>
              <w:rPr>
                <w:webHidden/>
                <w:rStyle w:val="IndexLink"/>
                <w:rtl w:val="true"/>
              </w:rPr>
              <w:t xml:space="preserve">دلالة الفعل على الزّمان </w:t>
            </w:r>
            <w:r>
              <w:rPr>
                <w:rStyle w:val="IndexLink"/>
                <w:rtl w:val="true"/>
              </w:rPr>
              <w:t xml:space="preserve">- </w:t>
            </w:r>
            <w:r>
              <w:rPr>
                <w:rStyle w:val="IndexLink"/>
                <w:rtl w:val="true"/>
              </w:rPr>
              <w:t xml:space="preserve">الشّيخ محمّد رضا الأحمديّ </w:t>
            </w:r>
            <w:r>
              <w:rPr>
                <w:rStyle w:val="IndexLink"/>
                <w:rtl w:val="true"/>
              </w:rPr>
              <w:t>(</w:t>
            </w:r>
            <w:r>
              <w:rPr>
                <w:rStyle w:val="IndexLink"/>
                <w:rtl w:val="true"/>
              </w:rPr>
              <w:t>دام عزه</w:t>
            </w:r>
            <w:r>
              <w:rPr>
                <w:rStyle w:val="IndexLink"/>
                <w:rtl w:val="true"/>
              </w:rPr>
              <w:t>)</w:t>
              <w:tab/>
            </w:r>
            <w:r>
              <w:rPr>
                <w:rStyle w:val="IndexLink"/>
              </w:rPr>
              <w:t>176</w:t>
            </w:r>
          </w:hyperlink>
        </w:p>
        <w:p>
          <w:pPr>
            <w:pStyle w:val="Contents3"/>
            <w:tabs>
              <w:tab w:val="clear" w:pos="8459"/>
              <w:tab w:val="right" w:pos="9026" w:leader="dot"/>
            </w:tabs>
            <w:rPr/>
          </w:pPr>
          <w:hyperlink w:anchor="__RefHeading___Toc3482797_2870459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3482799_2870459653">
            <w:r>
              <w:rPr>
                <w:webHidden/>
                <w:rStyle w:val="IndexLink"/>
                <w:rtl w:val="true"/>
              </w:rPr>
              <w:t>تمهيد</w:t>
            </w:r>
            <w:r>
              <w:rPr>
                <w:rStyle w:val="IndexLink"/>
                <w:rtl w:val="true"/>
              </w:rPr>
              <w:tab/>
            </w:r>
            <w:r>
              <w:rPr>
                <w:rStyle w:val="IndexLink"/>
              </w:rPr>
              <w:t>179</w:t>
            </w:r>
          </w:hyperlink>
        </w:p>
        <w:p>
          <w:pPr>
            <w:pStyle w:val="Contents3"/>
            <w:tabs>
              <w:tab w:val="clear" w:pos="8459"/>
              <w:tab w:val="right" w:pos="9026" w:leader="dot"/>
            </w:tabs>
            <w:rPr/>
          </w:pPr>
          <w:hyperlink w:anchor="__RefHeading___Toc3482801_2870459653">
            <w:r>
              <w:rPr>
                <w:webHidden/>
                <w:rStyle w:val="IndexLink"/>
                <w:rtl w:val="true"/>
              </w:rPr>
              <w:t>موقف الأصوليين من مذهب النحاة</w:t>
            </w:r>
            <w:r>
              <w:rPr>
                <w:rStyle w:val="IndexLink"/>
                <w:rtl w:val="true"/>
              </w:rPr>
              <w:tab/>
            </w:r>
            <w:r>
              <w:rPr>
                <w:rStyle w:val="IndexLink"/>
              </w:rPr>
              <w:t>182</w:t>
            </w:r>
          </w:hyperlink>
        </w:p>
        <w:p>
          <w:pPr>
            <w:pStyle w:val="Contents4"/>
            <w:tabs>
              <w:tab w:val="clear" w:pos="8176"/>
              <w:tab w:val="right" w:pos="9026" w:leader="dot"/>
            </w:tabs>
            <w:rPr/>
          </w:pPr>
          <w:hyperlink w:anchor="__RefHeading___Toc3482803_2870459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3482805_2870459653">
            <w:r>
              <w:rPr>
                <w:webHidden/>
                <w:rStyle w:val="IndexLink"/>
                <w:rtl w:val="true"/>
              </w:rPr>
              <w:t>الردّ الأوّل</w:t>
            </w:r>
            <w:r>
              <w:rPr>
                <w:rStyle w:val="IndexLink"/>
                <w:rtl w:val="true"/>
              </w:rPr>
              <w:tab/>
            </w:r>
            <w:r>
              <w:rPr>
                <w:rStyle w:val="IndexLink"/>
              </w:rPr>
              <w:t>182</w:t>
            </w:r>
          </w:hyperlink>
        </w:p>
        <w:p>
          <w:pPr>
            <w:pStyle w:val="Contents4"/>
            <w:tabs>
              <w:tab w:val="clear" w:pos="8176"/>
              <w:tab w:val="right" w:pos="9026" w:leader="dot"/>
            </w:tabs>
            <w:rPr/>
          </w:pPr>
          <w:hyperlink w:anchor="__RefHeading___Toc3482807_2870459653">
            <w:r>
              <w:rPr>
                <w:webHidden/>
                <w:rStyle w:val="IndexLink"/>
                <w:rtl w:val="true"/>
              </w:rPr>
              <w:t>الردّ الثاني</w:t>
            </w:r>
            <w:r>
              <w:rPr>
                <w:rStyle w:val="IndexLink"/>
                <w:rtl w:val="true"/>
              </w:rPr>
              <w:tab/>
            </w:r>
            <w:r>
              <w:rPr>
                <w:rStyle w:val="IndexLink"/>
              </w:rPr>
              <w:t>182</w:t>
            </w:r>
          </w:hyperlink>
        </w:p>
        <w:p>
          <w:pPr>
            <w:pStyle w:val="Contents4"/>
            <w:tabs>
              <w:tab w:val="clear" w:pos="8176"/>
              <w:tab w:val="right" w:pos="9026" w:leader="dot"/>
            </w:tabs>
            <w:rPr/>
          </w:pPr>
          <w:hyperlink w:anchor="__RefHeading___Toc3482809_2870459653">
            <w:r>
              <w:rPr>
                <w:webHidden/>
                <w:rStyle w:val="IndexLink"/>
                <w:rtl w:val="true"/>
              </w:rPr>
              <w:t>الردّ الثالث</w:t>
            </w:r>
            <w:r>
              <w:rPr>
                <w:rStyle w:val="IndexLink"/>
                <w:rtl w:val="true"/>
              </w:rPr>
              <w:tab/>
            </w:r>
            <w:r>
              <w:rPr>
                <w:rStyle w:val="IndexLink"/>
              </w:rPr>
              <w:t>184</w:t>
            </w:r>
          </w:hyperlink>
        </w:p>
        <w:p>
          <w:pPr>
            <w:pStyle w:val="Contents5"/>
            <w:tabs>
              <w:tab w:val="clear" w:pos="7892"/>
              <w:tab w:val="right" w:pos="9026" w:leader="dot"/>
            </w:tabs>
            <w:rPr/>
          </w:pPr>
          <w:hyperlink w:anchor="__RefHeading___Toc3482811_2870459653">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3482813_2870459653">
            <w:r>
              <w:rPr>
                <w:webHidden/>
                <w:rStyle w:val="IndexLink"/>
                <w:rtl w:val="true"/>
              </w:rPr>
              <w:t>النقض الأوّل</w:t>
            </w:r>
            <w:r>
              <w:rPr>
                <w:rStyle w:val="IndexLink"/>
                <w:rtl w:val="true"/>
              </w:rPr>
              <w:tab/>
            </w:r>
            <w:r>
              <w:rPr>
                <w:rStyle w:val="IndexLink"/>
              </w:rPr>
              <w:t>184</w:t>
            </w:r>
          </w:hyperlink>
        </w:p>
        <w:p>
          <w:pPr>
            <w:pStyle w:val="Contents6"/>
            <w:tabs>
              <w:tab w:val="clear" w:pos="7609"/>
              <w:tab w:val="right" w:pos="9026" w:leader="dot"/>
            </w:tabs>
            <w:rPr/>
          </w:pPr>
          <w:hyperlink w:anchor="__RefHeading___Toc3482815_287045965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3482817_2870459653">
            <w:r>
              <w:rPr>
                <w:webHidden/>
                <w:rStyle w:val="IndexLink"/>
                <w:rtl w:val="true"/>
              </w:rPr>
              <w:t>الوجه الأوّل</w:t>
            </w:r>
            <w:r>
              <w:rPr>
                <w:rStyle w:val="IndexLink"/>
                <w:rtl w:val="true"/>
              </w:rPr>
              <w:t xml:space="preserve">: </w:t>
            </w:r>
            <w:r>
              <w:rPr>
                <w:rStyle w:val="IndexLink"/>
                <w:rtl w:val="true"/>
              </w:rPr>
              <w:t xml:space="preserve">ما أفاده المحقّق الأصفهاني </w:t>
            </w:r>
            <w:r>
              <w:rPr>
                <w:rStyle w:val="IndexLink"/>
                <w:rtl w:val="true"/>
              </w:rPr>
              <w:t>(</w:t>
            </w:r>
            <w:r>
              <w:rPr>
                <w:rStyle w:val="IndexLink"/>
                <w:rtl w:val="true"/>
              </w:rPr>
              <w:t>قدس سره</w:t>
            </w:r>
            <w:r>
              <w:rPr>
                <w:rStyle w:val="IndexLink"/>
                <w:rtl w:val="true"/>
              </w:rPr>
              <w:t>)</w:t>
              <w:tab/>
            </w:r>
            <w:r>
              <w:rPr>
                <w:rStyle w:val="IndexLink"/>
              </w:rPr>
              <w:t>185</w:t>
            </w:r>
          </w:hyperlink>
        </w:p>
        <w:p>
          <w:pPr>
            <w:pStyle w:val="Contents6"/>
            <w:tabs>
              <w:tab w:val="clear" w:pos="7609"/>
              <w:tab w:val="right" w:pos="9026" w:leader="dot"/>
            </w:tabs>
            <w:rPr/>
          </w:pPr>
          <w:hyperlink w:anchor="__RefHeading___Toc3482819_2870459653">
            <w:r>
              <w:rPr>
                <w:webHidden/>
                <w:rStyle w:val="IndexLink"/>
                <w:rtl w:val="true"/>
              </w:rPr>
              <w:t>الوجه الآخر</w:t>
            </w:r>
            <w:r>
              <w:rPr>
                <w:rStyle w:val="IndexLink"/>
                <w:rtl w:val="true"/>
              </w:rPr>
              <w:t xml:space="preserve">: </w:t>
            </w:r>
            <w:r>
              <w:rPr>
                <w:rStyle w:val="IndexLink"/>
                <w:rtl w:val="true"/>
              </w:rPr>
              <w:t>ما أفاده بعض المعاصرين</w:t>
            </w:r>
            <w:r>
              <w:rPr>
                <w:rStyle w:val="IndexLink"/>
                <w:rtl w:val="true"/>
              </w:rPr>
              <w:tab/>
            </w:r>
            <w:r>
              <w:rPr>
                <w:rStyle w:val="IndexLink"/>
              </w:rPr>
              <w:t>186</w:t>
            </w:r>
          </w:hyperlink>
        </w:p>
        <w:p>
          <w:pPr>
            <w:pStyle w:val="Contents5"/>
            <w:tabs>
              <w:tab w:val="clear" w:pos="7892"/>
              <w:tab w:val="right" w:pos="9026" w:leader="dot"/>
            </w:tabs>
            <w:rPr/>
          </w:pPr>
          <w:hyperlink w:anchor="__RefHeading___Toc3482821_2870459653">
            <w:r>
              <w:rPr>
                <w:webHidden/>
                <w:rStyle w:val="IndexLink"/>
                <w:rtl w:val="true"/>
              </w:rPr>
              <w:t>النقض الثاني</w:t>
            </w:r>
            <w:r>
              <w:rPr>
                <w:rStyle w:val="IndexLink"/>
                <w:rtl w:val="true"/>
              </w:rPr>
              <w:tab/>
            </w:r>
            <w:r>
              <w:rPr>
                <w:rStyle w:val="IndexLink"/>
              </w:rPr>
              <w:t>199</w:t>
            </w:r>
          </w:hyperlink>
        </w:p>
        <w:p>
          <w:pPr>
            <w:pStyle w:val="Contents6"/>
            <w:tabs>
              <w:tab w:val="clear" w:pos="7609"/>
              <w:tab w:val="right" w:pos="9026" w:leader="dot"/>
            </w:tabs>
            <w:rPr/>
          </w:pPr>
          <w:hyperlink w:anchor="__RefHeading___Toc3482823_2870459653">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3482825_2870459653">
            <w:r>
              <w:rPr>
                <w:webHidden/>
                <w:rStyle w:val="IndexLink"/>
                <w:rtl w:val="true"/>
              </w:rPr>
              <w:t>الوجه الأوّل</w:t>
            </w:r>
            <w:r>
              <w:rPr>
                <w:rStyle w:val="IndexLink"/>
                <w:rtl w:val="true"/>
              </w:rPr>
              <w:tab/>
            </w:r>
            <w:r>
              <w:rPr>
                <w:rStyle w:val="IndexLink"/>
              </w:rPr>
              <w:t>200</w:t>
            </w:r>
          </w:hyperlink>
        </w:p>
        <w:p>
          <w:pPr>
            <w:pStyle w:val="Contents6"/>
            <w:tabs>
              <w:tab w:val="clear" w:pos="7609"/>
              <w:tab w:val="right" w:pos="9026" w:leader="dot"/>
            </w:tabs>
            <w:rPr/>
          </w:pPr>
          <w:hyperlink w:anchor="__RefHeading___Toc3482827_2870459653">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482829_2870459653">
            <w:r>
              <w:rPr>
                <w:webHidden/>
                <w:rStyle w:val="IndexLink"/>
                <w:rtl w:val="true"/>
              </w:rPr>
              <w:t>المقدّمة الأولى</w:t>
            </w:r>
            <w:r>
              <w:rPr>
                <w:rStyle w:val="IndexLink"/>
                <w:rtl w:val="true"/>
              </w:rPr>
              <w:tab/>
            </w:r>
            <w:r>
              <w:rPr>
                <w:rStyle w:val="IndexLink"/>
              </w:rPr>
              <w:t>200</w:t>
            </w:r>
          </w:hyperlink>
        </w:p>
        <w:p>
          <w:pPr>
            <w:pStyle w:val="Contents6"/>
            <w:tabs>
              <w:tab w:val="clear" w:pos="7609"/>
              <w:tab w:val="right" w:pos="9026" w:leader="dot"/>
            </w:tabs>
            <w:rPr/>
          </w:pPr>
          <w:hyperlink w:anchor="__RefHeading___Toc3482831_2870459653">
            <w:r>
              <w:rPr>
                <w:webHidden/>
                <w:rStyle w:val="IndexLink"/>
                <w:rtl w:val="true"/>
              </w:rPr>
              <w:t>المقدمة الثانية</w:t>
            </w:r>
            <w:r>
              <w:rPr>
                <w:rStyle w:val="IndexLink"/>
                <w:rtl w:val="true"/>
              </w:rPr>
              <w:tab/>
            </w:r>
            <w:r>
              <w:rPr>
                <w:rStyle w:val="IndexLink"/>
              </w:rPr>
              <w:t>201</w:t>
            </w:r>
          </w:hyperlink>
        </w:p>
        <w:p>
          <w:pPr>
            <w:pStyle w:val="Contents6"/>
            <w:tabs>
              <w:tab w:val="clear" w:pos="7609"/>
              <w:tab w:val="right" w:pos="9026" w:leader="dot"/>
            </w:tabs>
            <w:rPr/>
          </w:pPr>
          <w:hyperlink w:anchor="__RefHeading___Toc3482833_2870459653">
            <w:r>
              <w:rPr>
                <w:webHidden/>
                <w:rStyle w:val="IndexLink"/>
                <w:rtl w:val="true"/>
              </w:rPr>
              <w:t>المقدمة الثالثة</w:t>
            </w:r>
            <w:r>
              <w:rPr>
                <w:rStyle w:val="IndexLink"/>
                <w:rtl w:val="true"/>
              </w:rPr>
              <w:tab/>
            </w:r>
            <w:r>
              <w:rPr>
                <w:rStyle w:val="IndexLink"/>
              </w:rPr>
              <w:t>202</w:t>
            </w:r>
          </w:hyperlink>
        </w:p>
        <w:p>
          <w:pPr>
            <w:pStyle w:val="Contents6"/>
            <w:tabs>
              <w:tab w:val="clear" w:pos="7609"/>
              <w:tab w:val="right" w:pos="9026" w:leader="dot"/>
            </w:tabs>
            <w:rPr/>
          </w:pPr>
          <w:hyperlink w:anchor="__RefHeading___Toc3482835_2870459653">
            <w:r>
              <w:rPr>
                <w:webHidden/>
                <w:rStyle w:val="IndexLink"/>
                <w:rtl w:val="true"/>
              </w:rPr>
              <w:t>الوجه الآخر</w:t>
            </w:r>
            <w:r>
              <w:rPr>
                <w:rStyle w:val="IndexLink"/>
                <w:rtl w:val="true"/>
              </w:rPr>
              <w:tab/>
            </w:r>
            <w:r>
              <w:rPr>
                <w:rStyle w:val="IndexLink"/>
              </w:rPr>
              <w:t>205</w:t>
            </w:r>
          </w:hyperlink>
        </w:p>
        <w:p>
          <w:pPr>
            <w:pStyle w:val="Contents6"/>
            <w:tabs>
              <w:tab w:val="clear" w:pos="7609"/>
              <w:tab w:val="right" w:pos="9026" w:leader="dot"/>
            </w:tabs>
            <w:rPr/>
          </w:pPr>
          <w:hyperlink w:anchor="__RefHeading___Toc3482837_2870459653">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3482839_2870459653">
            <w:r>
              <w:rPr>
                <w:webHidden/>
                <w:rStyle w:val="IndexLink"/>
                <w:rtl w:val="true"/>
              </w:rPr>
              <w:t>النقطة الأولى</w:t>
            </w:r>
            <w:r>
              <w:rPr>
                <w:rStyle w:val="IndexLink"/>
                <w:rtl w:val="true"/>
              </w:rPr>
              <w:tab/>
            </w:r>
            <w:r>
              <w:rPr>
                <w:rStyle w:val="IndexLink"/>
              </w:rPr>
              <w:t>207</w:t>
            </w:r>
          </w:hyperlink>
        </w:p>
        <w:p>
          <w:pPr>
            <w:pStyle w:val="Contents6"/>
            <w:tabs>
              <w:tab w:val="clear" w:pos="7609"/>
              <w:tab w:val="right" w:pos="9026" w:leader="dot"/>
            </w:tabs>
            <w:rPr/>
          </w:pPr>
          <w:hyperlink w:anchor="__RefHeading___Toc3482841_2870459653">
            <w:r>
              <w:rPr>
                <w:webHidden/>
                <w:rStyle w:val="IndexLink"/>
                <w:rtl w:val="true"/>
              </w:rPr>
              <w:t>النقطة الأخرى</w:t>
            </w:r>
            <w:r>
              <w:rPr>
                <w:rStyle w:val="IndexLink"/>
                <w:rtl w:val="true"/>
              </w:rPr>
              <w:tab/>
            </w:r>
            <w:r>
              <w:rPr>
                <w:rStyle w:val="IndexLink"/>
              </w:rPr>
              <w:t>208</w:t>
            </w:r>
          </w:hyperlink>
        </w:p>
        <w:p>
          <w:pPr>
            <w:pStyle w:val="Contents5"/>
            <w:tabs>
              <w:tab w:val="clear" w:pos="7892"/>
              <w:tab w:val="right" w:pos="9026" w:leader="dot"/>
            </w:tabs>
            <w:rPr/>
          </w:pPr>
          <w:hyperlink w:anchor="__RefHeading___Toc3482843_2870459653">
            <w:r>
              <w:rPr>
                <w:webHidden/>
                <w:rStyle w:val="IndexLink"/>
                <w:rtl w:val="true"/>
              </w:rPr>
              <w:t>النقض الثالث</w:t>
            </w:r>
            <w:r>
              <w:rPr>
                <w:rStyle w:val="IndexLink"/>
                <w:rtl w:val="true"/>
              </w:rPr>
              <w:tab/>
            </w:r>
            <w:r>
              <w:rPr>
                <w:rStyle w:val="IndexLink"/>
              </w:rPr>
              <w:t>212</w:t>
            </w:r>
          </w:hyperlink>
        </w:p>
        <w:p>
          <w:pPr>
            <w:pStyle w:val="Contents5"/>
            <w:tabs>
              <w:tab w:val="clear" w:pos="7892"/>
              <w:tab w:val="right" w:pos="9026" w:leader="dot"/>
            </w:tabs>
            <w:rPr/>
          </w:pPr>
          <w:hyperlink w:anchor="__RefHeading___Toc3482845_2870459653">
            <w:r>
              <w:rPr>
                <w:webHidden/>
                <w:rStyle w:val="IndexLink"/>
                <w:rtl w:val="true"/>
              </w:rPr>
              <w:t>النقض الرابع</w:t>
            </w:r>
            <w:r>
              <w:rPr>
                <w:rStyle w:val="IndexLink"/>
                <w:rtl w:val="true"/>
              </w:rPr>
              <w:tab/>
            </w:r>
            <w:r>
              <w:rPr>
                <w:rStyle w:val="IndexLink"/>
              </w:rPr>
              <w:t>217</w:t>
            </w:r>
          </w:hyperlink>
        </w:p>
        <w:p>
          <w:pPr>
            <w:pStyle w:val="Contents6"/>
            <w:tabs>
              <w:tab w:val="clear" w:pos="7609"/>
              <w:tab w:val="right" w:pos="9026" w:leader="dot"/>
            </w:tabs>
            <w:rPr/>
          </w:pPr>
          <w:hyperlink w:anchor="__RefHeading___Toc3482847_2870459653">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482849_2870459653">
            <w:r>
              <w:rPr>
                <w:webHidden/>
                <w:rStyle w:val="IndexLink"/>
                <w:rtl w:val="true"/>
              </w:rPr>
              <w:t>التفسير الأوّل</w:t>
            </w:r>
            <w:r>
              <w:rPr>
                <w:rStyle w:val="IndexLink"/>
                <w:rtl w:val="true"/>
              </w:rPr>
              <w:tab/>
            </w:r>
            <w:r>
              <w:rPr>
                <w:rStyle w:val="IndexLink"/>
              </w:rPr>
              <w:t>219</w:t>
            </w:r>
          </w:hyperlink>
        </w:p>
        <w:p>
          <w:pPr>
            <w:pStyle w:val="Contents6"/>
            <w:tabs>
              <w:tab w:val="clear" w:pos="7609"/>
              <w:tab w:val="right" w:pos="9026" w:leader="dot"/>
            </w:tabs>
            <w:rPr/>
          </w:pPr>
          <w:hyperlink w:anchor="__RefHeading___Toc3482851_2870459653">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482853_2870459653">
            <w:r>
              <w:rPr>
                <w:webHidden/>
                <w:rStyle w:val="IndexLink"/>
                <w:rtl w:val="true"/>
              </w:rPr>
              <w:t>الوجه الأوّل</w:t>
            </w:r>
            <w:r>
              <w:rPr>
                <w:rStyle w:val="IndexLink"/>
                <w:rtl w:val="true"/>
              </w:rPr>
              <w:tab/>
            </w:r>
            <w:r>
              <w:rPr>
                <w:rStyle w:val="IndexLink"/>
              </w:rPr>
              <w:t>221</w:t>
            </w:r>
          </w:hyperlink>
        </w:p>
        <w:p>
          <w:pPr>
            <w:pStyle w:val="Contents6"/>
            <w:tabs>
              <w:tab w:val="clear" w:pos="7609"/>
              <w:tab w:val="right" w:pos="9026" w:leader="dot"/>
            </w:tabs>
            <w:rPr/>
          </w:pPr>
          <w:hyperlink w:anchor="__RefHeading___Toc3482855_2870459653">
            <w:r>
              <w:rPr>
                <w:webHidden/>
                <w:rStyle w:val="IndexLink"/>
                <w:rtl w:val="true"/>
              </w:rPr>
              <w:t>الوجه الآخر</w:t>
            </w:r>
            <w:r>
              <w:rPr>
                <w:rStyle w:val="IndexLink"/>
                <w:rtl w:val="true"/>
              </w:rPr>
              <w:tab/>
            </w:r>
            <w:r>
              <w:rPr>
                <w:rStyle w:val="IndexLink"/>
              </w:rPr>
              <w:t>222</w:t>
            </w:r>
          </w:hyperlink>
        </w:p>
        <w:p>
          <w:pPr>
            <w:pStyle w:val="Contents6"/>
            <w:tabs>
              <w:tab w:val="clear" w:pos="7609"/>
              <w:tab w:val="right" w:pos="9026" w:leader="dot"/>
            </w:tabs>
            <w:rPr/>
          </w:pPr>
          <w:hyperlink w:anchor="__RefHeading___Toc3482857_2870459653">
            <w:r>
              <w:rPr>
                <w:webHidden/>
                <w:rStyle w:val="IndexLink"/>
                <w:rtl w:val="true"/>
              </w:rPr>
              <w:t>التفسير الثاني</w:t>
            </w:r>
            <w:r>
              <w:rPr>
                <w:rStyle w:val="IndexLink"/>
                <w:rtl w:val="true"/>
              </w:rPr>
              <w:tab/>
            </w:r>
            <w:r>
              <w:rPr>
                <w:rStyle w:val="IndexLink"/>
              </w:rPr>
              <w:t>223</w:t>
            </w:r>
          </w:hyperlink>
        </w:p>
        <w:p>
          <w:pPr>
            <w:pStyle w:val="Contents6"/>
            <w:tabs>
              <w:tab w:val="clear" w:pos="7609"/>
              <w:tab w:val="right" w:pos="9026" w:leader="dot"/>
            </w:tabs>
            <w:rPr/>
          </w:pPr>
          <w:hyperlink w:anchor="__RefHeading___Toc3482859_2870459653">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3482861_2870459653">
            <w:r>
              <w:rPr>
                <w:webHidden/>
                <w:rStyle w:val="IndexLink"/>
                <w:rtl w:val="true"/>
              </w:rPr>
              <w:t>الوجه الأوّل</w:t>
            </w:r>
            <w:r>
              <w:rPr>
                <w:rStyle w:val="IndexLink"/>
                <w:rtl w:val="true"/>
              </w:rPr>
              <w:tab/>
            </w:r>
            <w:r>
              <w:rPr>
                <w:rStyle w:val="IndexLink"/>
              </w:rPr>
              <w:t>223</w:t>
            </w:r>
          </w:hyperlink>
        </w:p>
        <w:p>
          <w:pPr>
            <w:pStyle w:val="Contents6"/>
            <w:tabs>
              <w:tab w:val="clear" w:pos="7609"/>
              <w:tab w:val="right" w:pos="9026" w:leader="dot"/>
            </w:tabs>
            <w:rPr/>
          </w:pPr>
          <w:hyperlink w:anchor="__RefHeading___Toc3482863_2870459653">
            <w:r>
              <w:rPr>
                <w:webHidden/>
                <w:rStyle w:val="IndexLink"/>
                <w:rtl w:val="true"/>
              </w:rPr>
              <w:t>الوجه الآخر</w:t>
            </w:r>
            <w:r>
              <w:rPr>
                <w:rStyle w:val="IndexLink"/>
                <w:rtl w:val="true"/>
              </w:rPr>
              <w:tab/>
            </w:r>
            <w:r>
              <w:rPr>
                <w:rStyle w:val="IndexLink"/>
              </w:rPr>
              <w:t>223</w:t>
            </w:r>
          </w:hyperlink>
        </w:p>
        <w:p>
          <w:pPr>
            <w:pStyle w:val="Contents6"/>
            <w:tabs>
              <w:tab w:val="clear" w:pos="7609"/>
              <w:tab w:val="right" w:pos="9026" w:leader="dot"/>
            </w:tabs>
            <w:rPr/>
          </w:pPr>
          <w:hyperlink w:anchor="__RefHeading___Toc3482865_2870459653">
            <w:r>
              <w:rPr>
                <w:webHidden/>
                <w:rStyle w:val="IndexLink"/>
                <w:rtl w:val="true"/>
              </w:rPr>
              <w:t>التفسير الثالث</w:t>
            </w:r>
            <w:r>
              <w:rPr>
                <w:rStyle w:val="IndexLink"/>
                <w:rtl w:val="true"/>
              </w:rPr>
              <w:tab/>
            </w:r>
            <w:r>
              <w:rPr>
                <w:rStyle w:val="IndexLink"/>
              </w:rPr>
              <w:t>225</w:t>
            </w:r>
          </w:hyperlink>
        </w:p>
        <w:p>
          <w:pPr>
            <w:pStyle w:val="Contents6"/>
            <w:tabs>
              <w:tab w:val="clear" w:pos="7609"/>
              <w:tab w:val="right" w:pos="9026" w:leader="dot"/>
            </w:tabs>
            <w:rPr/>
          </w:pPr>
          <w:hyperlink w:anchor="__RefHeading___Toc3482867_2870459653">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3482869_2870459653">
            <w:r>
              <w:rPr>
                <w:webHidden/>
                <w:rStyle w:val="IndexLink"/>
                <w:rtl w:val="true"/>
              </w:rPr>
              <w:t>الإشكال الأوّل</w:t>
            </w:r>
            <w:r>
              <w:rPr>
                <w:rStyle w:val="IndexLink"/>
                <w:rtl w:val="true"/>
              </w:rPr>
              <w:tab/>
            </w:r>
            <w:r>
              <w:rPr>
                <w:rStyle w:val="IndexLink"/>
              </w:rPr>
              <w:t>228</w:t>
            </w:r>
          </w:hyperlink>
        </w:p>
        <w:p>
          <w:pPr>
            <w:pStyle w:val="Contents6"/>
            <w:tabs>
              <w:tab w:val="clear" w:pos="7609"/>
              <w:tab w:val="right" w:pos="9026" w:leader="dot"/>
            </w:tabs>
            <w:rPr/>
          </w:pPr>
          <w:hyperlink w:anchor="__RefHeading___Toc3482871_2870459653">
            <w:r>
              <w:rPr>
                <w:webHidden/>
                <w:rStyle w:val="IndexLink"/>
                <w:rtl w:val="true"/>
              </w:rPr>
              <w:t>الإشكال الآخر</w:t>
            </w:r>
            <w:r>
              <w:rPr>
                <w:rStyle w:val="IndexLink"/>
                <w:rtl w:val="true"/>
              </w:rPr>
              <w:tab/>
            </w:r>
            <w:r>
              <w:rPr>
                <w:rStyle w:val="IndexLink"/>
              </w:rPr>
              <w:t>229</w:t>
            </w:r>
          </w:hyperlink>
        </w:p>
        <w:p>
          <w:pPr>
            <w:pStyle w:val="Contents3"/>
            <w:tabs>
              <w:tab w:val="clear" w:pos="8459"/>
              <w:tab w:val="right" w:pos="9026" w:leader="dot"/>
            </w:tabs>
            <w:rPr/>
          </w:pPr>
          <w:hyperlink w:anchor="__RefHeading___Toc3482873_2870459653">
            <w:r>
              <w:rPr>
                <w:webHidden/>
                <w:rStyle w:val="IndexLink"/>
                <w:rtl w:val="true"/>
              </w:rPr>
              <w:t>مصادر البحث</w:t>
            </w:r>
            <w:r>
              <w:rPr>
                <w:rStyle w:val="IndexLink"/>
                <w:rtl w:val="true"/>
              </w:rPr>
              <w:tab/>
            </w:r>
            <w:r>
              <w:rPr>
                <w:rStyle w:val="IndexLink"/>
              </w:rPr>
              <w:t>232</w:t>
            </w:r>
          </w:hyperlink>
        </w:p>
        <w:p>
          <w:pPr>
            <w:pStyle w:val="Contents2"/>
            <w:tabs>
              <w:tab w:val="clear" w:pos="8743"/>
              <w:tab w:val="right" w:pos="9026" w:leader="dot"/>
            </w:tabs>
            <w:rPr/>
          </w:pPr>
          <w:hyperlink w:anchor="__RefHeading___Toc3482875_2870459653">
            <w:r>
              <w:rPr>
                <w:webHidden/>
                <w:rStyle w:val="IndexLink"/>
                <w:rtl w:val="true"/>
              </w:rPr>
              <w:t xml:space="preserve">القرائن المعنويّة العامّة وأثرها في الدّلالة </w:t>
            </w:r>
            <w:r>
              <w:rPr>
                <w:rStyle w:val="IndexLink"/>
                <w:rtl w:val="true"/>
              </w:rPr>
              <w:t>(</w:t>
            </w:r>
            <w:r>
              <w:rPr>
                <w:rStyle w:val="IndexLink"/>
                <w:rtl w:val="true"/>
              </w:rPr>
              <w:t>مناسبة الحكم والموضوع أنموذجاً</w:t>
            </w:r>
            <w:r>
              <w:rPr>
                <w:rStyle w:val="IndexLink"/>
                <w:rtl w:val="true"/>
              </w:rPr>
              <w:t>) (</w:t>
            </w:r>
            <w:r>
              <w:rPr>
                <w:rStyle w:val="IndexLink"/>
                <w:rtl w:val="true"/>
              </w:rPr>
              <w:t>الحلقة الثانیة</w:t>
            </w:r>
            <w:r>
              <w:rPr>
                <w:rStyle w:val="IndexLink"/>
                <w:rtl w:val="true"/>
              </w:rPr>
              <w:t xml:space="preserve">) - </w:t>
            </w:r>
            <w:r>
              <w:rPr>
                <w:rStyle w:val="IndexLink"/>
                <w:rtl w:val="true"/>
              </w:rPr>
              <w:t xml:space="preserve">الشّيخ عليّ الجزيريّ </w:t>
            </w:r>
            <w:r>
              <w:rPr>
                <w:rStyle w:val="IndexLink"/>
                <w:rtl w:val="true"/>
              </w:rPr>
              <w:t>(</w:t>
            </w:r>
            <w:r>
              <w:rPr>
                <w:rStyle w:val="IndexLink"/>
                <w:rtl w:val="true"/>
              </w:rPr>
              <w:t>دام عزه</w:t>
            </w:r>
            <w:r>
              <w:rPr>
                <w:rStyle w:val="IndexLink"/>
                <w:rtl w:val="true"/>
              </w:rPr>
              <w:t>)</w:t>
              <w:tab/>
            </w:r>
            <w:r>
              <w:rPr>
                <w:rStyle w:val="IndexLink"/>
              </w:rPr>
              <w:t>236</w:t>
            </w:r>
          </w:hyperlink>
        </w:p>
        <w:p>
          <w:pPr>
            <w:pStyle w:val="Contents3"/>
            <w:tabs>
              <w:tab w:val="clear" w:pos="8459"/>
              <w:tab w:val="right" w:pos="9026" w:leader="dot"/>
            </w:tabs>
            <w:rPr/>
          </w:pPr>
          <w:hyperlink w:anchor="__RefHeading___Toc3482877_2870459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3482879_2870459653">
            <w:r>
              <w:rPr>
                <w:webHidden/>
                <w:rStyle w:val="IndexLink"/>
                <w:rtl w:val="true"/>
              </w:rPr>
              <w:t>الجهة الأولى</w:t>
            </w:r>
            <w:r>
              <w:rPr>
                <w:rStyle w:val="IndexLink"/>
                <w:rtl w:val="true"/>
              </w:rPr>
              <w:t xml:space="preserve">: </w:t>
            </w:r>
            <w:r>
              <w:rPr>
                <w:rStyle w:val="IndexLink"/>
                <w:rtl w:val="true"/>
              </w:rPr>
              <w:t>في الدليل على اعتبار مناسبة الحكم والموضوع ومقدار حجّيتها وموارد جريانها</w:t>
            </w:r>
            <w:r>
              <w:rPr>
                <w:rStyle w:val="IndexLink"/>
                <w:rtl w:val="true"/>
              </w:rPr>
              <w:tab/>
            </w:r>
            <w:r>
              <w:rPr>
                <w:rStyle w:val="IndexLink"/>
              </w:rPr>
              <w:t>239</w:t>
            </w:r>
          </w:hyperlink>
        </w:p>
        <w:p>
          <w:pPr>
            <w:pStyle w:val="Contents3"/>
            <w:tabs>
              <w:tab w:val="clear" w:pos="8459"/>
              <w:tab w:val="right" w:pos="9026" w:leader="dot"/>
            </w:tabs>
            <w:rPr/>
          </w:pPr>
          <w:hyperlink w:anchor="__RefHeading___Toc3482881_2870459653">
            <w:r>
              <w:rPr>
                <w:webHidden/>
                <w:rStyle w:val="IndexLink"/>
                <w:rtl w:val="true"/>
              </w:rPr>
              <w:t>الجهة الثانية</w:t>
            </w:r>
            <w:r>
              <w:rPr>
                <w:rStyle w:val="IndexLink"/>
                <w:rtl w:val="true"/>
              </w:rPr>
              <w:t xml:space="preserve">: </w:t>
            </w:r>
            <w:r>
              <w:rPr>
                <w:rStyle w:val="IndexLink"/>
                <w:rtl w:val="true"/>
              </w:rPr>
              <w:t>في الفرق بينها وبين القياس</w:t>
            </w:r>
            <w:r>
              <w:rPr>
                <w:rStyle w:val="IndexLink"/>
                <w:rtl w:val="true"/>
              </w:rPr>
              <w:tab/>
            </w:r>
            <w:r>
              <w:rPr>
                <w:rStyle w:val="IndexLink"/>
              </w:rPr>
              <w:t>243</w:t>
            </w:r>
          </w:hyperlink>
        </w:p>
        <w:p>
          <w:pPr>
            <w:pStyle w:val="Contents3"/>
            <w:tabs>
              <w:tab w:val="clear" w:pos="8459"/>
              <w:tab w:val="right" w:pos="9026" w:leader="dot"/>
            </w:tabs>
            <w:rPr/>
          </w:pPr>
          <w:hyperlink w:anchor="__RefHeading___Toc3482883_2870459653">
            <w:r>
              <w:rPr>
                <w:webHidden/>
                <w:rStyle w:val="IndexLink"/>
                <w:rtl w:val="true"/>
              </w:rPr>
              <w:t>الجهة الثالثة</w:t>
            </w:r>
            <w:r>
              <w:rPr>
                <w:rStyle w:val="IndexLink"/>
                <w:rtl w:val="true"/>
              </w:rPr>
              <w:t xml:space="preserve">: </w:t>
            </w:r>
            <w:r>
              <w:rPr>
                <w:rStyle w:val="IndexLink"/>
                <w:rtl w:val="true"/>
              </w:rPr>
              <w:t>موارد اعتماد العلماء على مناسبة الحكم والموضوع</w:t>
            </w:r>
            <w:r>
              <w:rPr>
                <w:rStyle w:val="IndexLink"/>
                <w:rtl w:val="true"/>
              </w:rPr>
              <w:tab/>
            </w:r>
            <w:r>
              <w:rPr>
                <w:rStyle w:val="IndexLink"/>
              </w:rPr>
              <w:t>245</w:t>
            </w:r>
          </w:hyperlink>
        </w:p>
        <w:p>
          <w:pPr>
            <w:pStyle w:val="Contents4"/>
            <w:tabs>
              <w:tab w:val="clear" w:pos="8176"/>
              <w:tab w:val="right" w:pos="9026" w:leader="dot"/>
            </w:tabs>
            <w:rPr/>
          </w:pPr>
          <w:hyperlink w:anchor="__RefHeading___Toc3482885_2870459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482887_2870459653">
            <w:r>
              <w:rPr>
                <w:webHidden/>
                <w:rStyle w:val="IndexLink"/>
                <w:rtl w:val="true"/>
              </w:rPr>
              <w:t>الأوّل</w:t>
            </w:r>
            <w:r>
              <w:rPr>
                <w:rStyle w:val="IndexLink"/>
                <w:rtl w:val="true"/>
              </w:rPr>
              <w:t xml:space="preserve">: </w:t>
            </w:r>
            <w:r>
              <w:rPr>
                <w:rStyle w:val="IndexLink"/>
                <w:rtl w:val="true"/>
              </w:rPr>
              <w:t xml:space="preserve">موارد اعتماد المحقّق آغا رضا الهمداني </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1322</w:t>
            </w:r>
            <w:r>
              <w:rPr>
                <w:rStyle w:val="IndexLink"/>
                <w:rtl w:val="true"/>
              </w:rPr>
              <w:t>ﻫ</w:t>
            </w:r>
            <w:r>
              <w:rPr>
                <w:rStyle w:val="IndexLink"/>
                <w:rtl w:val="true"/>
              </w:rPr>
              <w:t>)</w:t>
              <w:tab/>
            </w:r>
            <w:r>
              <w:rPr>
                <w:rStyle w:val="IndexLink"/>
              </w:rPr>
              <w:t>245</w:t>
            </w:r>
          </w:hyperlink>
        </w:p>
        <w:p>
          <w:pPr>
            <w:pStyle w:val="Contents5"/>
            <w:tabs>
              <w:tab w:val="clear" w:pos="7892"/>
              <w:tab w:val="right" w:pos="9026" w:leader="dot"/>
            </w:tabs>
            <w:rPr/>
          </w:pPr>
          <w:hyperlink w:anchor="__RefHeading___Toc3482889_2870459653">
            <w:r>
              <w:rPr>
                <w:webHidden/>
                <w:rStyle w:val="IndexLink"/>
                <w:rtl w:val="true"/>
              </w:rPr>
              <w:t>المورد الأوّل</w:t>
            </w:r>
            <w:r>
              <w:rPr>
                <w:rStyle w:val="IndexLink"/>
                <w:rtl w:val="true"/>
              </w:rPr>
              <w:tab/>
            </w:r>
            <w:r>
              <w:rPr>
                <w:rStyle w:val="IndexLink"/>
              </w:rPr>
              <w:t>245</w:t>
            </w:r>
          </w:hyperlink>
        </w:p>
        <w:p>
          <w:pPr>
            <w:pStyle w:val="Contents5"/>
            <w:tabs>
              <w:tab w:val="clear" w:pos="7892"/>
              <w:tab w:val="right" w:pos="9026" w:leader="dot"/>
            </w:tabs>
            <w:rPr/>
          </w:pPr>
          <w:hyperlink w:anchor="__RefHeading___Toc3482891_2870459653">
            <w:r>
              <w:rPr>
                <w:webHidden/>
                <w:rStyle w:val="IndexLink"/>
                <w:rtl w:val="true"/>
              </w:rPr>
              <w:t>المورد الثاني</w:t>
            </w:r>
            <w:r>
              <w:rPr>
                <w:rStyle w:val="IndexLink"/>
                <w:rtl w:val="true"/>
              </w:rPr>
              <w:tab/>
            </w:r>
            <w:r>
              <w:rPr>
                <w:rStyle w:val="IndexLink"/>
              </w:rPr>
              <w:t>246</w:t>
            </w:r>
          </w:hyperlink>
        </w:p>
        <w:p>
          <w:pPr>
            <w:pStyle w:val="Contents5"/>
            <w:tabs>
              <w:tab w:val="clear" w:pos="7892"/>
              <w:tab w:val="right" w:pos="9026" w:leader="dot"/>
            </w:tabs>
            <w:rPr/>
          </w:pPr>
          <w:hyperlink w:anchor="__RefHeading___Toc3482893_2870459653">
            <w:r>
              <w:rPr>
                <w:webHidden/>
                <w:rStyle w:val="IndexLink"/>
                <w:rtl w:val="true"/>
              </w:rPr>
              <w:t>المورد الثالث</w:t>
            </w:r>
            <w:r>
              <w:rPr>
                <w:rStyle w:val="IndexLink"/>
                <w:rtl w:val="true"/>
              </w:rPr>
              <w:tab/>
            </w:r>
            <w:r>
              <w:rPr>
                <w:rStyle w:val="IndexLink"/>
              </w:rPr>
              <w:t>247</w:t>
            </w:r>
          </w:hyperlink>
        </w:p>
        <w:p>
          <w:pPr>
            <w:pStyle w:val="Contents5"/>
            <w:tabs>
              <w:tab w:val="clear" w:pos="7892"/>
              <w:tab w:val="right" w:pos="9026" w:leader="dot"/>
            </w:tabs>
            <w:rPr/>
          </w:pPr>
          <w:hyperlink w:anchor="__RefHeading___Toc3482895_2870459653">
            <w:r>
              <w:rPr>
                <w:webHidden/>
                <w:rStyle w:val="IndexLink"/>
                <w:rtl w:val="true"/>
              </w:rPr>
              <w:t>المورد الرابع</w:t>
            </w:r>
            <w:r>
              <w:rPr>
                <w:rStyle w:val="IndexLink"/>
                <w:rtl w:val="true"/>
              </w:rPr>
              <w:tab/>
            </w:r>
            <w:r>
              <w:rPr>
                <w:rStyle w:val="IndexLink"/>
              </w:rPr>
              <w:t>248</w:t>
            </w:r>
          </w:hyperlink>
        </w:p>
        <w:p>
          <w:pPr>
            <w:pStyle w:val="Contents5"/>
            <w:tabs>
              <w:tab w:val="clear" w:pos="7892"/>
              <w:tab w:val="right" w:pos="9026" w:leader="dot"/>
            </w:tabs>
            <w:rPr/>
          </w:pPr>
          <w:hyperlink w:anchor="__RefHeading___Toc3482897_2870459653">
            <w:r>
              <w:rPr>
                <w:webHidden/>
                <w:rStyle w:val="IndexLink"/>
                <w:rtl w:val="true"/>
              </w:rPr>
              <w:t>المورد الخامس</w:t>
            </w:r>
            <w:r>
              <w:rPr>
                <w:rStyle w:val="IndexLink"/>
                <w:rtl w:val="true"/>
              </w:rPr>
              <w:tab/>
            </w:r>
            <w:r>
              <w:rPr>
                <w:rStyle w:val="IndexLink"/>
              </w:rPr>
              <w:t>248</w:t>
            </w:r>
          </w:hyperlink>
        </w:p>
        <w:p>
          <w:pPr>
            <w:pStyle w:val="Contents5"/>
            <w:tabs>
              <w:tab w:val="clear" w:pos="7892"/>
              <w:tab w:val="right" w:pos="9026" w:leader="dot"/>
            </w:tabs>
            <w:rPr/>
          </w:pPr>
          <w:hyperlink w:anchor="__RefHeading___Toc3482899_2870459653">
            <w:r>
              <w:rPr>
                <w:webHidden/>
                <w:rStyle w:val="IndexLink"/>
                <w:rtl w:val="true"/>
              </w:rPr>
              <w:t>المورد السادس</w:t>
            </w:r>
            <w:r>
              <w:rPr>
                <w:rStyle w:val="IndexLink"/>
                <w:rtl w:val="true"/>
              </w:rPr>
              <w:tab/>
            </w:r>
            <w:r>
              <w:rPr>
                <w:rStyle w:val="IndexLink"/>
              </w:rPr>
              <w:t>249</w:t>
            </w:r>
          </w:hyperlink>
        </w:p>
        <w:p>
          <w:pPr>
            <w:pStyle w:val="Contents4"/>
            <w:tabs>
              <w:tab w:val="clear" w:pos="8176"/>
              <w:tab w:val="right" w:pos="9026" w:leader="dot"/>
            </w:tabs>
            <w:rPr/>
          </w:pPr>
          <w:hyperlink w:anchor="__RefHeading___Toc3482901_2870459653">
            <w:r>
              <w:rPr>
                <w:webHidden/>
                <w:rStyle w:val="IndexLink"/>
                <w:rtl w:val="true"/>
              </w:rPr>
              <w:t>الثاني</w:t>
            </w:r>
            <w:r>
              <w:rPr>
                <w:rStyle w:val="IndexLink"/>
                <w:rtl w:val="true"/>
              </w:rPr>
              <w:t xml:space="preserve">: </w:t>
            </w:r>
            <w:r>
              <w:rPr>
                <w:rStyle w:val="IndexLink"/>
                <w:rtl w:val="true"/>
              </w:rPr>
              <w:t xml:space="preserve">موارد اعتماد المحقّق النائيني </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1355</w:t>
            </w:r>
            <w:r>
              <w:rPr>
                <w:rStyle w:val="IndexLink"/>
                <w:rtl w:val="true"/>
              </w:rPr>
              <w:t>ﻫ</w:t>
            </w:r>
            <w:r>
              <w:rPr>
                <w:rStyle w:val="IndexLink"/>
                <w:rtl w:val="true"/>
              </w:rPr>
              <w:t>)</w:t>
              <w:tab/>
            </w:r>
            <w:r>
              <w:rPr>
                <w:rStyle w:val="IndexLink"/>
              </w:rPr>
              <w:t>250</w:t>
            </w:r>
          </w:hyperlink>
        </w:p>
        <w:p>
          <w:pPr>
            <w:pStyle w:val="Contents5"/>
            <w:tabs>
              <w:tab w:val="clear" w:pos="7892"/>
              <w:tab w:val="right" w:pos="9026" w:leader="dot"/>
            </w:tabs>
            <w:rPr/>
          </w:pPr>
          <w:hyperlink w:anchor="__RefHeading___Toc3482903_2870459653">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482905_2870459653">
            <w:r>
              <w:rPr>
                <w:webHidden/>
                <w:rStyle w:val="IndexLink"/>
                <w:rtl w:val="true"/>
              </w:rPr>
              <w:t>الأمر الأوّل</w:t>
            </w:r>
            <w:r>
              <w:rPr>
                <w:rStyle w:val="IndexLink"/>
                <w:rtl w:val="true"/>
              </w:rPr>
              <w:tab/>
            </w:r>
            <w:r>
              <w:rPr>
                <w:rStyle w:val="IndexLink"/>
              </w:rPr>
              <w:t>252</w:t>
            </w:r>
          </w:hyperlink>
        </w:p>
        <w:p>
          <w:pPr>
            <w:pStyle w:val="Contents5"/>
            <w:tabs>
              <w:tab w:val="clear" w:pos="7892"/>
              <w:tab w:val="right" w:pos="9026" w:leader="dot"/>
            </w:tabs>
            <w:rPr/>
          </w:pPr>
          <w:hyperlink w:anchor="__RefHeading___Toc3482907_2870459653">
            <w:r>
              <w:rPr>
                <w:webHidden/>
                <w:rStyle w:val="IndexLink"/>
                <w:rtl w:val="true"/>
              </w:rPr>
              <w:t>الأمر الثاني</w:t>
            </w:r>
            <w:r>
              <w:rPr>
                <w:rStyle w:val="IndexLink"/>
                <w:rtl w:val="true"/>
              </w:rPr>
              <w:tab/>
            </w:r>
            <w:r>
              <w:rPr>
                <w:rStyle w:val="IndexLink"/>
              </w:rPr>
              <w:t>253</w:t>
            </w:r>
          </w:hyperlink>
        </w:p>
        <w:p>
          <w:pPr>
            <w:pStyle w:val="Contents5"/>
            <w:tabs>
              <w:tab w:val="clear" w:pos="7892"/>
              <w:tab w:val="right" w:pos="9026" w:leader="dot"/>
            </w:tabs>
            <w:rPr/>
          </w:pPr>
          <w:hyperlink w:anchor="__RefHeading___Toc3482909_2870459653">
            <w:r>
              <w:rPr>
                <w:webHidden/>
                <w:rStyle w:val="IndexLink"/>
                <w:rtl w:val="true"/>
              </w:rPr>
              <w:t>الأمر الثالث</w:t>
            </w:r>
            <w:r>
              <w:rPr>
                <w:rStyle w:val="IndexLink"/>
                <w:rtl w:val="true"/>
              </w:rPr>
              <w:tab/>
            </w:r>
            <w:r>
              <w:rPr>
                <w:rStyle w:val="IndexLink"/>
              </w:rPr>
              <w:t>254</w:t>
            </w:r>
          </w:hyperlink>
        </w:p>
        <w:p>
          <w:pPr>
            <w:pStyle w:val="Contents6"/>
            <w:tabs>
              <w:tab w:val="clear" w:pos="7609"/>
              <w:tab w:val="right" w:pos="9026" w:leader="dot"/>
            </w:tabs>
            <w:rPr/>
          </w:pPr>
          <w:hyperlink w:anchor="__RefHeading___Toc3482911_2870459653">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482913_2870459653">
            <w:r>
              <w:rPr>
                <w:webHidden/>
                <w:rStyle w:val="IndexLink"/>
                <w:rtl w:val="true"/>
              </w:rPr>
              <w:t>المورد الأوّل</w:t>
            </w:r>
            <w:r>
              <w:rPr>
                <w:rStyle w:val="IndexLink"/>
                <w:rtl w:val="true"/>
              </w:rPr>
              <w:tab/>
            </w:r>
            <w:r>
              <w:rPr>
                <w:rStyle w:val="IndexLink"/>
              </w:rPr>
              <w:t>254</w:t>
            </w:r>
          </w:hyperlink>
        </w:p>
        <w:p>
          <w:pPr>
            <w:pStyle w:val="Contents6"/>
            <w:tabs>
              <w:tab w:val="clear" w:pos="7609"/>
              <w:tab w:val="right" w:pos="9026" w:leader="dot"/>
            </w:tabs>
            <w:rPr/>
          </w:pPr>
          <w:hyperlink w:anchor="__RefHeading___Toc3482915_2870459653">
            <w:r>
              <w:rPr>
                <w:webHidden/>
                <w:rStyle w:val="IndexLink"/>
                <w:rtl w:val="true"/>
              </w:rPr>
              <w:t>المورد الثاني</w:t>
            </w:r>
            <w:r>
              <w:rPr>
                <w:rStyle w:val="IndexLink"/>
                <w:rtl w:val="true"/>
              </w:rPr>
              <w:tab/>
            </w:r>
            <w:r>
              <w:rPr>
                <w:rStyle w:val="IndexLink"/>
              </w:rPr>
              <w:t>255</w:t>
            </w:r>
          </w:hyperlink>
        </w:p>
        <w:p>
          <w:pPr>
            <w:pStyle w:val="Contents6"/>
            <w:tabs>
              <w:tab w:val="clear" w:pos="7609"/>
              <w:tab w:val="right" w:pos="9026" w:leader="dot"/>
            </w:tabs>
            <w:rPr/>
          </w:pPr>
          <w:hyperlink w:anchor="__RefHeading___Toc3482917_2870459653">
            <w:r>
              <w:rPr>
                <w:webHidden/>
                <w:rStyle w:val="IndexLink"/>
                <w:rtl w:val="true"/>
              </w:rPr>
              <w:t>المورد الثالث</w:t>
            </w:r>
            <w:r>
              <w:rPr>
                <w:rStyle w:val="IndexLink"/>
                <w:rtl w:val="true"/>
              </w:rPr>
              <w:tab/>
            </w:r>
            <w:r>
              <w:rPr>
                <w:rStyle w:val="IndexLink"/>
              </w:rPr>
              <w:t>256</w:t>
            </w:r>
          </w:hyperlink>
        </w:p>
        <w:p>
          <w:pPr>
            <w:pStyle w:val="Contents6"/>
            <w:tabs>
              <w:tab w:val="clear" w:pos="7609"/>
              <w:tab w:val="right" w:pos="9026" w:leader="dot"/>
            </w:tabs>
            <w:rPr/>
          </w:pPr>
          <w:hyperlink w:anchor="__RefHeading___Toc3482919_2870459653">
            <w:r>
              <w:rPr>
                <w:webHidden/>
                <w:rStyle w:val="IndexLink"/>
                <w:rtl w:val="true"/>
              </w:rPr>
              <w:t>المورد الرابع</w:t>
            </w:r>
            <w:r>
              <w:rPr>
                <w:rStyle w:val="IndexLink"/>
                <w:rtl w:val="true"/>
              </w:rPr>
              <w:tab/>
            </w:r>
            <w:r>
              <w:rPr>
                <w:rStyle w:val="IndexLink"/>
              </w:rPr>
              <w:t>256</w:t>
            </w:r>
          </w:hyperlink>
        </w:p>
        <w:p>
          <w:pPr>
            <w:pStyle w:val="Contents6"/>
            <w:tabs>
              <w:tab w:val="clear" w:pos="7609"/>
              <w:tab w:val="right" w:pos="9026" w:leader="dot"/>
            </w:tabs>
            <w:rPr/>
          </w:pPr>
          <w:hyperlink w:anchor="__RefHeading___Toc3482921_2870459653">
            <w:r>
              <w:rPr>
                <w:webHidden/>
                <w:rStyle w:val="IndexLink"/>
                <w:rtl w:val="true"/>
              </w:rPr>
              <w:t>المورد الخامس</w:t>
            </w:r>
            <w:r>
              <w:rPr>
                <w:rStyle w:val="IndexLink"/>
                <w:rtl w:val="true"/>
              </w:rPr>
              <w:tab/>
            </w:r>
            <w:r>
              <w:rPr>
                <w:rStyle w:val="IndexLink"/>
              </w:rPr>
              <w:t>258</w:t>
            </w:r>
          </w:hyperlink>
        </w:p>
        <w:p>
          <w:pPr>
            <w:pStyle w:val="Contents6"/>
            <w:tabs>
              <w:tab w:val="clear" w:pos="7609"/>
              <w:tab w:val="right" w:pos="9026" w:leader="dot"/>
            </w:tabs>
            <w:rPr/>
          </w:pPr>
          <w:hyperlink w:anchor="__RefHeading___Toc3482923_2870459653">
            <w:r>
              <w:rPr>
                <w:webHidden/>
                <w:rStyle w:val="IndexLink"/>
                <w:rtl w:val="true"/>
              </w:rPr>
              <w:t>المورد السادس</w:t>
            </w:r>
            <w:r>
              <w:rPr>
                <w:rStyle w:val="IndexLink"/>
                <w:rtl w:val="true"/>
              </w:rPr>
              <w:tab/>
            </w:r>
            <w:r>
              <w:rPr>
                <w:rStyle w:val="IndexLink"/>
              </w:rPr>
              <w:t>260</w:t>
            </w:r>
          </w:hyperlink>
        </w:p>
        <w:p>
          <w:pPr>
            <w:pStyle w:val="Contents6"/>
            <w:tabs>
              <w:tab w:val="clear" w:pos="7609"/>
              <w:tab w:val="right" w:pos="9026" w:leader="dot"/>
            </w:tabs>
            <w:rPr/>
          </w:pPr>
          <w:hyperlink w:anchor="__RefHeading___Toc3482925_2870459653">
            <w:r>
              <w:rPr>
                <w:webHidden/>
                <w:rStyle w:val="IndexLink"/>
                <w:rtl w:val="true"/>
              </w:rPr>
              <w:t>المورد السابع</w:t>
            </w:r>
            <w:r>
              <w:rPr>
                <w:rStyle w:val="IndexLink"/>
                <w:rtl w:val="true"/>
              </w:rPr>
              <w:tab/>
            </w:r>
            <w:r>
              <w:rPr>
                <w:rStyle w:val="IndexLink"/>
              </w:rPr>
              <w:t>262</w:t>
            </w:r>
          </w:hyperlink>
        </w:p>
        <w:p>
          <w:pPr>
            <w:pStyle w:val="Contents6"/>
            <w:tabs>
              <w:tab w:val="clear" w:pos="7609"/>
              <w:tab w:val="right" w:pos="9026" w:leader="dot"/>
            </w:tabs>
            <w:rPr/>
          </w:pPr>
          <w:hyperlink w:anchor="__RefHeading___Toc3482927_2870459653">
            <w:r>
              <w:rPr>
                <w:webHidden/>
                <w:rStyle w:val="IndexLink"/>
                <w:rtl w:val="true"/>
              </w:rPr>
              <w:t>المورد الثامن</w:t>
            </w:r>
            <w:r>
              <w:rPr>
                <w:rStyle w:val="IndexLink"/>
                <w:rtl w:val="true"/>
              </w:rPr>
              <w:tab/>
            </w:r>
            <w:r>
              <w:rPr>
                <w:rStyle w:val="IndexLink"/>
              </w:rPr>
              <w:t>262</w:t>
            </w:r>
          </w:hyperlink>
        </w:p>
        <w:p>
          <w:pPr>
            <w:pStyle w:val="Contents6"/>
            <w:tabs>
              <w:tab w:val="clear" w:pos="7609"/>
              <w:tab w:val="right" w:pos="9026" w:leader="dot"/>
            </w:tabs>
            <w:rPr/>
          </w:pPr>
          <w:hyperlink w:anchor="__RefHeading___Toc3482929_2870459653">
            <w:r>
              <w:rPr>
                <w:webHidden/>
                <w:rStyle w:val="IndexLink"/>
                <w:rtl w:val="true"/>
              </w:rPr>
              <w:t>المورد التاسع</w:t>
            </w:r>
            <w:r>
              <w:rPr>
                <w:rStyle w:val="IndexLink"/>
                <w:rtl w:val="true"/>
              </w:rPr>
              <w:tab/>
            </w:r>
            <w:r>
              <w:rPr>
                <w:rStyle w:val="IndexLink"/>
              </w:rPr>
              <w:t>262</w:t>
            </w:r>
          </w:hyperlink>
        </w:p>
        <w:p>
          <w:pPr>
            <w:pStyle w:val="Contents4"/>
            <w:tabs>
              <w:tab w:val="clear" w:pos="8176"/>
              <w:tab w:val="right" w:pos="9026" w:leader="dot"/>
            </w:tabs>
            <w:rPr/>
          </w:pPr>
          <w:hyperlink w:anchor="__RefHeading___Toc3482931_2870459653">
            <w:r>
              <w:rPr>
                <w:webHidden/>
                <w:rStyle w:val="IndexLink"/>
                <w:rtl w:val="true"/>
              </w:rPr>
              <w:t>الثالث</w:t>
            </w:r>
            <w:r>
              <w:rPr>
                <w:rStyle w:val="IndexLink"/>
                <w:rtl w:val="true"/>
              </w:rPr>
              <w:t xml:space="preserve">: </w:t>
            </w:r>
            <w:r>
              <w:rPr>
                <w:rStyle w:val="IndexLink"/>
                <w:rtl w:val="true"/>
              </w:rPr>
              <w:t xml:space="preserve">موارد اعتماد المحقّق الحائري </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1355</w:t>
            </w:r>
            <w:r>
              <w:rPr>
                <w:rStyle w:val="IndexLink"/>
                <w:rtl w:val="true"/>
              </w:rPr>
              <w:t>ﻫ</w:t>
            </w:r>
            <w:r>
              <w:rPr>
                <w:rStyle w:val="IndexLink"/>
                <w:rtl w:val="true"/>
              </w:rPr>
              <w:t>)</w:t>
              <w:tab/>
            </w:r>
            <w:r>
              <w:rPr>
                <w:rStyle w:val="IndexLink"/>
              </w:rPr>
              <w:t>263</w:t>
            </w:r>
          </w:hyperlink>
        </w:p>
        <w:p>
          <w:pPr>
            <w:pStyle w:val="Contents5"/>
            <w:tabs>
              <w:tab w:val="clear" w:pos="7892"/>
              <w:tab w:val="right" w:pos="9026" w:leader="dot"/>
            </w:tabs>
            <w:rPr/>
          </w:pPr>
          <w:hyperlink w:anchor="__RefHeading___Toc3482933_2870459653">
            <w:r>
              <w:rPr>
                <w:webHidden/>
                <w:rStyle w:val="IndexLink"/>
                <w:rtl w:val="true"/>
              </w:rPr>
              <w:t>المورد الأول</w:t>
            </w:r>
            <w:r>
              <w:rPr>
                <w:rStyle w:val="IndexLink"/>
                <w:rtl w:val="true"/>
              </w:rPr>
              <w:tab/>
            </w:r>
            <w:r>
              <w:rPr>
                <w:rStyle w:val="IndexLink"/>
              </w:rPr>
              <w:t>263</w:t>
            </w:r>
          </w:hyperlink>
        </w:p>
        <w:p>
          <w:pPr>
            <w:pStyle w:val="Contents5"/>
            <w:tabs>
              <w:tab w:val="clear" w:pos="7892"/>
              <w:tab w:val="right" w:pos="9026" w:leader="dot"/>
            </w:tabs>
            <w:rPr/>
          </w:pPr>
          <w:hyperlink w:anchor="__RefHeading___Toc3482935_2870459653">
            <w:r>
              <w:rPr>
                <w:webHidden/>
                <w:rStyle w:val="IndexLink"/>
                <w:rtl w:val="true"/>
              </w:rPr>
              <w:t>المورد الثاني</w:t>
            </w:r>
            <w:r>
              <w:rPr>
                <w:rStyle w:val="IndexLink"/>
                <w:rtl w:val="true"/>
              </w:rPr>
              <w:tab/>
            </w:r>
            <w:r>
              <w:rPr>
                <w:rStyle w:val="IndexLink"/>
              </w:rPr>
              <w:t>264</w:t>
            </w:r>
          </w:hyperlink>
        </w:p>
        <w:p>
          <w:pPr>
            <w:pStyle w:val="Contents5"/>
            <w:tabs>
              <w:tab w:val="clear" w:pos="7892"/>
              <w:tab w:val="right" w:pos="9026" w:leader="dot"/>
            </w:tabs>
            <w:rPr/>
          </w:pPr>
          <w:hyperlink w:anchor="__RefHeading___Toc3482937_2870459653">
            <w:r>
              <w:rPr>
                <w:webHidden/>
                <w:rStyle w:val="IndexLink"/>
                <w:rtl w:val="true"/>
              </w:rPr>
              <w:t>المورد الثالث</w:t>
            </w:r>
            <w:r>
              <w:rPr>
                <w:rStyle w:val="IndexLink"/>
                <w:rtl w:val="true"/>
              </w:rPr>
              <w:tab/>
            </w:r>
            <w:r>
              <w:rPr>
                <w:rStyle w:val="IndexLink"/>
              </w:rPr>
              <w:t>265</w:t>
            </w:r>
          </w:hyperlink>
        </w:p>
        <w:p>
          <w:pPr>
            <w:pStyle w:val="Contents4"/>
            <w:tabs>
              <w:tab w:val="clear" w:pos="8176"/>
              <w:tab w:val="right" w:pos="9026" w:leader="dot"/>
            </w:tabs>
            <w:rPr/>
          </w:pPr>
          <w:hyperlink w:anchor="__RefHeading___Toc3482939_2870459653">
            <w:r>
              <w:rPr>
                <w:webHidden/>
                <w:rStyle w:val="IndexLink"/>
                <w:rtl w:val="true"/>
              </w:rPr>
              <w:t>الرابع</w:t>
            </w:r>
            <w:r>
              <w:rPr>
                <w:rStyle w:val="IndexLink"/>
                <w:rtl w:val="true"/>
              </w:rPr>
              <w:t xml:space="preserve">: </w:t>
            </w:r>
            <w:r>
              <w:rPr>
                <w:rStyle w:val="IndexLink"/>
                <w:rtl w:val="true"/>
              </w:rPr>
              <w:t xml:space="preserve">موارد اعتماد المحقّق الأصفهاني </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1361</w:t>
            </w:r>
            <w:r>
              <w:rPr>
                <w:rStyle w:val="IndexLink"/>
                <w:rtl w:val="true"/>
              </w:rPr>
              <w:t>)</w:t>
              <w:tab/>
            </w:r>
            <w:r>
              <w:rPr>
                <w:rStyle w:val="IndexLink"/>
              </w:rPr>
              <w:t>266</w:t>
            </w:r>
          </w:hyperlink>
        </w:p>
        <w:p>
          <w:pPr>
            <w:pStyle w:val="Contents5"/>
            <w:tabs>
              <w:tab w:val="clear" w:pos="7892"/>
              <w:tab w:val="right" w:pos="9026" w:leader="dot"/>
            </w:tabs>
            <w:rPr/>
          </w:pPr>
          <w:hyperlink w:anchor="__RefHeading___Toc3482941_2870459653">
            <w:r>
              <w:rPr>
                <w:webHidden/>
                <w:rStyle w:val="IndexLink"/>
                <w:rtl w:val="true"/>
              </w:rPr>
              <w:t>المورد الأوّل</w:t>
            </w:r>
            <w:r>
              <w:rPr>
                <w:rStyle w:val="IndexLink"/>
                <w:rtl w:val="true"/>
              </w:rPr>
              <w:tab/>
            </w:r>
            <w:r>
              <w:rPr>
                <w:rStyle w:val="IndexLink"/>
              </w:rPr>
              <w:t>266</w:t>
            </w:r>
          </w:hyperlink>
        </w:p>
        <w:p>
          <w:pPr>
            <w:pStyle w:val="Contents5"/>
            <w:tabs>
              <w:tab w:val="clear" w:pos="7892"/>
              <w:tab w:val="right" w:pos="9026" w:leader="dot"/>
            </w:tabs>
            <w:rPr/>
          </w:pPr>
          <w:hyperlink w:anchor="__RefHeading___Toc3482943_2870459653">
            <w:r>
              <w:rPr>
                <w:webHidden/>
                <w:rStyle w:val="IndexLink"/>
                <w:rtl w:val="true"/>
              </w:rPr>
              <w:t>المورد الثاني</w:t>
            </w:r>
            <w:r>
              <w:rPr>
                <w:rStyle w:val="IndexLink"/>
                <w:rtl w:val="true"/>
              </w:rPr>
              <w:tab/>
            </w:r>
            <w:r>
              <w:rPr>
                <w:rStyle w:val="IndexLink"/>
              </w:rPr>
              <w:t>267</w:t>
            </w:r>
          </w:hyperlink>
        </w:p>
        <w:p>
          <w:pPr>
            <w:pStyle w:val="Contents5"/>
            <w:tabs>
              <w:tab w:val="clear" w:pos="7892"/>
              <w:tab w:val="right" w:pos="9026" w:leader="dot"/>
            </w:tabs>
            <w:rPr/>
          </w:pPr>
          <w:hyperlink w:anchor="__RefHeading___Toc3482945_2870459653">
            <w:r>
              <w:rPr>
                <w:webHidden/>
                <w:rStyle w:val="IndexLink"/>
                <w:rtl w:val="true"/>
              </w:rPr>
              <w:t>المورد الثالث</w:t>
            </w:r>
            <w:r>
              <w:rPr>
                <w:rStyle w:val="IndexLink"/>
                <w:rtl w:val="true"/>
              </w:rPr>
              <w:tab/>
            </w:r>
            <w:r>
              <w:rPr>
                <w:rStyle w:val="IndexLink"/>
              </w:rPr>
              <w:t>269</w:t>
            </w:r>
          </w:hyperlink>
        </w:p>
        <w:p>
          <w:pPr>
            <w:pStyle w:val="Contents5"/>
            <w:tabs>
              <w:tab w:val="clear" w:pos="7892"/>
              <w:tab w:val="right" w:pos="9026" w:leader="dot"/>
            </w:tabs>
            <w:rPr/>
          </w:pPr>
          <w:hyperlink w:anchor="__RefHeading___Toc3482947_2870459653">
            <w:r>
              <w:rPr>
                <w:webHidden/>
                <w:rStyle w:val="IndexLink"/>
                <w:rtl w:val="true"/>
              </w:rPr>
              <w:t>المورد الرابع</w:t>
            </w:r>
            <w:r>
              <w:rPr>
                <w:rStyle w:val="IndexLink"/>
                <w:rtl w:val="true"/>
              </w:rPr>
              <w:tab/>
            </w:r>
            <w:r>
              <w:rPr>
                <w:rStyle w:val="IndexLink"/>
              </w:rPr>
              <w:t>269</w:t>
            </w:r>
          </w:hyperlink>
        </w:p>
        <w:p>
          <w:pPr>
            <w:pStyle w:val="Contents5"/>
            <w:tabs>
              <w:tab w:val="clear" w:pos="7892"/>
              <w:tab w:val="right" w:pos="9026" w:leader="dot"/>
            </w:tabs>
            <w:rPr/>
          </w:pPr>
          <w:hyperlink w:anchor="__RefHeading___Toc3482949_2870459653">
            <w:r>
              <w:rPr>
                <w:webHidden/>
                <w:rStyle w:val="IndexLink"/>
                <w:rtl w:val="true"/>
              </w:rPr>
              <w:t>المورد الخامس</w:t>
            </w:r>
            <w:r>
              <w:rPr>
                <w:rStyle w:val="IndexLink"/>
                <w:rtl w:val="true"/>
              </w:rPr>
              <w:tab/>
            </w:r>
            <w:r>
              <w:rPr>
                <w:rStyle w:val="IndexLink"/>
              </w:rPr>
              <w:t>270</w:t>
            </w:r>
          </w:hyperlink>
        </w:p>
        <w:p>
          <w:pPr>
            <w:pStyle w:val="Contents4"/>
            <w:tabs>
              <w:tab w:val="clear" w:pos="8176"/>
              <w:tab w:val="right" w:pos="9026" w:leader="dot"/>
            </w:tabs>
            <w:rPr/>
          </w:pPr>
          <w:hyperlink w:anchor="__RefHeading___Toc3482951_2870459653">
            <w:r>
              <w:rPr>
                <w:webHidden/>
                <w:rStyle w:val="IndexLink"/>
                <w:rtl w:val="true"/>
              </w:rPr>
              <w:t>الخامس</w:t>
            </w:r>
            <w:r>
              <w:rPr>
                <w:rStyle w:val="IndexLink"/>
                <w:rtl w:val="true"/>
              </w:rPr>
              <w:t xml:space="preserve">: </w:t>
            </w:r>
            <w:r>
              <w:rPr>
                <w:rStyle w:val="IndexLink"/>
                <w:rtl w:val="true"/>
              </w:rPr>
              <w:t xml:space="preserve">موارد اعتماد السيّد الخوئي </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1411</w:t>
            </w:r>
            <w:r>
              <w:rPr>
                <w:rStyle w:val="IndexLink"/>
                <w:rtl w:val="true"/>
              </w:rPr>
              <w:t>ﻫ</w:t>
            </w:r>
            <w:r>
              <w:rPr>
                <w:rStyle w:val="IndexLink"/>
                <w:rtl w:val="true"/>
              </w:rPr>
              <w:t>)</w:t>
              <w:tab/>
            </w:r>
            <w:r>
              <w:rPr>
                <w:rStyle w:val="IndexLink"/>
              </w:rPr>
              <w:t>273</w:t>
            </w:r>
          </w:hyperlink>
        </w:p>
        <w:p>
          <w:pPr>
            <w:pStyle w:val="Contents5"/>
            <w:tabs>
              <w:tab w:val="clear" w:pos="7892"/>
              <w:tab w:val="right" w:pos="9026" w:leader="dot"/>
            </w:tabs>
            <w:rPr/>
          </w:pPr>
          <w:hyperlink w:anchor="__RefHeading___Toc3482953_2870459653">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3482955_2870459653">
            <w:r>
              <w:rPr>
                <w:webHidden/>
                <w:rStyle w:val="IndexLink"/>
                <w:rtl w:val="true"/>
              </w:rPr>
              <w:t>المورد الأول</w:t>
            </w:r>
            <w:r>
              <w:rPr>
                <w:rStyle w:val="IndexLink"/>
                <w:rtl w:val="true"/>
              </w:rPr>
              <w:tab/>
            </w:r>
            <w:r>
              <w:rPr>
                <w:rStyle w:val="IndexLink"/>
              </w:rPr>
              <w:t>274</w:t>
            </w:r>
          </w:hyperlink>
        </w:p>
        <w:p>
          <w:pPr>
            <w:pStyle w:val="Contents5"/>
            <w:tabs>
              <w:tab w:val="clear" w:pos="7892"/>
              <w:tab w:val="right" w:pos="9026" w:leader="dot"/>
            </w:tabs>
            <w:rPr/>
          </w:pPr>
          <w:hyperlink w:anchor="__RefHeading___Toc3482957_2870459653">
            <w:r>
              <w:rPr>
                <w:webHidden/>
                <w:rStyle w:val="IndexLink"/>
                <w:rtl w:val="true"/>
              </w:rPr>
              <w:t>المورد الثاني</w:t>
            </w:r>
            <w:r>
              <w:rPr>
                <w:rStyle w:val="IndexLink"/>
                <w:rtl w:val="true"/>
              </w:rPr>
              <w:tab/>
            </w:r>
            <w:r>
              <w:rPr>
                <w:rStyle w:val="IndexLink"/>
              </w:rPr>
              <w:t>275</w:t>
            </w:r>
          </w:hyperlink>
        </w:p>
        <w:p>
          <w:pPr>
            <w:pStyle w:val="Contents5"/>
            <w:tabs>
              <w:tab w:val="clear" w:pos="7892"/>
              <w:tab w:val="right" w:pos="9026" w:leader="dot"/>
            </w:tabs>
            <w:rPr/>
          </w:pPr>
          <w:hyperlink w:anchor="__RefHeading___Toc3482959_2870459653">
            <w:r>
              <w:rPr>
                <w:webHidden/>
                <w:rStyle w:val="IndexLink"/>
                <w:rtl w:val="true"/>
              </w:rPr>
              <w:t>المورد الثالث</w:t>
            </w:r>
            <w:r>
              <w:rPr>
                <w:rStyle w:val="IndexLink"/>
                <w:rtl w:val="true"/>
              </w:rPr>
              <w:tab/>
            </w:r>
            <w:r>
              <w:rPr>
                <w:rStyle w:val="IndexLink"/>
              </w:rPr>
              <w:t>276</w:t>
            </w:r>
          </w:hyperlink>
        </w:p>
        <w:p>
          <w:pPr>
            <w:pStyle w:val="Contents5"/>
            <w:tabs>
              <w:tab w:val="clear" w:pos="7892"/>
              <w:tab w:val="right" w:pos="9026" w:leader="dot"/>
            </w:tabs>
            <w:rPr/>
          </w:pPr>
          <w:hyperlink w:anchor="__RefHeading___Toc3482961_2870459653">
            <w:r>
              <w:rPr>
                <w:webHidden/>
                <w:rStyle w:val="IndexLink"/>
                <w:rtl w:val="true"/>
              </w:rPr>
              <w:t>المورد الرابع</w:t>
            </w:r>
            <w:r>
              <w:rPr>
                <w:rStyle w:val="IndexLink"/>
                <w:rtl w:val="true"/>
              </w:rPr>
              <w:tab/>
            </w:r>
            <w:r>
              <w:rPr>
                <w:rStyle w:val="IndexLink"/>
              </w:rPr>
              <w:t>277</w:t>
            </w:r>
          </w:hyperlink>
        </w:p>
        <w:p>
          <w:pPr>
            <w:pStyle w:val="Contents5"/>
            <w:tabs>
              <w:tab w:val="clear" w:pos="7892"/>
              <w:tab w:val="right" w:pos="9026" w:leader="dot"/>
            </w:tabs>
            <w:rPr/>
          </w:pPr>
          <w:hyperlink w:anchor="__RefHeading___Toc3482963_2870459653">
            <w:r>
              <w:rPr>
                <w:webHidden/>
                <w:rStyle w:val="IndexLink"/>
                <w:rtl w:val="true"/>
              </w:rPr>
              <w:t>المورد الخامس</w:t>
            </w:r>
            <w:r>
              <w:rPr>
                <w:rStyle w:val="IndexLink"/>
                <w:rtl w:val="true"/>
              </w:rPr>
              <w:tab/>
            </w:r>
            <w:r>
              <w:rPr>
                <w:rStyle w:val="IndexLink"/>
              </w:rPr>
              <w:t>280</w:t>
            </w:r>
          </w:hyperlink>
        </w:p>
        <w:p>
          <w:pPr>
            <w:pStyle w:val="Contents5"/>
            <w:tabs>
              <w:tab w:val="clear" w:pos="7892"/>
              <w:tab w:val="right" w:pos="9026" w:leader="dot"/>
            </w:tabs>
            <w:rPr/>
          </w:pPr>
          <w:hyperlink w:anchor="__RefHeading___Toc3482965_2870459653">
            <w:r>
              <w:rPr>
                <w:webHidden/>
                <w:rStyle w:val="IndexLink"/>
                <w:rtl w:val="true"/>
              </w:rPr>
              <w:t>المورد السادس</w:t>
            </w:r>
            <w:r>
              <w:rPr>
                <w:rStyle w:val="IndexLink"/>
                <w:rtl w:val="true"/>
              </w:rPr>
              <w:tab/>
            </w:r>
            <w:r>
              <w:rPr>
                <w:rStyle w:val="IndexLink"/>
              </w:rPr>
              <w:t>280</w:t>
            </w:r>
          </w:hyperlink>
        </w:p>
        <w:p>
          <w:pPr>
            <w:pStyle w:val="Contents5"/>
            <w:tabs>
              <w:tab w:val="clear" w:pos="7892"/>
              <w:tab w:val="right" w:pos="9026" w:leader="dot"/>
            </w:tabs>
            <w:rPr/>
          </w:pPr>
          <w:hyperlink w:anchor="__RefHeading___Toc3482967_2870459653">
            <w:r>
              <w:rPr>
                <w:webHidden/>
                <w:rStyle w:val="IndexLink"/>
                <w:rtl w:val="true"/>
              </w:rPr>
              <w:t>المورد السابع</w:t>
            </w:r>
            <w:r>
              <w:rPr>
                <w:rStyle w:val="IndexLink"/>
                <w:rtl w:val="true"/>
              </w:rPr>
              <w:tab/>
            </w:r>
            <w:r>
              <w:rPr>
                <w:rStyle w:val="IndexLink"/>
              </w:rPr>
              <w:t>281</w:t>
            </w:r>
          </w:hyperlink>
        </w:p>
        <w:p>
          <w:pPr>
            <w:pStyle w:val="Contents5"/>
            <w:tabs>
              <w:tab w:val="clear" w:pos="7892"/>
              <w:tab w:val="right" w:pos="9026" w:leader="dot"/>
            </w:tabs>
            <w:rPr/>
          </w:pPr>
          <w:hyperlink w:anchor="__RefHeading___Toc3482969_2870459653">
            <w:r>
              <w:rPr>
                <w:webHidden/>
                <w:rStyle w:val="IndexLink"/>
                <w:rtl w:val="true"/>
              </w:rPr>
              <w:t>المورد الثامن</w:t>
            </w:r>
            <w:r>
              <w:rPr>
                <w:rStyle w:val="IndexLink"/>
                <w:rtl w:val="true"/>
              </w:rPr>
              <w:tab/>
            </w:r>
            <w:r>
              <w:rPr>
                <w:rStyle w:val="IndexLink"/>
              </w:rPr>
              <w:t>282</w:t>
            </w:r>
          </w:hyperlink>
        </w:p>
        <w:p>
          <w:pPr>
            <w:pStyle w:val="Contents5"/>
            <w:tabs>
              <w:tab w:val="clear" w:pos="7892"/>
              <w:tab w:val="right" w:pos="9026" w:leader="dot"/>
            </w:tabs>
            <w:rPr/>
          </w:pPr>
          <w:hyperlink w:anchor="__RefHeading___Toc3482971_2870459653">
            <w:r>
              <w:rPr>
                <w:webHidden/>
                <w:rStyle w:val="IndexLink"/>
                <w:rtl w:val="true"/>
              </w:rPr>
              <w:t>المورد التاسع</w:t>
            </w:r>
            <w:r>
              <w:rPr>
                <w:rStyle w:val="IndexLink"/>
                <w:rtl w:val="true"/>
              </w:rPr>
              <w:tab/>
            </w:r>
            <w:r>
              <w:rPr>
                <w:rStyle w:val="IndexLink"/>
              </w:rPr>
              <w:t>283</w:t>
            </w:r>
          </w:hyperlink>
        </w:p>
        <w:p>
          <w:pPr>
            <w:pStyle w:val="Contents5"/>
            <w:tabs>
              <w:tab w:val="clear" w:pos="7892"/>
              <w:tab w:val="right" w:pos="9026" w:leader="dot"/>
            </w:tabs>
            <w:rPr/>
          </w:pPr>
          <w:hyperlink w:anchor="__RefHeading___Toc3482973_2870459653">
            <w:r>
              <w:rPr>
                <w:webHidden/>
                <w:rStyle w:val="IndexLink"/>
                <w:rtl w:val="true"/>
              </w:rPr>
              <w:t>المورد العاشر</w:t>
            </w:r>
            <w:r>
              <w:rPr>
                <w:rStyle w:val="IndexLink"/>
                <w:rtl w:val="true"/>
              </w:rPr>
              <w:tab/>
            </w:r>
            <w:r>
              <w:rPr>
                <w:rStyle w:val="IndexLink"/>
              </w:rPr>
              <w:t>284</w:t>
            </w:r>
          </w:hyperlink>
        </w:p>
        <w:p>
          <w:pPr>
            <w:pStyle w:val="Contents5"/>
            <w:tabs>
              <w:tab w:val="clear" w:pos="7892"/>
              <w:tab w:val="right" w:pos="9026" w:leader="dot"/>
            </w:tabs>
            <w:rPr/>
          </w:pPr>
          <w:hyperlink w:anchor="__RefHeading___Toc3482975_2870459653">
            <w:r>
              <w:rPr>
                <w:webHidden/>
                <w:rStyle w:val="IndexLink"/>
                <w:rtl w:val="true"/>
              </w:rPr>
              <w:t>المورد الحادي عشر</w:t>
            </w:r>
            <w:r>
              <w:rPr>
                <w:rStyle w:val="IndexLink"/>
                <w:rtl w:val="true"/>
              </w:rPr>
              <w:tab/>
            </w:r>
            <w:r>
              <w:rPr>
                <w:rStyle w:val="IndexLink"/>
              </w:rPr>
              <w:t>285</w:t>
            </w:r>
          </w:hyperlink>
        </w:p>
        <w:p>
          <w:pPr>
            <w:pStyle w:val="Contents4"/>
            <w:tabs>
              <w:tab w:val="clear" w:pos="8176"/>
              <w:tab w:val="right" w:pos="9026" w:leader="dot"/>
            </w:tabs>
            <w:rPr/>
          </w:pPr>
          <w:hyperlink w:anchor="__RefHeading___Toc3482977_2870459653">
            <w:r>
              <w:rPr>
                <w:webHidden/>
                <w:rStyle w:val="IndexLink"/>
                <w:rtl w:val="true"/>
              </w:rPr>
              <w:t>السادس</w:t>
            </w:r>
            <w:r>
              <w:rPr>
                <w:rStyle w:val="IndexLink"/>
                <w:rtl w:val="true"/>
              </w:rPr>
              <w:t xml:space="preserve">: </w:t>
            </w:r>
            <w:r>
              <w:rPr>
                <w:rStyle w:val="IndexLink"/>
                <w:rtl w:val="true"/>
              </w:rPr>
              <w:t xml:space="preserve">موارد اعتماد شيخنا الأستاذ الشيخ الوحيد الخراساني </w:t>
            </w:r>
            <w:r>
              <w:rPr>
                <w:rStyle w:val="IndexLink"/>
                <w:rtl w:val="true"/>
              </w:rPr>
              <w:t>(</w:t>
            </w:r>
            <w:r>
              <w:rPr>
                <w:rStyle w:val="IndexLink"/>
                <w:rtl w:val="true"/>
              </w:rPr>
              <w:t>دام ظله</w:t>
            </w:r>
            <w:r>
              <w:rPr>
                <w:rStyle w:val="IndexLink"/>
                <w:rtl w:val="true"/>
              </w:rPr>
              <w:t>)</w:t>
              <w:tab/>
            </w:r>
            <w:r>
              <w:rPr>
                <w:rStyle w:val="IndexLink"/>
              </w:rPr>
              <w:t>286</w:t>
            </w:r>
          </w:hyperlink>
        </w:p>
        <w:p>
          <w:pPr>
            <w:pStyle w:val="Contents5"/>
            <w:tabs>
              <w:tab w:val="clear" w:pos="7892"/>
              <w:tab w:val="right" w:pos="9026" w:leader="dot"/>
            </w:tabs>
            <w:rPr/>
          </w:pPr>
          <w:hyperlink w:anchor="__RefHeading___Toc3482979_2870459653">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482981_2870459653">
            <w:r>
              <w:rPr>
                <w:webHidden/>
                <w:rStyle w:val="IndexLink"/>
                <w:rtl w:val="true"/>
              </w:rPr>
              <w:t>المورد الأوّل</w:t>
            </w:r>
            <w:r>
              <w:rPr>
                <w:rStyle w:val="IndexLink"/>
                <w:rtl w:val="true"/>
              </w:rPr>
              <w:tab/>
            </w:r>
            <w:r>
              <w:rPr>
                <w:rStyle w:val="IndexLink"/>
              </w:rPr>
              <w:t>286</w:t>
            </w:r>
          </w:hyperlink>
        </w:p>
        <w:p>
          <w:pPr>
            <w:pStyle w:val="Contents5"/>
            <w:tabs>
              <w:tab w:val="clear" w:pos="7892"/>
              <w:tab w:val="right" w:pos="9026" w:leader="dot"/>
            </w:tabs>
            <w:rPr/>
          </w:pPr>
          <w:hyperlink w:anchor="__RefHeading___Toc3482983_2870459653">
            <w:r>
              <w:rPr>
                <w:webHidden/>
                <w:rStyle w:val="IndexLink"/>
                <w:rtl w:val="true"/>
              </w:rPr>
              <w:t>المورد الثاني</w:t>
            </w:r>
            <w:r>
              <w:rPr>
                <w:rStyle w:val="IndexLink"/>
                <w:rtl w:val="true"/>
              </w:rPr>
              <w:tab/>
            </w:r>
            <w:r>
              <w:rPr>
                <w:rStyle w:val="IndexLink"/>
              </w:rPr>
              <w:t>287</w:t>
            </w:r>
          </w:hyperlink>
        </w:p>
        <w:p>
          <w:pPr>
            <w:pStyle w:val="Contents5"/>
            <w:tabs>
              <w:tab w:val="clear" w:pos="7892"/>
              <w:tab w:val="right" w:pos="9026" w:leader="dot"/>
            </w:tabs>
            <w:rPr/>
          </w:pPr>
          <w:hyperlink w:anchor="__RefHeading___Toc3482985_2870459653">
            <w:r>
              <w:rPr>
                <w:webHidden/>
                <w:rStyle w:val="IndexLink"/>
                <w:rtl w:val="true"/>
              </w:rPr>
              <w:t>المورد الثالث</w:t>
            </w:r>
            <w:r>
              <w:rPr>
                <w:rStyle w:val="IndexLink"/>
                <w:rtl w:val="true"/>
              </w:rPr>
              <w:tab/>
            </w:r>
            <w:r>
              <w:rPr>
                <w:rStyle w:val="IndexLink"/>
              </w:rPr>
              <w:t>288</w:t>
            </w:r>
          </w:hyperlink>
        </w:p>
        <w:p>
          <w:pPr>
            <w:pStyle w:val="Contents5"/>
            <w:tabs>
              <w:tab w:val="clear" w:pos="7892"/>
              <w:tab w:val="right" w:pos="9026" w:leader="dot"/>
            </w:tabs>
            <w:rPr/>
          </w:pPr>
          <w:hyperlink w:anchor="__RefHeading___Toc3482987_2870459653">
            <w:r>
              <w:rPr>
                <w:webHidden/>
                <w:rStyle w:val="IndexLink"/>
                <w:rtl w:val="true"/>
              </w:rPr>
              <w:t>المورد الرابع</w:t>
            </w:r>
            <w:r>
              <w:rPr>
                <w:rStyle w:val="IndexLink"/>
                <w:rtl w:val="true"/>
              </w:rPr>
              <w:tab/>
            </w:r>
            <w:r>
              <w:rPr>
                <w:rStyle w:val="IndexLink"/>
              </w:rPr>
              <w:t>289</w:t>
            </w:r>
          </w:hyperlink>
        </w:p>
        <w:p>
          <w:pPr>
            <w:pStyle w:val="Contents5"/>
            <w:tabs>
              <w:tab w:val="clear" w:pos="7892"/>
              <w:tab w:val="right" w:pos="9026" w:leader="dot"/>
            </w:tabs>
            <w:rPr/>
          </w:pPr>
          <w:hyperlink w:anchor="__RefHeading___Toc3482989_2870459653">
            <w:r>
              <w:rPr>
                <w:webHidden/>
                <w:rStyle w:val="IndexLink"/>
                <w:rtl w:val="true"/>
              </w:rPr>
              <w:t>المورد الخامس</w:t>
            </w:r>
            <w:r>
              <w:rPr>
                <w:rStyle w:val="IndexLink"/>
                <w:rtl w:val="true"/>
              </w:rPr>
              <w:tab/>
            </w:r>
            <w:r>
              <w:rPr>
                <w:rStyle w:val="IndexLink"/>
              </w:rPr>
              <w:t>290</w:t>
            </w:r>
          </w:hyperlink>
        </w:p>
        <w:p>
          <w:pPr>
            <w:pStyle w:val="Contents5"/>
            <w:tabs>
              <w:tab w:val="clear" w:pos="7892"/>
              <w:tab w:val="right" w:pos="9026" w:leader="dot"/>
            </w:tabs>
            <w:rPr/>
          </w:pPr>
          <w:hyperlink w:anchor="__RefHeading___Toc3482991_2870459653">
            <w:r>
              <w:rPr>
                <w:webHidden/>
                <w:rStyle w:val="IndexLink"/>
                <w:rtl w:val="true"/>
              </w:rPr>
              <w:t>المورد السادس</w:t>
            </w:r>
            <w:r>
              <w:rPr>
                <w:rStyle w:val="IndexLink"/>
                <w:rtl w:val="true"/>
              </w:rPr>
              <w:tab/>
            </w:r>
            <w:r>
              <w:rPr>
                <w:rStyle w:val="IndexLink"/>
              </w:rPr>
              <w:t>291</w:t>
            </w:r>
          </w:hyperlink>
        </w:p>
        <w:p>
          <w:pPr>
            <w:pStyle w:val="Contents3"/>
            <w:tabs>
              <w:tab w:val="clear" w:pos="8459"/>
              <w:tab w:val="right" w:pos="9026" w:leader="dot"/>
            </w:tabs>
            <w:rPr/>
          </w:pPr>
          <w:hyperlink w:anchor="__RefHeading___Toc3482993_2870459653">
            <w:r>
              <w:rPr>
                <w:webHidden/>
                <w:rStyle w:val="IndexLink"/>
                <w:rtl w:val="true"/>
              </w:rPr>
              <w:t>نتائج البحث</w:t>
            </w:r>
            <w:r>
              <w:rPr>
                <w:rStyle w:val="IndexLink"/>
                <w:rtl w:val="true"/>
              </w:rPr>
              <w:tab/>
            </w:r>
            <w:r>
              <w:rPr>
                <w:rStyle w:val="IndexLink"/>
              </w:rPr>
              <w:t>293</w:t>
            </w:r>
          </w:hyperlink>
        </w:p>
        <w:p>
          <w:pPr>
            <w:pStyle w:val="Contents3"/>
            <w:tabs>
              <w:tab w:val="clear" w:pos="8459"/>
              <w:tab w:val="right" w:pos="9026" w:leader="dot"/>
            </w:tabs>
            <w:rPr/>
          </w:pPr>
          <w:hyperlink w:anchor="__RefHeading___Toc3482995_2870459653">
            <w:r>
              <w:rPr>
                <w:webHidden/>
                <w:rStyle w:val="IndexLink"/>
                <w:rtl w:val="true"/>
              </w:rPr>
              <w:t>مصادر البحث</w:t>
            </w:r>
            <w:r>
              <w:rPr>
                <w:rStyle w:val="IndexLink"/>
                <w:rtl w:val="true"/>
              </w:rPr>
              <w:tab/>
            </w:r>
            <w:r>
              <w:rPr>
                <w:rStyle w:val="IndexLink"/>
              </w:rPr>
              <w:t>295</w:t>
            </w:r>
          </w:hyperlink>
        </w:p>
        <w:p>
          <w:pPr>
            <w:pStyle w:val="Contents2"/>
            <w:tabs>
              <w:tab w:val="clear" w:pos="8743"/>
              <w:tab w:val="right" w:pos="9026" w:leader="dot"/>
            </w:tabs>
            <w:rPr/>
          </w:pPr>
          <w:hyperlink w:anchor="__RefHeading___Toc3482997_2870459653">
            <w:r>
              <w:rPr>
                <w:webHidden/>
                <w:rStyle w:val="IndexLink"/>
                <w:rtl w:val="true"/>
              </w:rPr>
              <w:t xml:space="preserve">رسالتان في الكرّ من إفادات الفقيه المتألّه آية الله الميرزا مهديّ الأصفهانيّ </w:t>
            </w:r>
            <w:r>
              <w:rPr>
                <w:rStyle w:val="IndexLink"/>
                <w:rtl w:val="true"/>
              </w:rPr>
              <w:t>(</w:t>
            </w:r>
            <w:r>
              <w:rPr>
                <w:rStyle w:val="IndexLink"/>
                <w:rtl w:val="true"/>
              </w:rPr>
              <w:t>قدس سره</w:t>
            </w:r>
            <w:r>
              <w:rPr>
                <w:rStyle w:val="IndexLink"/>
                <w:rtl w:val="true"/>
              </w:rPr>
              <w:t xml:space="preserve">) - </w:t>
            </w:r>
            <w:r>
              <w:rPr>
                <w:rStyle w:val="IndexLink"/>
                <w:rtl w:val="true"/>
              </w:rPr>
              <w:t>مجلّة دراسات علميّة</w:t>
            </w:r>
            <w:r>
              <w:rPr>
                <w:rStyle w:val="IndexLink"/>
                <w:rtl w:val="true"/>
              </w:rPr>
              <w:tab/>
            </w:r>
            <w:r>
              <w:rPr>
                <w:rStyle w:val="IndexLink"/>
              </w:rPr>
              <w:t>306</w:t>
            </w:r>
          </w:hyperlink>
        </w:p>
        <w:p>
          <w:pPr>
            <w:pStyle w:val="Contents3"/>
            <w:tabs>
              <w:tab w:val="clear" w:pos="8459"/>
              <w:tab w:val="right" w:pos="9026" w:leader="dot"/>
            </w:tabs>
            <w:rPr/>
          </w:pPr>
          <w:hyperlink w:anchor="__RefHeading___Toc3482999_2870459653">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3483001_2870459653">
            <w:r>
              <w:rPr>
                <w:webHidden/>
                <w:rStyle w:val="IndexLink"/>
                <w:rtl w:val="true"/>
              </w:rPr>
              <w:t>مقدّمة التّحقيق</w:t>
            </w:r>
            <w:r>
              <w:rPr>
                <w:rStyle w:val="IndexLink"/>
                <w:rtl w:val="true"/>
              </w:rPr>
              <w:tab/>
            </w:r>
            <w:r>
              <w:rPr>
                <w:rStyle w:val="IndexLink"/>
              </w:rPr>
              <w:t>308</w:t>
            </w:r>
          </w:hyperlink>
        </w:p>
        <w:p>
          <w:pPr>
            <w:pStyle w:val="Contents4"/>
            <w:tabs>
              <w:tab w:val="clear" w:pos="8176"/>
              <w:tab w:val="right" w:pos="9026" w:leader="dot"/>
            </w:tabs>
            <w:rPr/>
          </w:pPr>
          <w:hyperlink w:anchor="__RefHeading___Toc3483003_2870459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483005_2870459653">
            <w:r>
              <w:rPr>
                <w:webHidden/>
                <w:rStyle w:val="IndexLink"/>
                <w:rtl w:val="true"/>
              </w:rPr>
              <w:t>المؤلّف في سطور</w:t>
            </w:r>
            <w:r>
              <w:rPr>
                <w:rStyle w:val="IndexLink"/>
                <w:rtl w:val="true"/>
              </w:rPr>
              <w:tab/>
            </w:r>
            <w:r>
              <w:rPr>
                <w:rStyle w:val="IndexLink"/>
              </w:rPr>
              <w:t>309</w:t>
            </w:r>
          </w:hyperlink>
        </w:p>
        <w:p>
          <w:pPr>
            <w:pStyle w:val="Contents5"/>
            <w:tabs>
              <w:tab w:val="clear" w:pos="7892"/>
              <w:tab w:val="right" w:pos="9026" w:leader="dot"/>
            </w:tabs>
            <w:rPr/>
          </w:pPr>
          <w:hyperlink w:anchor="__RefHeading___Toc3483007_2870459653">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483009_2870459653">
            <w:r>
              <w:rPr>
                <w:webHidden/>
                <w:rStyle w:val="IndexLink"/>
                <w:rtl w:val="true"/>
              </w:rPr>
              <w:t>تلامذته</w:t>
            </w:r>
            <w:r>
              <w:rPr>
                <w:rStyle w:val="IndexLink"/>
                <w:rtl w:val="true"/>
              </w:rPr>
              <w:tab/>
            </w:r>
            <w:r>
              <w:rPr>
                <w:rStyle w:val="IndexLink"/>
              </w:rPr>
              <w:t>312</w:t>
            </w:r>
          </w:hyperlink>
        </w:p>
        <w:p>
          <w:pPr>
            <w:pStyle w:val="Contents5"/>
            <w:tabs>
              <w:tab w:val="clear" w:pos="7892"/>
              <w:tab w:val="right" w:pos="9026" w:leader="dot"/>
            </w:tabs>
            <w:rPr/>
          </w:pPr>
          <w:hyperlink w:anchor="__RefHeading___Toc3483011_2870459653">
            <w:r>
              <w:rPr>
                <w:webHidden/>
                <w:rStyle w:val="IndexLink"/>
                <w:rtl w:val="true"/>
              </w:rPr>
              <w:t>مؤلّفاته</w:t>
            </w:r>
            <w:r>
              <w:rPr>
                <w:rStyle w:val="IndexLink"/>
                <w:rtl w:val="true"/>
              </w:rPr>
              <w:tab/>
            </w:r>
            <w:r>
              <w:rPr>
                <w:rStyle w:val="IndexLink"/>
              </w:rPr>
              <w:t>315</w:t>
            </w:r>
          </w:hyperlink>
        </w:p>
        <w:p>
          <w:pPr>
            <w:pStyle w:val="Contents5"/>
            <w:tabs>
              <w:tab w:val="clear" w:pos="7892"/>
              <w:tab w:val="right" w:pos="9026" w:leader="dot"/>
            </w:tabs>
            <w:rPr/>
          </w:pPr>
          <w:hyperlink w:anchor="__RefHeading___Toc3483013_2870459653">
            <w:r>
              <w:rPr>
                <w:webHidden/>
                <w:rStyle w:val="IndexLink"/>
                <w:rtl w:val="true"/>
              </w:rPr>
              <w:t>تقريرات دروسه</w:t>
            </w:r>
            <w:r>
              <w:rPr>
                <w:rStyle w:val="IndexLink"/>
                <w:rtl w:val="true"/>
              </w:rPr>
              <w:tab/>
            </w:r>
            <w:r>
              <w:rPr>
                <w:rStyle w:val="IndexLink"/>
              </w:rPr>
              <w:t>318</w:t>
            </w:r>
          </w:hyperlink>
        </w:p>
        <w:p>
          <w:pPr>
            <w:pStyle w:val="Contents5"/>
            <w:tabs>
              <w:tab w:val="clear" w:pos="7892"/>
              <w:tab w:val="right" w:pos="9026" w:leader="dot"/>
            </w:tabs>
            <w:rPr/>
          </w:pPr>
          <w:hyperlink w:anchor="__RefHeading___Toc3483015_2870459653">
            <w:r>
              <w:rPr>
                <w:webHidden/>
                <w:rStyle w:val="IndexLink"/>
                <w:rtl w:val="true"/>
              </w:rPr>
              <w:t>وفاته</w:t>
            </w:r>
            <w:r>
              <w:rPr>
                <w:rStyle w:val="IndexLink"/>
                <w:rtl w:val="true"/>
              </w:rPr>
              <w:tab/>
            </w:r>
            <w:r>
              <w:rPr>
                <w:rStyle w:val="IndexLink"/>
              </w:rPr>
              <w:t>318</w:t>
            </w:r>
          </w:hyperlink>
        </w:p>
        <w:p>
          <w:pPr>
            <w:pStyle w:val="Contents4"/>
            <w:tabs>
              <w:tab w:val="clear" w:pos="8176"/>
              <w:tab w:val="right" w:pos="9026" w:leader="dot"/>
            </w:tabs>
            <w:rPr/>
          </w:pPr>
          <w:hyperlink w:anchor="__RefHeading___Toc3483017_2870459653">
            <w:r>
              <w:rPr>
                <w:webHidden/>
                <w:rStyle w:val="IndexLink"/>
                <w:rtl w:val="true"/>
              </w:rPr>
              <w:t>المقرِّر في سطور</w:t>
            </w:r>
            <w:r>
              <w:rPr>
                <w:rStyle w:val="IndexLink"/>
                <w:rtl w:val="true"/>
              </w:rPr>
              <w:tab/>
            </w:r>
            <w:r>
              <w:rPr>
                <w:rStyle w:val="IndexLink"/>
              </w:rPr>
              <w:t>319</w:t>
            </w:r>
          </w:hyperlink>
        </w:p>
        <w:p>
          <w:pPr>
            <w:pStyle w:val="Contents5"/>
            <w:tabs>
              <w:tab w:val="clear" w:pos="7892"/>
              <w:tab w:val="right" w:pos="9026" w:leader="dot"/>
            </w:tabs>
            <w:rPr/>
          </w:pPr>
          <w:hyperlink w:anchor="__RefHeading___Toc3483019_2870459653">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3483021_2870459653">
            <w:r>
              <w:rPr>
                <w:webHidden/>
                <w:rStyle w:val="IndexLink"/>
                <w:rtl w:val="true"/>
              </w:rPr>
              <w:t>من تلامذته</w:t>
            </w:r>
            <w:r>
              <w:rPr>
                <w:rStyle w:val="IndexLink"/>
                <w:rtl w:val="true"/>
              </w:rPr>
              <w:tab/>
            </w:r>
            <w:r>
              <w:rPr>
                <w:rStyle w:val="IndexLink"/>
              </w:rPr>
              <w:t>322</w:t>
            </w:r>
          </w:hyperlink>
        </w:p>
        <w:p>
          <w:pPr>
            <w:pStyle w:val="Contents5"/>
            <w:tabs>
              <w:tab w:val="clear" w:pos="7892"/>
              <w:tab w:val="right" w:pos="9026" w:leader="dot"/>
            </w:tabs>
            <w:rPr/>
          </w:pPr>
          <w:hyperlink w:anchor="__RefHeading___Toc3483023_2870459653">
            <w:r>
              <w:rPr>
                <w:webHidden/>
                <w:rStyle w:val="IndexLink"/>
                <w:rtl w:val="true"/>
              </w:rPr>
              <w:t>وصف نسخ الرّسالتين</w:t>
            </w:r>
            <w:r>
              <w:rPr>
                <w:rStyle w:val="IndexLink"/>
                <w:rtl w:val="true"/>
              </w:rPr>
              <w:tab/>
            </w:r>
            <w:r>
              <w:rPr>
                <w:rStyle w:val="IndexLink"/>
              </w:rPr>
              <w:t>324</w:t>
            </w:r>
          </w:hyperlink>
        </w:p>
        <w:p>
          <w:pPr>
            <w:pStyle w:val="Contents6"/>
            <w:tabs>
              <w:tab w:val="clear" w:pos="7609"/>
              <w:tab w:val="right" w:pos="9026" w:leader="dot"/>
            </w:tabs>
            <w:rPr/>
          </w:pPr>
          <w:hyperlink w:anchor="__RefHeading___Toc3483025_2870459653">
            <w:r>
              <w:rPr>
                <w:webHidden/>
                <w:rStyle w:val="IndexLink"/>
                <w:rtl w:val="true"/>
              </w:rPr>
              <w:t>الرّسالة الأولى</w:t>
            </w:r>
            <w:r>
              <w:rPr>
                <w:rStyle w:val="IndexLink"/>
                <w:rtl w:val="true"/>
              </w:rPr>
              <w:tab/>
            </w:r>
            <w:r>
              <w:rPr>
                <w:rStyle w:val="IndexLink"/>
              </w:rPr>
              <w:t>324</w:t>
            </w:r>
          </w:hyperlink>
        </w:p>
        <w:p>
          <w:pPr>
            <w:pStyle w:val="Contents6"/>
            <w:tabs>
              <w:tab w:val="clear" w:pos="7609"/>
              <w:tab w:val="right" w:pos="9026" w:leader="dot"/>
            </w:tabs>
            <w:rPr/>
          </w:pPr>
          <w:hyperlink w:anchor="__RefHeading___Toc3483027_2870459653">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3483029_2870459653">
            <w:r>
              <w:rPr>
                <w:webHidden/>
                <w:rStyle w:val="IndexLink"/>
                <w:rtl w:val="true"/>
              </w:rPr>
              <w:t>النّسخة الأولى</w:t>
            </w:r>
            <w:r>
              <w:rPr>
                <w:rStyle w:val="IndexLink"/>
                <w:rtl w:val="true"/>
              </w:rPr>
              <w:tab/>
            </w:r>
            <w:r>
              <w:rPr>
                <w:rStyle w:val="IndexLink"/>
              </w:rPr>
              <w:t>324</w:t>
            </w:r>
          </w:hyperlink>
        </w:p>
        <w:p>
          <w:pPr>
            <w:pStyle w:val="Contents6"/>
            <w:tabs>
              <w:tab w:val="clear" w:pos="7609"/>
              <w:tab w:val="right" w:pos="9026" w:leader="dot"/>
            </w:tabs>
            <w:rPr/>
          </w:pPr>
          <w:hyperlink w:anchor="__RefHeading___Toc3483031_2870459653">
            <w:r>
              <w:rPr>
                <w:webHidden/>
                <w:rStyle w:val="IndexLink"/>
                <w:rtl w:val="true"/>
              </w:rPr>
              <w:t>النّسخة الثّانية</w:t>
            </w:r>
            <w:r>
              <w:rPr>
                <w:rStyle w:val="IndexLink"/>
                <w:rtl w:val="true"/>
              </w:rPr>
              <w:tab/>
            </w:r>
            <w:r>
              <w:rPr>
                <w:rStyle w:val="IndexLink"/>
              </w:rPr>
              <w:t>324</w:t>
            </w:r>
          </w:hyperlink>
        </w:p>
        <w:p>
          <w:pPr>
            <w:pStyle w:val="Contents6"/>
            <w:tabs>
              <w:tab w:val="clear" w:pos="7609"/>
              <w:tab w:val="right" w:pos="9026" w:leader="dot"/>
            </w:tabs>
            <w:rPr/>
          </w:pPr>
          <w:hyperlink w:anchor="__RefHeading___Toc3483033_2870459653">
            <w:r>
              <w:rPr>
                <w:webHidden/>
                <w:rStyle w:val="IndexLink"/>
                <w:rtl w:val="true"/>
              </w:rPr>
              <w:t>النّسخة الثّالثة</w:t>
            </w:r>
            <w:r>
              <w:rPr>
                <w:rStyle w:val="IndexLink"/>
                <w:rtl w:val="true"/>
              </w:rPr>
              <w:tab/>
            </w:r>
            <w:r>
              <w:rPr>
                <w:rStyle w:val="IndexLink"/>
              </w:rPr>
              <w:t>324</w:t>
            </w:r>
          </w:hyperlink>
        </w:p>
        <w:p>
          <w:pPr>
            <w:pStyle w:val="Contents6"/>
            <w:tabs>
              <w:tab w:val="clear" w:pos="7609"/>
              <w:tab w:val="right" w:pos="9026" w:leader="dot"/>
            </w:tabs>
            <w:rPr/>
          </w:pPr>
          <w:hyperlink w:anchor="__RefHeading___Toc3483035_2870459653">
            <w:r>
              <w:rPr>
                <w:webHidden/>
                <w:rStyle w:val="IndexLink"/>
                <w:rtl w:val="true"/>
              </w:rPr>
              <w:t>النّسخة الرّابعة</w:t>
            </w:r>
            <w:r>
              <w:rPr>
                <w:rStyle w:val="IndexLink"/>
                <w:rtl w:val="true"/>
              </w:rPr>
              <w:tab/>
            </w:r>
            <w:r>
              <w:rPr>
                <w:rStyle w:val="IndexLink"/>
              </w:rPr>
              <w:t>325</w:t>
            </w:r>
          </w:hyperlink>
        </w:p>
        <w:p>
          <w:pPr>
            <w:pStyle w:val="Contents6"/>
            <w:tabs>
              <w:tab w:val="clear" w:pos="7609"/>
              <w:tab w:val="right" w:pos="9026" w:leader="dot"/>
            </w:tabs>
            <w:rPr/>
          </w:pPr>
          <w:hyperlink w:anchor="__RefHeading___Toc3483037_2870459653">
            <w:r>
              <w:rPr>
                <w:webHidden/>
                <w:rStyle w:val="IndexLink"/>
                <w:rtl w:val="true"/>
              </w:rPr>
              <w:t>النّسخة الخامسة</w:t>
            </w:r>
            <w:r>
              <w:rPr>
                <w:rStyle w:val="IndexLink"/>
                <w:rtl w:val="true"/>
              </w:rPr>
              <w:tab/>
            </w:r>
            <w:r>
              <w:rPr>
                <w:rStyle w:val="IndexLink"/>
              </w:rPr>
              <w:t>325</w:t>
            </w:r>
          </w:hyperlink>
        </w:p>
        <w:p>
          <w:pPr>
            <w:pStyle w:val="Contents6"/>
            <w:tabs>
              <w:tab w:val="clear" w:pos="7609"/>
              <w:tab w:val="right" w:pos="9026" w:leader="dot"/>
            </w:tabs>
            <w:rPr/>
          </w:pPr>
          <w:hyperlink w:anchor="__RefHeading___Toc3483039_2870459653">
            <w:r>
              <w:rPr>
                <w:webHidden/>
                <w:rStyle w:val="IndexLink"/>
                <w:rtl w:val="true"/>
              </w:rPr>
              <w:t>النّسخة السّادسة</w:t>
            </w:r>
            <w:r>
              <w:rPr>
                <w:rStyle w:val="IndexLink"/>
                <w:rtl w:val="true"/>
              </w:rPr>
              <w:tab/>
            </w:r>
            <w:r>
              <w:rPr>
                <w:rStyle w:val="IndexLink"/>
              </w:rPr>
              <w:t>325</w:t>
            </w:r>
          </w:hyperlink>
        </w:p>
        <w:p>
          <w:pPr>
            <w:pStyle w:val="Contents6"/>
            <w:tabs>
              <w:tab w:val="clear" w:pos="7609"/>
              <w:tab w:val="right" w:pos="9026" w:leader="dot"/>
            </w:tabs>
            <w:rPr/>
          </w:pPr>
          <w:hyperlink w:anchor="__RefHeading___Toc3483041_2870459653">
            <w:r>
              <w:rPr>
                <w:webHidden/>
                <w:rStyle w:val="IndexLink"/>
                <w:rtl w:val="true"/>
              </w:rPr>
              <w:t>الرّسالة الأخرى</w:t>
            </w:r>
            <w:r>
              <w:rPr>
                <w:rStyle w:val="IndexLink"/>
                <w:rtl w:val="true"/>
              </w:rPr>
              <w:tab/>
            </w:r>
            <w:r>
              <w:rPr>
                <w:rStyle w:val="IndexLink"/>
              </w:rPr>
              <w:t>326</w:t>
            </w:r>
          </w:hyperlink>
        </w:p>
        <w:p>
          <w:pPr>
            <w:pStyle w:val="Contents5"/>
            <w:tabs>
              <w:tab w:val="clear" w:pos="7892"/>
              <w:tab w:val="right" w:pos="9026" w:leader="dot"/>
            </w:tabs>
            <w:rPr/>
          </w:pPr>
          <w:hyperlink w:anchor="__RefHeading___Toc3483043_2870459653">
            <w:r>
              <w:rPr>
                <w:webHidden/>
                <w:rStyle w:val="IndexLink"/>
                <w:rtl w:val="true"/>
              </w:rPr>
              <w:t>عملنا في التّحقيق</w:t>
            </w:r>
            <w:r>
              <w:rPr>
                <w:rStyle w:val="IndexLink"/>
                <w:rtl w:val="true"/>
              </w:rPr>
              <w:tab/>
            </w:r>
            <w:r>
              <w:rPr>
                <w:rStyle w:val="IndexLink"/>
              </w:rPr>
              <w:t>327</w:t>
            </w:r>
          </w:hyperlink>
        </w:p>
        <w:p>
          <w:pPr>
            <w:pStyle w:val="Contents3"/>
            <w:tabs>
              <w:tab w:val="clear" w:pos="8459"/>
              <w:tab w:val="right" w:pos="9026" w:leader="dot"/>
            </w:tabs>
            <w:rPr/>
          </w:pPr>
          <w:hyperlink w:anchor="__RefHeading___Toc3483045_2870459653">
            <w:r>
              <w:rPr>
                <w:webHidden/>
                <w:rStyle w:val="IndexLink"/>
                <w:rtl w:val="true"/>
              </w:rPr>
              <w:t xml:space="preserve">رسالة في الكرّ </w:t>
            </w:r>
            <w:r>
              <w:rPr>
                <w:rStyle w:val="IndexLink"/>
                <w:rtl w:val="true"/>
              </w:rPr>
              <w:t xml:space="preserve">- </w:t>
            </w:r>
            <w:r>
              <w:rPr>
                <w:rStyle w:val="IndexLink"/>
                <w:rtl w:val="true"/>
              </w:rPr>
              <w:t xml:space="preserve">الشیخ الميرزا مهديّ الغروی الأصفهانيّ </w:t>
            </w:r>
            <w:r>
              <w:rPr>
                <w:rStyle w:val="IndexLink"/>
                <w:rtl w:val="true"/>
              </w:rPr>
              <w:t>(</w:t>
            </w:r>
            <w:r>
              <w:rPr>
                <w:rStyle w:val="IndexLink"/>
                <w:rtl w:val="true"/>
              </w:rPr>
              <w:t>قدس سره</w:t>
            </w:r>
            <w:r>
              <w:rPr>
                <w:rStyle w:val="IndexLink"/>
                <w:rtl w:val="true"/>
              </w:rPr>
              <w:t>)</w:t>
              <w:tab/>
            </w:r>
            <w:r>
              <w:rPr>
                <w:rStyle w:val="IndexLink"/>
              </w:rPr>
              <w:t>342</w:t>
            </w:r>
          </w:hyperlink>
        </w:p>
        <w:p>
          <w:pPr>
            <w:pStyle w:val="Contents4"/>
            <w:tabs>
              <w:tab w:val="clear" w:pos="8176"/>
              <w:tab w:val="right" w:pos="9026" w:leader="dot"/>
            </w:tabs>
            <w:rPr/>
          </w:pPr>
          <w:hyperlink w:anchor="__RefHeading___Toc3483047_2870459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3483049_2870459653">
            <w:r>
              <w:rPr>
                <w:webHidden/>
                <w:rStyle w:val="IndexLink"/>
                <w:rtl w:val="true"/>
              </w:rPr>
              <w:t>أمّا المقدّمة ففي بيان أمور</w:t>
            </w:r>
            <w:r>
              <w:rPr>
                <w:rStyle w:val="IndexLink"/>
                <w:rtl w:val="true"/>
              </w:rPr>
              <w:tab/>
            </w:r>
            <w:r>
              <w:rPr>
                <w:rStyle w:val="IndexLink"/>
              </w:rPr>
              <w:t>345</w:t>
            </w:r>
          </w:hyperlink>
        </w:p>
        <w:p>
          <w:pPr>
            <w:pStyle w:val="Contents5"/>
            <w:tabs>
              <w:tab w:val="clear" w:pos="7892"/>
              <w:tab w:val="right" w:pos="9026" w:leader="dot"/>
            </w:tabs>
            <w:rPr/>
          </w:pPr>
          <w:hyperlink w:anchor="__RefHeading___Toc3483051_2870459653">
            <w:r>
              <w:rPr>
                <w:webHidden/>
                <w:rStyle w:val="IndexLink"/>
                <w:rtl w:val="true"/>
              </w:rPr>
              <w:t>الأمر الأوّل</w:t>
            </w:r>
            <w:r>
              <w:rPr>
                <w:rStyle w:val="IndexLink"/>
                <w:rtl w:val="true"/>
              </w:rPr>
              <w:tab/>
            </w:r>
            <w:r>
              <w:rPr>
                <w:rStyle w:val="IndexLink"/>
              </w:rPr>
              <w:t>345</w:t>
            </w:r>
          </w:hyperlink>
        </w:p>
        <w:p>
          <w:pPr>
            <w:pStyle w:val="Contents5"/>
            <w:tabs>
              <w:tab w:val="clear" w:pos="7892"/>
              <w:tab w:val="right" w:pos="9026" w:leader="dot"/>
            </w:tabs>
            <w:rPr/>
          </w:pPr>
          <w:hyperlink w:anchor="__RefHeading___Toc3483053_2870459653">
            <w:r>
              <w:rPr>
                <w:webHidden/>
                <w:rStyle w:val="IndexLink"/>
                <w:rtl w:val="true"/>
              </w:rPr>
              <w:t>الأمر الثانی</w:t>
            </w:r>
            <w:r>
              <w:rPr>
                <w:rStyle w:val="IndexLink"/>
                <w:rtl w:val="true"/>
              </w:rPr>
              <w:tab/>
            </w:r>
            <w:r>
              <w:rPr>
                <w:rStyle w:val="IndexLink"/>
              </w:rPr>
              <w:t>346</w:t>
            </w:r>
          </w:hyperlink>
        </w:p>
        <w:p>
          <w:pPr>
            <w:pStyle w:val="Contents5"/>
            <w:tabs>
              <w:tab w:val="clear" w:pos="7892"/>
              <w:tab w:val="right" w:pos="9026" w:leader="dot"/>
            </w:tabs>
            <w:rPr/>
          </w:pPr>
          <w:hyperlink w:anchor="__RefHeading___Toc3483055_2870459653">
            <w:r>
              <w:rPr>
                <w:webHidden/>
                <w:rStyle w:val="IndexLink"/>
                <w:rtl w:val="true"/>
              </w:rPr>
              <w:t>الأمر الثّالث</w:t>
            </w:r>
            <w:r>
              <w:rPr>
                <w:rStyle w:val="IndexLink"/>
                <w:rtl w:val="true"/>
              </w:rPr>
              <w:tab/>
            </w:r>
            <w:r>
              <w:rPr>
                <w:rStyle w:val="IndexLink"/>
              </w:rPr>
              <w:t>347</w:t>
            </w:r>
          </w:hyperlink>
        </w:p>
        <w:p>
          <w:pPr>
            <w:pStyle w:val="Contents5"/>
            <w:tabs>
              <w:tab w:val="clear" w:pos="7892"/>
              <w:tab w:val="right" w:pos="9026" w:leader="dot"/>
            </w:tabs>
            <w:rPr/>
          </w:pPr>
          <w:hyperlink w:anchor="__RefHeading___Toc3483057_2870459653">
            <w:r>
              <w:rPr>
                <w:webHidden/>
                <w:rStyle w:val="IndexLink"/>
                <w:rtl w:val="true"/>
              </w:rPr>
              <w:t>الأمر الرّابع</w:t>
            </w:r>
            <w:r>
              <w:rPr>
                <w:rStyle w:val="IndexLink"/>
                <w:rtl w:val="true"/>
              </w:rPr>
              <w:tab/>
            </w:r>
            <w:r>
              <w:rPr>
                <w:rStyle w:val="IndexLink"/>
              </w:rPr>
              <w:t>350</w:t>
            </w:r>
          </w:hyperlink>
        </w:p>
        <w:p>
          <w:pPr>
            <w:pStyle w:val="Contents5"/>
            <w:tabs>
              <w:tab w:val="clear" w:pos="7892"/>
              <w:tab w:val="right" w:pos="9026" w:leader="dot"/>
            </w:tabs>
            <w:rPr/>
          </w:pPr>
          <w:hyperlink w:anchor="__RefHeading___Toc3483059_2870459653">
            <w:r>
              <w:rPr>
                <w:webHidden/>
                <w:rStyle w:val="IndexLink"/>
                <w:rtl w:val="true"/>
              </w:rPr>
              <w:t>الأمر الخامس</w:t>
            </w:r>
            <w:r>
              <w:rPr>
                <w:rStyle w:val="IndexLink"/>
                <w:rtl w:val="true"/>
              </w:rPr>
              <w:tab/>
            </w:r>
            <w:r>
              <w:rPr>
                <w:rStyle w:val="IndexLink"/>
              </w:rPr>
              <w:t>351</w:t>
            </w:r>
          </w:hyperlink>
        </w:p>
        <w:p>
          <w:pPr>
            <w:pStyle w:val="Contents5"/>
            <w:tabs>
              <w:tab w:val="clear" w:pos="7892"/>
              <w:tab w:val="right" w:pos="9026" w:leader="dot"/>
            </w:tabs>
            <w:rPr/>
          </w:pPr>
          <w:hyperlink w:anchor="__RefHeading___Toc3483061_2870459653">
            <w:r>
              <w:rPr>
                <w:webHidden/>
                <w:rStyle w:val="IndexLink"/>
                <w:rtl w:val="true"/>
              </w:rPr>
              <w:t>الأمر السّادس</w:t>
            </w:r>
            <w:r>
              <w:rPr>
                <w:rStyle w:val="IndexLink"/>
                <w:rtl w:val="true"/>
              </w:rPr>
              <w:tab/>
            </w:r>
            <w:r>
              <w:rPr>
                <w:rStyle w:val="IndexLink"/>
              </w:rPr>
              <w:t>353</w:t>
            </w:r>
          </w:hyperlink>
        </w:p>
        <w:p>
          <w:pPr>
            <w:pStyle w:val="Contents4"/>
            <w:tabs>
              <w:tab w:val="clear" w:pos="8176"/>
              <w:tab w:val="right" w:pos="9026" w:leader="dot"/>
            </w:tabs>
            <w:rPr/>
          </w:pPr>
          <w:hyperlink w:anchor="__RefHeading___Toc3483063_2870459653">
            <w:r>
              <w:rPr>
                <w:webHidden/>
                <w:rStyle w:val="IndexLink"/>
                <w:rtl w:val="true"/>
              </w:rPr>
              <w:t>المقصد الأوّل</w:t>
            </w:r>
            <w:r>
              <w:rPr>
                <w:rStyle w:val="IndexLink"/>
                <w:rtl w:val="true"/>
              </w:rPr>
              <w:tab/>
            </w:r>
            <w:r>
              <w:rPr>
                <w:rStyle w:val="IndexLink"/>
              </w:rPr>
              <w:t>355</w:t>
            </w:r>
          </w:hyperlink>
        </w:p>
        <w:p>
          <w:pPr>
            <w:pStyle w:val="Contents5"/>
            <w:tabs>
              <w:tab w:val="clear" w:pos="7892"/>
              <w:tab w:val="right" w:pos="9026" w:leader="dot"/>
            </w:tabs>
            <w:rPr/>
          </w:pPr>
          <w:hyperlink w:anchor="__RefHeading___Toc3483065_2870459653">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483067_2870459653">
            <w:r>
              <w:rPr>
                <w:webHidden/>
                <w:rStyle w:val="IndexLink"/>
                <w:rtl w:val="true"/>
              </w:rPr>
              <w:t>الأوّل</w:t>
            </w:r>
            <w:r>
              <w:rPr>
                <w:rStyle w:val="IndexLink"/>
                <w:rtl w:val="true"/>
              </w:rPr>
              <w:tab/>
            </w:r>
            <w:r>
              <w:rPr>
                <w:rStyle w:val="IndexLink"/>
              </w:rPr>
              <w:t>355</w:t>
            </w:r>
          </w:hyperlink>
        </w:p>
        <w:p>
          <w:pPr>
            <w:pStyle w:val="Contents5"/>
            <w:tabs>
              <w:tab w:val="clear" w:pos="7892"/>
              <w:tab w:val="right" w:pos="9026" w:leader="dot"/>
            </w:tabs>
            <w:rPr/>
          </w:pPr>
          <w:hyperlink w:anchor="__RefHeading___Toc3483069_2870459653">
            <w:r>
              <w:rPr>
                <w:webHidden/>
                <w:rStyle w:val="IndexLink"/>
                <w:rtl w:val="true"/>
              </w:rPr>
              <w:t>الثّاني</w:t>
            </w:r>
            <w:r>
              <w:rPr>
                <w:rStyle w:val="IndexLink"/>
                <w:rtl w:val="true"/>
              </w:rPr>
              <w:tab/>
            </w:r>
            <w:r>
              <w:rPr>
                <w:rStyle w:val="IndexLink"/>
              </w:rPr>
              <w:t>355</w:t>
            </w:r>
          </w:hyperlink>
        </w:p>
        <w:p>
          <w:pPr>
            <w:pStyle w:val="Contents5"/>
            <w:tabs>
              <w:tab w:val="clear" w:pos="7892"/>
              <w:tab w:val="right" w:pos="9026" w:leader="dot"/>
            </w:tabs>
            <w:rPr/>
          </w:pPr>
          <w:hyperlink w:anchor="__RefHeading___Toc3483071_2870459653">
            <w:r>
              <w:rPr>
                <w:webHidden/>
                <w:rStyle w:val="IndexLink"/>
                <w:rtl w:val="true"/>
              </w:rPr>
              <w:t>الثّالث</w:t>
            </w:r>
            <w:r>
              <w:rPr>
                <w:rStyle w:val="IndexLink"/>
                <w:rtl w:val="true"/>
              </w:rPr>
              <w:tab/>
            </w:r>
            <w:r>
              <w:rPr>
                <w:rStyle w:val="IndexLink"/>
              </w:rPr>
              <w:t>356</w:t>
            </w:r>
          </w:hyperlink>
        </w:p>
        <w:p>
          <w:pPr>
            <w:pStyle w:val="Contents5"/>
            <w:tabs>
              <w:tab w:val="clear" w:pos="7892"/>
              <w:tab w:val="right" w:pos="9026" w:leader="dot"/>
            </w:tabs>
            <w:rPr/>
          </w:pPr>
          <w:hyperlink w:anchor="__RefHeading___Toc3483073_2870459653">
            <w:r>
              <w:rPr>
                <w:webHidden/>
                <w:rStyle w:val="IndexLink"/>
                <w:rtl w:val="true"/>
              </w:rPr>
              <w:t>الرّابع</w:t>
            </w:r>
            <w:r>
              <w:rPr>
                <w:rStyle w:val="IndexLink"/>
                <w:rtl w:val="true"/>
              </w:rPr>
              <w:tab/>
            </w:r>
            <w:r>
              <w:rPr>
                <w:rStyle w:val="IndexLink"/>
              </w:rPr>
              <w:t>357</w:t>
            </w:r>
          </w:hyperlink>
        </w:p>
        <w:p>
          <w:pPr>
            <w:pStyle w:val="Contents5"/>
            <w:tabs>
              <w:tab w:val="clear" w:pos="7892"/>
              <w:tab w:val="right" w:pos="9026" w:leader="dot"/>
            </w:tabs>
            <w:rPr/>
          </w:pPr>
          <w:hyperlink w:anchor="__RefHeading___Toc3483075_2870459653">
            <w:r>
              <w:rPr>
                <w:webHidden/>
                <w:rStyle w:val="IndexLink"/>
                <w:rtl w:val="true"/>
              </w:rPr>
              <w:t>الخامس</w:t>
            </w:r>
            <w:r>
              <w:rPr>
                <w:rStyle w:val="IndexLink"/>
                <w:rtl w:val="true"/>
              </w:rPr>
              <w:tab/>
            </w:r>
            <w:r>
              <w:rPr>
                <w:rStyle w:val="IndexLink"/>
              </w:rPr>
              <w:t>357</w:t>
            </w:r>
          </w:hyperlink>
        </w:p>
        <w:p>
          <w:pPr>
            <w:pStyle w:val="Contents5"/>
            <w:tabs>
              <w:tab w:val="clear" w:pos="7892"/>
              <w:tab w:val="right" w:pos="9026" w:leader="dot"/>
            </w:tabs>
            <w:rPr/>
          </w:pPr>
          <w:hyperlink w:anchor="__RefHeading___Toc3483077_2870459653">
            <w:r>
              <w:rPr>
                <w:webHidden/>
                <w:rStyle w:val="IndexLink"/>
                <w:rtl w:val="true"/>
              </w:rPr>
              <w:t>السّادس</w:t>
            </w:r>
            <w:r>
              <w:rPr>
                <w:rStyle w:val="IndexLink"/>
                <w:rtl w:val="true"/>
              </w:rPr>
              <w:tab/>
            </w:r>
            <w:r>
              <w:rPr>
                <w:rStyle w:val="IndexLink"/>
              </w:rPr>
              <w:t>358</w:t>
            </w:r>
          </w:hyperlink>
        </w:p>
        <w:p>
          <w:pPr>
            <w:pStyle w:val="Contents4"/>
            <w:tabs>
              <w:tab w:val="clear" w:pos="8176"/>
              <w:tab w:val="right" w:pos="9026" w:leader="dot"/>
            </w:tabs>
            <w:rPr/>
          </w:pPr>
          <w:hyperlink w:anchor="__RefHeading___Toc3483079_2870459653">
            <w:r>
              <w:rPr>
                <w:webHidden/>
                <w:rStyle w:val="IndexLink"/>
                <w:rtl w:val="true"/>
              </w:rPr>
              <w:t>المقصد الثّاني</w:t>
            </w:r>
            <w:r>
              <w:rPr>
                <w:rStyle w:val="IndexLink"/>
                <w:rtl w:val="true"/>
              </w:rPr>
              <w:t xml:space="preserve">: </w:t>
            </w:r>
            <w:r>
              <w:rPr>
                <w:rStyle w:val="IndexLink"/>
                <w:rtl w:val="true"/>
              </w:rPr>
              <w:t>في كيف الكُرّ وكمّه</w:t>
            </w:r>
            <w:r>
              <w:rPr>
                <w:rStyle w:val="IndexLink"/>
                <w:rtl w:val="true"/>
              </w:rPr>
              <w:tab/>
            </w:r>
            <w:r>
              <w:rPr>
                <w:rStyle w:val="IndexLink"/>
              </w:rPr>
              <w:t>363</w:t>
            </w:r>
          </w:hyperlink>
        </w:p>
        <w:p>
          <w:pPr>
            <w:pStyle w:val="Contents5"/>
            <w:tabs>
              <w:tab w:val="clear" w:pos="7892"/>
              <w:tab w:val="right" w:pos="9026" w:leader="dot"/>
            </w:tabs>
            <w:rPr/>
          </w:pPr>
          <w:hyperlink w:anchor="__RefHeading___Toc3483081_2870459653">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3483083_2870459653">
            <w:r>
              <w:rPr>
                <w:webHidden/>
                <w:rStyle w:val="IndexLink"/>
                <w:rtl w:val="true"/>
              </w:rPr>
              <w:t>المقام الأوّل</w:t>
            </w:r>
            <w:r>
              <w:rPr>
                <w:rStyle w:val="IndexLink"/>
                <w:rtl w:val="true"/>
              </w:rPr>
              <w:t xml:space="preserve">: </w:t>
            </w:r>
            <w:r>
              <w:rPr>
                <w:rStyle w:val="IndexLink"/>
                <w:rtl w:val="true"/>
              </w:rPr>
              <w:t>في كيفيّته من حيث المدوّريّة وعدمها</w:t>
            </w:r>
            <w:r>
              <w:rPr>
                <w:rStyle w:val="IndexLink"/>
                <w:rtl w:val="true"/>
              </w:rPr>
              <w:tab/>
            </w:r>
            <w:r>
              <w:rPr>
                <w:rStyle w:val="IndexLink"/>
              </w:rPr>
              <w:t>363</w:t>
            </w:r>
          </w:hyperlink>
        </w:p>
        <w:p>
          <w:pPr>
            <w:pStyle w:val="Contents6"/>
            <w:tabs>
              <w:tab w:val="clear" w:pos="7609"/>
              <w:tab w:val="right" w:pos="9026" w:leader="dot"/>
            </w:tabs>
            <w:rPr/>
          </w:pPr>
          <w:hyperlink w:anchor="__RefHeading___Toc3483085_2870459653">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3483087_2870459653">
            <w:r>
              <w:rPr>
                <w:webHidden/>
                <w:rStyle w:val="IndexLink"/>
                <w:rtl w:val="true"/>
              </w:rPr>
              <w:t>الوجه الأوّل</w:t>
            </w:r>
            <w:r>
              <w:rPr>
                <w:rStyle w:val="IndexLink"/>
                <w:rtl w:val="true"/>
              </w:rPr>
              <w:tab/>
            </w:r>
            <w:r>
              <w:rPr>
                <w:rStyle w:val="IndexLink"/>
              </w:rPr>
              <w:t>363</w:t>
            </w:r>
          </w:hyperlink>
        </w:p>
        <w:p>
          <w:pPr>
            <w:pStyle w:val="Contents6"/>
            <w:tabs>
              <w:tab w:val="clear" w:pos="7609"/>
              <w:tab w:val="right" w:pos="9026" w:leader="dot"/>
            </w:tabs>
            <w:rPr/>
          </w:pPr>
          <w:hyperlink w:anchor="__RefHeading___Toc3483089_2870459653">
            <w:r>
              <w:rPr>
                <w:webHidden/>
                <w:rStyle w:val="IndexLink"/>
                <w:rtl w:val="true"/>
              </w:rPr>
              <w:t>الوجه الثّاني</w:t>
            </w:r>
            <w:r>
              <w:rPr>
                <w:rStyle w:val="IndexLink"/>
                <w:rtl w:val="true"/>
              </w:rPr>
              <w:tab/>
            </w:r>
            <w:r>
              <w:rPr>
                <w:rStyle w:val="IndexLink"/>
              </w:rPr>
              <w:t>364</w:t>
            </w:r>
          </w:hyperlink>
        </w:p>
        <w:p>
          <w:pPr>
            <w:pStyle w:val="Contents6"/>
            <w:tabs>
              <w:tab w:val="clear" w:pos="7609"/>
              <w:tab w:val="right" w:pos="9026" w:leader="dot"/>
            </w:tabs>
            <w:rPr/>
          </w:pPr>
          <w:hyperlink w:anchor="__RefHeading___Toc3483091_2870459653">
            <w:r>
              <w:rPr>
                <w:webHidden/>
                <w:rStyle w:val="IndexLink"/>
                <w:rtl w:val="true"/>
              </w:rPr>
              <w:t>الوجه الثّالث</w:t>
            </w:r>
            <w:r>
              <w:rPr>
                <w:rStyle w:val="IndexLink"/>
                <w:rtl w:val="true"/>
              </w:rPr>
              <w:tab/>
            </w:r>
            <w:r>
              <w:rPr>
                <w:rStyle w:val="IndexLink"/>
              </w:rPr>
              <w:t>364</w:t>
            </w:r>
          </w:hyperlink>
        </w:p>
        <w:p>
          <w:pPr>
            <w:pStyle w:val="Contents5"/>
            <w:tabs>
              <w:tab w:val="clear" w:pos="7892"/>
              <w:tab w:val="right" w:pos="9026" w:leader="dot"/>
            </w:tabs>
            <w:rPr/>
          </w:pPr>
          <w:hyperlink w:anchor="__RefHeading___Toc3483093_2870459653">
            <w:r>
              <w:rPr>
                <w:webHidden/>
                <w:rStyle w:val="IndexLink"/>
                <w:rtl w:val="true"/>
              </w:rPr>
              <w:t>المقام الثّاني</w:t>
            </w:r>
            <w:r>
              <w:rPr>
                <w:rStyle w:val="IndexLink"/>
                <w:rtl w:val="true"/>
              </w:rPr>
              <w:t xml:space="preserve">: </w:t>
            </w:r>
            <w:r>
              <w:rPr>
                <w:rStyle w:val="IndexLink"/>
                <w:rtl w:val="true"/>
              </w:rPr>
              <w:t>في كمّيّة الكُرّ وقدره الّتي هي المسؤول عنها في الرّوايات</w:t>
            </w:r>
            <w:r>
              <w:rPr>
                <w:rStyle w:val="IndexLink"/>
                <w:rtl w:val="true"/>
              </w:rPr>
              <w:tab/>
            </w:r>
            <w:r>
              <w:rPr>
                <w:rStyle w:val="IndexLink"/>
              </w:rPr>
              <w:t>368</w:t>
            </w:r>
          </w:hyperlink>
        </w:p>
        <w:p>
          <w:pPr>
            <w:pStyle w:val="Contents4"/>
            <w:tabs>
              <w:tab w:val="clear" w:pos="8176"/>
              <w:tab w:val="right" w:pos="9026" w:leader="dot"/>
            </w:tabs>
            <w:rPr/>
          </w:pPr>
          <w:hyperlink w:anchor="__RefHeading___Toc3483095_2870459653">
            <w:r>
              <w:rPr>
                <w:webHidden/>
                <w:rStyle w:val="IndexLink"/>
                <w:rtl w:val="true"/>
              </w:rPr>
              <w:t>خاتمة</w:t>
            </w:r>
            <w:r>
              <w:rPr>
                <w:rStyle w:val="IndexLink"/>
                <w:rtl w:val="true"/>
              </w:rPr>
              <w:tab/>
            </w:r>
            <w:r>
              <w:rPr>
                <w:rStyle w:val="IndexLink"/>
              </w:rPr>
              <w:t>370</w:t>
            </w:r>
          </w:hyperlink>
        </w:p>
        <w:p>
          <w:pPr>
            <w:pStyle w:val="Contents3"/>
            <w:tabs>
              <w:tab w:val="clear" w:pos="8459"/>
              <w:tab w:val="right" w:pos="9026" w:leader="dot"/>
            </w:tabs>
            <w:rPr/>
          </w:pPr>
          <w:hyperlink w:anchor="__RefHeading___Toc3483097_2870459653">
            <w:r>
              <w:rPr>
                <w:webHidden/>
                <w:rStyle w:val="IndexLink"/>
                <w:rtl w:val="true"/>
              </w:rPr>
              <w:t xml:space="preserve">رسالة في الكرّ </w:t>
            </w:r>
            <w:r>
              <w:rPr>
                <w:rStyle w:val="IndexLink"/>
                <w:rtl w:val="true"/>
              </w:rPr>
              <w:t xml:space="preserve">- </w:t>
            </w:r>
            <w:r>
              <w:rPr>
                <w:rStyle w:val="IndexLink"/>
                <w:rtl w:val="true"/>
              </w:rPr>
              <w:t xml:space="preserve">الشیخ هاشم القزوینی </w:t>
            </w:r>
            <w:r>
              <w:rPr>
                <w:rStyle w:val="IndexLink"/>
                <w:rtl w:val="true"/>
              </w:rPr>
              <w:t>(</w:t>
            </w:r>
            <w:r>
              <w:rPr>
                <w:rStyle w:val="IndexLink"/>
                <w:rtl w:val="true"/>
              </w:rPr>
              <w:t>قدس سره</w:t>
            </w:r>
            <w:r>
              <w:rPr>
                <w:rStyle w:val="IndexLink"/>
                <w:rtl w:val="true"/>
              </w:rPr>
              <w:t>)</w:t>
              <w:tab/>
            </w:r>
            <w:r>
              <w:rPr>
                <w:rStyle w:val="IndexLink"/>
              </w:rPr>
              <w:t>372</w:t>
            </w:r>
          </w:hyperlink>
        </w:p>
        <w:p>
          <w:pPr>
            <w:pStyle w:val="Contents4"/>
            <w:tabs>
              <w:tab w:val="clear" w:pos="8176"/>
              <w:tab w:val="right" w:pos="9026" w:leader="dot"/>
            </w:tabs>
            <w:rPr/>
          </w:pPr>
          <w:hyperlink w:anchor="__RefHeading___Toc3483099_2870459653">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3483101_2870459653">
            <w:r>
              <w:rPr>
                <w:webHidden/>
                <w:rStyle w:val="IndexLink"/>
                <w:rtl w:val="true"/>
              </w:rPr>
              <w:t>أمّا المقدّمة ففي بيان أمور</w:t>
            </w:r>
            <w:r>
              <w:rPr>
                <w:rStyle w:val="IndexLink"/>
                <w:rtl w:val="true"/>
              </w:rPr>
              <w:tab/>
            </w:r>
            <w:r>
              <w:rPr>
                <w:rStyle w:val="IndexLink"/>
              </w:rPr>
              <w:t>374</w:t>
            </w:r>
          </w:hyperlink>
        </w:p>
        <w:p>
          <w:pPr>
            <w:pStyle w:val="Contents5"/>
            <w:tabs>
              <w:tab w:val="clear" w:pos="7892"/>
              <w:tab w:val="right" w:pos="9026" w:leader="dot"/>
            </w:tabs>
            <w:rPr/>
          </w:pPr>
          <w:hyperlink w:anchor="__RefHeading___Toc3483103_2870459653">
            <w:r>
              <w:rPr>
                <w:webHidden/>
                <w:rStyle w:val="IndexLink"/>
                <w:rtl w:val="true"/>
              </w:rPr>
              <w:t>الأمر الأوّل</w:t>
            </w:r>
            <w:r>
              <w:rPr>
                <w:rStyle w:val="IndexLink"/>
                <w:rtl w:val="true"/>
              </w:rPr>
              <w:tab/>
            </w:r>
            <w:r>
              <w:rPr>
                <w:rStyle w:val="IndexLink"/>
              </w:rPr>
              <w:t>374</w:t>
            </w:r>
          </w:hyperlink>
        </w:p>
        <w:p>
          <w:pPr>
            <w:pStyle w:val="Contents5"/>
            <w:tabs>
              <w:tab w:val="clear" w:pos="7892"/>
              <w:tab w:val="right" w:pos="9026" w:leader="dot"/>
            </w:tabs>
            <w:rPr/>
          </w:pPr>
          <w:hyperlink w:anchor="__RefHeading___Toc3483105_2870459653">
            <w:r>
              <w:rPr>
                <w:webHidden/>
                <w:rStyle w:val="IndexLink"/>
                <w:rtl w:val="true"/>
              </w:rPr>
              <w:t>الأمر الثّاني</w:t>
            </w:r>
            <w:r>
              <w:rPr>
                <w:rStyle w:val="IndexLink"/>
                <w:rtl w:val="true"/>
              </w:rPr>
              <w:tab/>
            </w:r>
            <w:r>
              <w:rPr>
                <w:rStyle w:val="IndexLink"/>
              </w:rPr>
              <w:t>375</w:t>
            </w:r>
          </w:hyperlink>
        </w:p>
        <w:p>
          <w:pPr>
            <w:pStyle w:val="Contents5"/>
            <w:tabs>
              <w:tab w:val="clear" w:pos="7892"/>
              <w:tab w:val="right" w:pos="9026" w:leader="dot"/>
            </w:tabs>
            <w:rPr/>
          </w:pPr>
          <w:hyperlink w:anchor="__RefHeading___Toc3483107_2870459653">
            <w:r>
              <w:rPr>
                <w:webHidden/>
                <w:rStyle w:val="IndexLink"/>
                <w:rtl w:val="true"/>
              </w:rPr>
              <w:t>الأمر الثّالث</w:t>
            </w:r>
            <w:r>
              <w:rPr>
                <w:rStyle w:val="IndexLink"/>
                <w:rtl w:val="true"/>
              </w:rPr>
              <w:tab/>
            </w:r>
            <w:r>
              <w:rPr>
                <w:rStyle w:val="IndexLink"/>
              </w:rPr>
              <w:t>376</w:t>
            </w:r>
          </w:hyperlink>
        </w:p>
        <w:p>
          <w:pPr>
            <w:pStyle w:val="Contents5"/>
            <w:tabs>
              <w:tab w:val="clear" w:pos="7892"/>
              <w:tab w:val="right" w:pos="9026" w:leader="dot"/>
            </w:tabs>
            <w:rPr/>
          </w:pPr>
          <w:hyperlink w:anchor="__RefHeading___Toc3483109_2870459653">
            <w:r>
              <w:rPr>
                <w:webHidden/>
                <w:rStyle w:val="IndexLink"/>
                <w:rtl w:val="true"/>
              </w:rPr>
              <w:t>الأمر الرّابع</w:t>
            </w:r>
            <w:r>
              <w:rPr>
                <w:rStyle w:val="IndexLink"/>
                <w:rtl w:val="true"/>
              </w:rPr>
              <w:tab/>
            </w:r>
            <w:r>
              <w:rPr>
                <w:rStyle w:val="IndexLink"/>
              </w:rPr>
              <w:t>377</w:t>
            </w:r>
          </w:hyperlink>
        </w:p>
        <w:p>
          <w:pPr>
            <w:pStyle w:val="Contents4"/>
            <w:tabs>
              <w:tab w:val="clear" w:pos="8176"/>
              <w:tab w:val="right" w:pos="9026" w:leader="dot"/>
            </w:tabs>
            <w:rPr/>
          </w:pPr>
          <w:hyperlink w:anchor="__RefHeading___Toc3483111_2870459653">
            <w:r>
              <w:rPr>
                <w:webHidden/>
                <w:rStyle w:val="IndexLink"/>
                <w:rtl w:val="true"/>
              </w:rPr>
              <w:t>البحث الأوّل</w:t>
            </w:r>
            <w:r>
              <w:rPr>
                <w:rStyle w:val="IndexLink"/>
                <w:rtl w:val="true"/>
              </w:rPr>
              <w:tab/>
            </w:r>
            <w:r>
              <w:rPr>
                <w:rStyle w:val="IndexLink"/>
              </w:rPr>
              <w:t>379</w:t>
            </w:r>
          </w:hyperlink>
        </w:p>
        <w:p>
          <w:pPr>
            <w:pStyle w:val="Contents4"/>
            <w:tabs>
              <w:tab w:val="clear" w:pos="8176"/>
              <w:tab w:val="right" w:pos="9026" w:leader="dot"/>
            </w:tabs>
            <w:rPr/>
          </w:pPr>
          <w:hyperlink w:anchor="__RefHeading___Toc3483113_2870459653">
            <w:r>
              <w:rPr>
                <w:webHidden/>
                <w:rStyle w:val="IndexLink"/>
                <w:rtl w:val="true"/>
              </w:rPr>
              <w:t>البحث الثّاني</w:t>
            </w:r>
            <w:r>
              <w:rPr>
                <w:rStyle w:val="IndexLink"/>
                <w:rtl w:val="true"/>
              </w:rPr>
              <w:tab/>
            </w:r>
            <w:r>
              <w:rPr>
                <w:rStyle w:val="IndexLink"/>
              </w:rPr>
              <w:t>383</w:t>
            </w:r>
          </w:hyperlink>
        </w:p>
        <w:p>
          <w:pPr>
            <w:pStyle w:val="Contents4"/>
            <w:tabs>
              <w:tab w:val="clear" w:pos="8176"/>
              <w:tab w:val="right" w:pos="9026" w:leader="dot"/>
            </w:tabs>
            <w:rPr/>
          </w:pPr>
          <w:hyperlink w:anchor="__RefHeading___Toc3483115_2870459653">
            <w:r>
              <w:rPr>
                <w:webHidden/>
                <w:rStyle w:val="IndexLink"/>
                <w:rtl w:val="true"/>
              </w:rPr>
              <w:t>البحث الثّالث</w:t>
            </w:r>
            <w:r>
              <w:rPr>
                <w:rStyle w:val="IndexLink"/>
                <w:rtl w:val="true"/>
              </w:rPr>
              <w:t xml:space="preserve">: </w:t>
            </w:r>
            <w:r>
              <w:rPr>
                <w:rStyle w:val="IndexLink"/>
                <w:rtl w:val="true"/>
              </w:rPr>
              <w:t>في قدر الكرّ</w:t>
            </w:r>
            <w:r>
              <w:rPr>
                <w:rStyle w:val="IndexLink"/>
                <w:rtl w:val="true"/>
              </w:rPr>
              <w:tab/>
            </w:r>
            <w:r>
              <w:rPr>
                <w:rStyle w:val="IndexLink"/>
              </w:rPr>
              <w:t>387</w:t>
            </w:r>
          </w:hyperlink>
        </w:p>
        <w:p>
          <w:pPr>
            <w:pStyle w:val="Contents4"/>
            <w:tabs>
              <w:tab w:val="clear" w:pos="8176"/>
              <w:tab w:val="right" w:pos="9026" w:leader="dot"/>
            </w:tabs>
            <w:rPr/>
          </w:pPr>
          <w:hyperlink w:anchor="__RefHeading___Toc3483117_2870459653">
            <w:r>
              <w:rPr>
                <w:webHidden/>
                <w:rStyle w:val="IndexLink"/>
                <w:rtl w:val="true"/>
              </w:rPr>
              <w:t>خاتمة</w:t>
            </w:r>
            <w:r>
              <w:rPr>
                <w:rStyle w:val="IndexLink"/>
                <w:rtl w:val="true"/>
              </w:rPr>
              <w:tab/>
            </w:r>
            <w:r>
              <w:rPr>
                <w:rStyle w:val="IndexLink"/>
              </w:rPr>
              <w:t>388</w:t>
            </w:r>
          </w:hyperlink>
        </w:p>
        <w:p>
          <w:pPr>
            <w:pStyle w:val="Contents3"/>
            <w:tabs>
              <w:tab w:val="clear" w:pos="8459"/>
              <w:tab w:val="right" w:pos="9026" w:leader="dot"/>
            </w:tabs>
            <w:rPr/>
          </w:pPr>
          <w:hyperlink w:anchor="__RefHeading___Toc3483119_2870459653">
            <w:r>
              <w:rPr>
                <w:webHidden/>
                <w:rStyle w:val="IndexLink"/>
                <w:rtl w:val="true"/>
              </w:rPr>
              <w:t>المصادر والمراجع</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9_84907"/>
      <w:bookmarkStart w:id="1" w:name="pg9159_84907"/>
      <w:bookmarkEnd w:id="1"/>
    </w:p>
    <w:p>
      <w:pPr>
        <w:pStyle w:val="Heading2"/>
        <w:numPr>
          <w:ilvl w:val="1"/>
          <w:numId w:val="1"/>
        </w:numPr>
        <w:rPr/>
      </w:pPr>
      <w:bookmarkStart w:id="2" w:name="pg9159_84907"/>
      <w:bookmarkStart w:id="3" w:name="__RefHeading___Toc3482539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الهيأة العلمية</w:t>
      </w:r>
    </w:p>
    <w:p>
      <w:pPr>
        <w:pStyle w:val="BookText"/>
        <w:rPr/>
      </w:pPr>
      <w:r>
        <w:rPr>
          <w:rFonts w:ascii="Amiri" w:hAnsi="Amiri" w:eastAsia="Amiri" w:cs="Amiri"/>
          <w:color w:val="111111"/>
          <w:sz w:val="28"/>
          <w:sz w:val="28"/>
          <w:szCs w:val="28"/>
          <w:rtl w:val="true"/>
          <w:lang w:bidi="ar-SA"/>
        </w:rPr>
        <w:t>نخبة من أساتذة الحوزة العلمية في النجف الأشرف</w:t>
      </w:r>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السيد جواد الموسوي الغريفي</w:t>
      </w:r>
    </w:p>
    <w:p>
      <w:pPr>
        <w:pStyle w:val="BookText"/>
        <w:rPr/>
      </w:pPr>
      <w:r>
        <w:rPr>
          <w:rFonts w:ascii="Amiri" w:hAnsi="Amiri" w:eastAsia="Amiri" w:cs="Amiri"/>
          <w:color w:val="111111"/>
          <w:sz w:val="28"/>
          <w:sz w:val="28"/>
          <w:szCs w:val="28"/>
          <w:rtl w:val="true"/>
          <w:lang w:bidi="ar-SA"/>
        </w:rPr>
        <w:t>هيأة التحرير</w:t>
      </w:r>
    </w:p>
    <w:p>
      <w:pPr>
        <w:pStyle w:val="BookText"/>
        <w:rPr/>
      </w:pPr>
      <w:r>
        <w:rPr>
          <w:rFonts w:ascii="Amiri" w:hAnsi="Amiri" w:eastAsia="Amiri" w:cs="Amiri"/>
          <w:color w:val="111111"/>
          <w:sz w:val="28"/>
          <w:sz w:val="28"/>
          <w:szCs w:val="28"/>
          <w:rtl w:val="true"/>
          <w:lang w:bidi="ar-SA"/>
        </w:rPr>
        <w:t>السيد علي البعاج</w:t>
      </w:r>
    </w:p>
    <w:p>
      <w:pPr>
        <w:pStyle w:val="BookText"/>
        <w:rPr/>
      </w:pPr>
      <w:r>
        <w:rPr>
          <w:rFonts w:ascii="Amiri" w:hAnsi="Amiri" w:eastAsia="Amiri" w:cs="Amiri"/>
          <w:color w:val="111111"/>
          <w:sz w:val="28"/>
          <w:sz w:val="28"/>
          <w:szCs w:val="28"/>
          <w:rtl w:val="true"/>
          <w:lang w:bidi="ar-SA"/>
        </w:rPr>
        <w:t>الشيخ محمد الجعفري</w:t>
      </w:r>
    </w:p>
    <w:p>
      <w:pPr>
        <w:pStyle w:val="BookText"/>
        <w:rPr/>
      </w:pPr>
      <w:r>
        <w:rPr>
          <w:rFonts w:ascii="Amiri" w:hAnsi="Amiri" w:eastAsia="Amiri" w:cs="Amiri"/>
          <w:color w:val="111111"/>
          <w:sz w:val="28"/>
          <w:sz w:val="28"/>
          <w:szCs w:val="28"/>
          <w:rtl w:val="true"/>
          <w:lang w:bidi="ar-SA"/>
        </w:rPr>
        <w:t>الشيخ قاسم الطائي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دراسات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الثّامن عشر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p>
    <w:p>
      <w:pPr>
        <w:pStyle w:val="BookText"/>
        <w:rPr/>
      </w:pPr>
      <w:r>
        <w:rPr>
          <w:rFonts w:ascii="IRNazanin" w:hAnsi="IRNazanin" w:eastAsia="IRNazanin"/>
          <w:color w:val="111111"/>
          <w:sz w:val="28"/>
          <w:sz w:val="28"/>
          <w:szCs w:val="28"/>
          <w:rtl w:val="true"/>
          <w:lang w:bidi="fa-IR"/>
        </w:rPr>
        <w:t>صورة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 من المخطوط المطبوع في هذا العدد بخط الفقیه الکبیر الشیخ حسین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5" w:name="__RefHeading___Toc3482541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دراسات علمية</w:t>
      </w:r>
    </w:p>
    <w:p>
      <w:pPr>
        <w:pStyle w:val="BookText"/>
        <w:rPr/>
      </w:pPr>
      <w:r>
        <w:rPr>
          <w:rFonts w:ascii="Amiri" w:hAnsi="Amiri" w:eastAsia="Amiri" w:cs="Amiri"/>
          <w:color w:val="111111"/>
          <w:sz w:val="28"/>
          <w:sz w:val="28"/>
          <w:szCs w:val="28"/>
          <w:rtl w:val="true"/>
          <w:lang w:bidi="ar-SA"/>
        </w:rPr>
        <w:t>مجلة نصف سنونية تصدر عن المدرسة العلمية الاخون الصغرى في النجف الأشرف</w:t>
      </w:r>
    </w:p>
    <w:p>
      <w:pPr>
        <w:pStyle w:val="BookText"/>
        <w:rPr/>
      </w:pPr>
      <w:r>
        <w:rPr>
          <w:rFonts w:ascii="Amiri" w:hAnsi="Amiri" w:eastAsia="Amiri" w:cs="Amiri"/>
          <w:color w:val="111111"/>
          <w:sz w:val="28"/>
          <w:sz w:val="28"/>
          <w:szCs w:val="28"/>
          <w:rtl w:val="true"/>
          <w:lang w:bidi="ar-SA"/>
        </w:rPr>
        <w:t>تعنى بالابْحَاتِ التَّخَصُصِيَة في الحوزة العلمية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159_84910"/>
    </w:p>
    <w:p>
      <w:pPr>
        <w:pStyle w:val="Heading2"/>
        <w:numPr>
          <w:ilvl w:val="1"/>
          <w:numId w:val="1"/>
        </w:numPr>
        <w:rPr/>
      </w:pPr>
      <w:bookmarkStart w:id="8" w:name="__RefHeading___Toc3482543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 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الوزيريّ بخطٍّ متوسّط الحجم، وما يزيد على ذلك يمكن جعله في حلقتين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 ويمكن للمجلّة في ما زاد عن ذلك أن تنشره مستقلّا ً مع نشر قسمٍ منه في بعض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البحث لمراجعة هيئة علميَّة 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وحدها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 ولا يُعبّر بالضّرورة عن رأي المجلَّة</w:t>
      </w:r>
      <w:r>
        <w:rPr>
          <w:rFonts w:eastAsia="Amiri" w:cs="Amiri" w:ascii="Amiri" w:hAnsi="Amiri"/>
          <w:color w:val="111111"/>
          <w:sz w:val="28"/>
          <w:szCs w:val="28"/>
          <w:rtl w:val="true"/>
          <w:lang w:bidi="ar-SA"/>
        </w:rPr>
        <w:t xml:space="preserve">. </w:t>
      </w:r>
      <w:bookmarkStart w:id="10" w:name="pg9159_84911"/>
    </w:p>
    <w:p>
      <w:pPr>
        <w:pStyle w:val="Heading2"/>
        <w:numPr>
          <w:ilvl w:val="1"/>
          <w:numId w:val="1"/>
        </w:numPr>
        <w:rPr/>
      </w:pPr>
      <w:bookmarkStart w:id="11" w:name="__RefHeading___Toc3482545_2870459653"/>
      <w:bookmarkStart w:id="12" w:name="_Toc4"/>
      <w:bookmarkEnd w:id="10"/>
      <w:bookmarkEnd w:id="11"/>
      <w:r>
        <w:rPr>
          <w:rtl w:val="true"/>
        </w:rPr>
        <w:t>المحتوی</w:t>
      </w:r>
      <w:bookmarkEnd w:id="12"/>
    </w:p>
    <w:p>
      <w:pPr>
        <w:pStyle w:val="BookText"/>
        <w:rPr/>
      </w:pPr>
      <w:r>
        <w:rPr>
          <w:rFonts w:ascii="Amiri" w:hAnsi="Amiri" w:eastAsia="Amiri" w:cs="Amiri"/>
          <w:color w:val="111111"/>
          <w:sz w:val="28"/>
          <w:sz w:val="28"/>
          <w:szCs w:val="28"/>
          <w:rtl w:val="true"/>
          <w:lang w:bidi="ar-SA"/>
        </w:rPr>
        <w:t xml:space="preserve">السّنة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الثّامن عشر</w:t>
      </w:r>
    </w:p>
    <w:p>
      <w:pPr>
        <w:pStyle w:val="BookText"/>
        <w:rPr/>
      </w:pP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هيئة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التّطوّع بالصّلاة النّافلة في وقت الفريضة</w:t>
      </w:r>
    </w:p>
    <w:p>
      <w:pPr>
        <w:pStyle w:val="BookText"/>
        <w:rPr/>
      </w:pPr>
      <w:r>
        <w:rPr>
          <w:rFonts w:ascii="Amiri" w:hAnsi="Amiri" w:eastAsia="Amiri" w:cs="Amiri"/>
          <w:color w:val="111111"/>
          <w:sz w:val="28"/>
          <w:sz w:val="28"/>
          <w:szCs w:val="28"/>
          <w:rtl w:val="true"/>
          <w:lang w:bidi="ar-SA"/>
        </w:rPr>
        <w:t xml:space="preserve">الشّيخ مرتضى المشرفاويّ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سنّ البلوغ في 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وسام عبد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استثناء الواقف المنافع لنفسه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الشّيخ أمجد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دلالة الفعل على الزّمان</w:t>
      </w:r>
    </w:p>
    <w:p>
      <w:pPr>
        <w:pStyle w:val="BookText"/>
        <w:rPr/>
      </w:pPr>
      <w:r>
        <w:rPr>
          <w:rFonts w:ascii="Amiri" w:hAnsi="Amiri" w:eastAsia="Amiri" w:cs="Amiri"/>
          <w:color w:val="111111"/>
          <w:sz w:val="28"/>
          <w:sz w:val="28"/>
          <w:szCs w:val="28"/>
          <w:rtl w:val="true"/>
          <w:lang w:bidi="ar-SA"/>
        </w:rPr>
        <w:t xml:space="preserve">الشّيخ محمّد رضا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القرائن المعنويّة العامّة وأثرها في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 أنموذجاً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عليّ الجزيريّ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رسالتان في الكرّ من إفادات الفقيه المتألّه آية الله الميرزا مهديّ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دراسات 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59_84913"/>
      <w:bookmarkStart w:id="14" w:name="pg9159_84913"/>
      <w:bookmarkEnd w:id="14"/>
    </w:p>
    <w:p>
      <w:pPr>
        <w:pStyle w:val="Heading2"/>
        <w:numPr>
          <w:ilvl w:val="1"/>
          <w:numId w:val="1"/>
        </w:numPr>
        <w:rPr/>
      </w:pPr>
      <w:bookmarkStart w:id="15" w:name="pg9159_84913"/>
      <w:bookmarkStart w:id="16" w:name="__RefHeading___Toc3482547_2870459653"/>
      <w:bookmarkStart w:id="17" w:name="_Toc5"/>
      <w:bookmarkEnd w:id="15"/>
      <w:bookmarkEnd w:id="16"/>
      <w:r>
        <w:rPr>
          <w:rtl w:val="true"/>
        </w:rPr>
        <w:t>کلمة العدد</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النّبيّ الأمين محمّدٍ وآله الطّاهرين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دأبنا في الأعداد السّابقة للمجلّة على أن نوافي مجتمع قُرّائها والمهتمّين بموضوعاتها بأفضل ما تجود به أقلام أفاضل المشتغلين بالتّأليف والبحث في دائرة اهتمام المجلّة من البحوث والدّراسات في العلوم الشّرعيّة، وفي هذا العدد نواصل تتبّع ذلك في ظلّ أجواء ترزح فيها معظم بلدان العالم تحت وطأة وباء كورونا الّذي ما زالت آثاره السّيّئة تجهد صحّة كثيرٍ من الأفراد وتقيّد حركات عموم المجتمع وتغيّر أسلوب الحياة والنّشاط في جميع محافظات البلاد للعام الثّاني على التّوالي، وإنْ كنّا نظنّ أنّ بعض الأنشطة الّتي تتطلّب تفرّغاً وركوداً في الحركات اليوميّة وشواغلها قد تؤتي أُكلَها وتتبلور للعيان في مثل هذه الظّروف، فكم من فكرةٍ لباحثٍ يبحث عن فراغٍ من وقتٍ ليتابعها، وبوادر أقلام تنتظر فسحةً من الزّمان لتتّصل بخوافيها وتنتظم في سلك موضوعها، فيؤتي ظرف الانقطاع عن النّشاط العامّ إنجازها وإكمالها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زالت المجلّة تحثّ في كلّ مناسبة وفرصة روّاد الكتابة ليكونوا من فرسانها، ومن يحدّثون أنفسهم لاقتحام ميدانها على استباق الفرصة لأقرب أعدادها؛ فإنّ الصّوارف عن جميل الأعمال لطالما حرمت أصحابها من عوائدها بعدما طال وقوفهم على التّهيّؤ لها دون المبادرة إليها، وإنّ الرّغبة تنادي بالعمل فإنْ أجابها وإلّا نسختها الصّوارف وارتحل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العدد الثّامن عشر تطالعنا خمسة بحوث وخاتمة في تحقيق مخطوطٍ لأحد الأعلام، ثلاثة منها في الفقه، الأوّل في التّطوّع بالصّلاة النّافلة في وقت الفريضة، والثّاني والثّالث تتمّة لما تقدّم في العدد السّابق في سنّ البلوغ الشّرعيّ لدى الأنثى وفي استثناء الواقف لمنافع العين الموقوفة من الوقف واستبقائها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والبحثان الآخران في علم الأصول، أحدهما دلاليّ يتناول دلالة الفعل على الزّمان بحسب المشهور بين النّحويّين ومناقشة الأصوليّين فيه، والآخر حلقة ثانية تتناول الدّلالة غير اللّفظيّة لبعض القرائن المعنويّة الحافّة والمتّصلة بالكلام مثل ما اعتاد الفقهاء على تسميته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العدد، وإن خلا من بحثٍ في مسألةٍ رجاليّةٍ، فإنّه لم يخلُ من ذكر واحدٍ من رجالات العلم والتّعريف به من خلال نشر أحد آثاره الفقهيّة المخطوطة محقّقاً في خاتمة العدد، وهو الفقيه المتألّه الميرزا مهديّ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تلامذة المحقّق الكبير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وأستاذ جملة من أعاظم العصر أشهرهم المرجع الأعلى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عُرف بموقفه المتصلّب من الاعتماد على علمي الفلسفة والعرفان في مقابل ما يُستفاد من منابع الوحي المتمثّلة في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نشكر الله تعالى على ما ساعد عليه التّوفيق طيلة هذه السّنوات لنرى مجلّة دراسات علميّة تَتابع في الإصدارات حتّى وصلت إلى هذا العدد، فلولا ذلك </w:t>
      </w:r>
    </w:p>
    <w:p>
      <w:pPr>
        <w:pStyle w:val="BookText"/>
        <w:rPr/>
      </w:pPr>
      <w:r>
        <w:rPr>
          <w:rFonts w:ascii="Amiri" w:hAnsi="Amiri" w:eastAsia="Amiri" w:cs="Amiri"/>
          <w:color w:val="111111"/>
          <w:sz w:val="28"/>
          <w:sz w:val="28"/>
          <w:szCs w:val="28"/>
          <w:rtl w:val="true"/>
          <w:lang w:bidi="ar-SA"/>
        </w:rPr>
        <w:t xml:space="preserve">التّوفيق وهمّة رجال فضلاء تتبّعوا شؤون إصدارها وتذليل الصّعاب المعترضة أمام المداومة والاستمرار في تعاهدها لما أمكن أن نكون هنا اليوم، ومن أولئك المخلصين فضيلة الشّيخ محمّد الماجديّ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فجعنا قُبيل صدور هذا العدد برحيله إذ لم يمهله وباء كورونا كثيراً حتّى التحق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للفقيد مساهمة فاعلة في ضبط ومتابعة الجانب اللّغويّ لأعداد المجلّة لمدّة تزيد على نصف عمرها، فعلى الله أجره ومع النّبيّ وآله حشره ومقرّه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يُنسى أيضاً فضل اللّجنة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بأعضائها الّذين لا يزالون يرعون هذا المشروع ويرتفعون بمستوى البحوث الّتي فيه إلى درجةٍ تليقُ بمؤسّسةٍ عريقةٍ مثل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يظلّل على جميع المشتغلين بالرّحمة ويمدّهم بالرّغبة ويوفّقهم للعلم والعمل، فهو وليُّ النّجاح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هيئة التّحرير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159_84917"/>
      <w:bookmarkStart w:id="19" w:name="pg9159_84917"/>
      <w:bookmarkEnd w:id="19"/>
    </w:p>
    <w:p>
      <w:pPr>
        <w:pStyle w:val="Heading2"/>
        <w:numPr>
          <w:ilvl w:val="1"/>
          <w:numId w:val="1"/>
        </w:numPr>
        <w:rPr/>
      </w:pPr>
      <w:bookmarkStart w:id="20" w:name="pg9159_84917"/>
      <w:bookmarkStart w:id="21" w:name="__RefHeading___Toc3482549_2870459653"/>
      <w:bookmarkStart w:id="22" w:name="_Toc6"/>
      <w:bookmarkEnd w:id="20"/>
      <w:bookmarkEnd w:id="21"/>
      <w:r>
        <w:rPr>
          <w:rtl w:val="true"/>
        </w:rPr>
        <w:t xml:space="preserve">التّطوّع بالصّلاة النّافلة في وقت الفريضة </w:t>
      </w:r>
      <w:r>
        <w:rPr>
          <w:rtl w:val="true"/>
        </w:rPr>
        <w:t xml:space="preserve">- </w:t>
      </w:r>
      <w:r>
        <w:rPr>
          <w:rtl w:val="true"/>
        </w:rPr>
        <w:t xml:space="preserve">الشّيخ مرتضى المشرفاويّ </w:t>
      </w:r>
      <w:r>
        <w:rPr>
          <w:rtl w:val="true"/>
        </w:rPr>
        <w:t>(</w:t>
      </w:r>
      <w:r>
        <w:rPr>
          <w:rtl w:val="true"/>
        </w:rPr>
        <w:t>دام عزه</w:t>
      </w:r>
      <w:r>
        <w:rPr>
          <w:rtl w:val="true"/>
        </w:rPr>
        <w:t>)</w:t>
      </w:r>
      <w:bookmarkEnd w:id="22"/>
    </w:p>
    <w:p>
      <w:pPr>
        <w:pStyle w:val="Heading3"/>
        <w:numPr>
          <w:ilvl w:val="2"/>
          <w:numId w:val="1"/>
        </w:numPr>
        <w:rPr/>
      </w:pPr>
      <w:bookmarkStart w:id="23" w:name="__RefHeading___Toc3482551_2870459653"/>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تناط أهمّيّة البحث حول مسألة من المسائل بقدر ما لها من مساس بوظائف المكلَّف وابتلاءاته وما تعكسه من تأثير على حياته العمليّة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الضوء على مسألة حكم التطوّع بالصلاة في وقت الفريضة والّتي لها توجيه عمليّ مباشر على حياة المكلَّف، وقد سلكت فيه مسلك العرض والنقد والترجيح لآراء فقهائنا في المسألة، متكئاً على ما جادت به قرائح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 والمتأخّرين من الأقوال في المسألة والأدلّة عليها</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البحث في المسائل ذات الطابع العملي في بعض جوانبها يحظى بمجال من الأهمّية لا سيّما مع تكرّر الابتلاء بها بشكل يومي في حياة بعض المكلّفين، ومن هذا القبيل مسألة التطوّع بالنافلة في وقت الفريضة، فإنّ القول فيها جوازاً أو منعاً ذو تأثير مباشر على سلوك الإنسان في هذا المجال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 المتفحّص في حدود ما حضرني من مصادر لكلمات فقهائنا المتقدّمين يفضي إلى عدم العثور على مصرّح منهم بالمنع وإن لاح من بعض كلمات القاضي ابن البرّاج،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زالت الشمس وصارت بعد الزوال على قدمين، ولم يكن المكلّف صلّى من نوافل الظهر شيئاً فينبغي أن يؤخّرها ويبدأ بالفريضة، وهكذا ينبغي أن يفعل في نوافل العصر مع فريضته إذا صار الظلّ بعد الزوال على أربعة أقدام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يظهر من بعض كلماتهم المنع في خصوص قضاء النافلة في وقت الفريضة، فقد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وتقضى فوائت النوافل في كلّ وقت ما لم يكن وقت فريضة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وذكر الشيخ نحو هذه العبارة في النهاية</w:t>
      </w:r>
      <w:r>
        <w:rPr>
          <w:rStyle w:val="FootnoteAnchor"/>
          <w:rtl w:val="true"/>
        </w:rPr>
        <w:footnoteReference w:id="4"/>
      </w:r>
      <w:r>
        <w:rPr>
          <w:rFonts w:ascii="Amiri" w:hAnsi="Amiri" w:eastAsia="Amiri" w:cs="Amiri"/>
          <w:color w:val="111111"/>
          <w:sz w:val="28"/>
          <w:sz w:val="28"/>
          <w:szCs w:val="28"/>
          <w:rtl w:val="true"/>
          <w:lang w:bidi="ar-SA"/>
        </w:rPr>
        <w:t>، وقال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فاته شيء من النوافل المرتّبة قضاه أيّ وقت ذكره ما لم يكن وقت فريضة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قضاء النوافل فمستحبّ ما لم يكن وقت فريضة أو لم يلزمه قضاء فريضة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فاته شيء من صلاة النوافل فليقضها أيّ وقت شاء من ليل أو نهار ما لم يدخل وقت فريضة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حكاية جواز التنفّل لمن عليه فائتة عن الشيخ الصدوق، 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السيّد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الأصحاب في جواز التنفّل لمن عليه فائتة، فقيل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بالجواز، وهو اختيار ابن بابويه، وابن الجنيد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وجدته مصرّحاً بالمنع، بل ومدّعياً عليه الإجماع هو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وتصلّى الفرائض أداءً وقضاءً ما لم تتضيّق الحاضرة، والنوافل ما لم يدخل وقت الفريضة، وهو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النوافل فلما روينا من الأحاديث </w:t>
      </w:r>
    </w:p>
    <w:p>
      <w:pPr>
        <w:pStyle w:val="BookText"/>
        <w:rPr/>
      </w:pPr>
      <w:r>
        <w:rPr>
          <w:rFonts w:ascii="Amiri" w:hAnsi="Amiri" w:eastAsia="Amiri" w:cs="Amiri"/>
          <w:color w:val="111111"/>
          <w:sz w:val="28"/>
          <w:sz w:val="28"/>
          <w:szCs w:val="28"/>
          <w:rtl w:val="true"/>
          <w:lang w:bidi="ar-SA"/>
        </w:rPr>
        <w:t>المانعة من النافلة في وقت الفريضة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لمن عليه صلاة فريضة أن يأتي بالنافلة قضاءً ولا أداءً</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ولعلّ أوّل من فتح الباب لتبنّي القول بجواز النافلة في وقت الفريضة هو الشهيد الأوّل في الدروس والذكرى، وقد تابعه على ذلك المحقّق الثاني في جامع المقاصد</w:t>
      </w:r>
      <w:r>
        <w:rPr>
          <w:rStyle w:val="FootnoteAnchor"/>
          <w:rtl w:val="true"/>
        </w:rPr>
        <w:footnoteReference w:id="11"/>
      </w:r>
      <w:r>
        <w:rPr>
          <w:rFonts w:ascii="Amiri" w:hAnsi="Amiri" w:eastAsia="Amiri" w:cs="Amiri"/>
          <w:color w:val="111111"/>
          <w:sz w:val="28"/>
          <w:sz w:val="28"/>
          <w:szCs w:val="28"/>
          <w:rtl w:val="true"/>
          <w:lang w:bidi="ar-SA"/>
        </w:rPr>
        <w:t>، والمحقّق الأردبيلي في مجمع الفائدة</w:t>
      </w:r>
      <w:r>
        <w:rPr>
          <w:rStyle w:val="FootnoteAnchor"/>
          <w:rtl w:val="true"/>
        </w:rPr>
        <w:footnoteReference w:id="12"/>
      </w:r>
      <w:r>
        <w:rPr>
          <w:rFonts w:ascii="Amiri" w:hAnsi="Amiri" w:eastAsia="Amiri" w:cs="Amiri"/>
          <w:color w:val="111111"/>
          <w:sz w:val="28"/>
          <w:sz w:val="28"/>
          <w:szCs w:val="28"/>
          <w:rtl w:val="true"/>
          <w:lang w:bidi="ar-SA"/>
        </w:rPr>
        <w:t>وجملة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اشتهر بين متأخّري الأصحاب منع صلاة النافلة لمن عليه فريضة، وقد قدّمنا أخباراً تشهد بجواز ذلك</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ثمّ إنّه بعد أن ذكر مستنده على الجواز من الأخبار، ذكر أدلّة المانعين وأجاب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تعارضت الروايات وجب الجمع بالحمل على الكراهية في هذا النهي، وبنفي الصلاة الكاملة في الخبر الثاني</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 ويقصد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صلاة لمن عليه صلاة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المهمّ هو النظر في أدلّة المسألة لنرى أيّ القولين حريّ بالاختيار</w:t>
      </w:r>
      <w:r>
        <w:rPr>
          <w:rFonts w:eastAsia="Amiri" w:cs="Amiri" w:ascii="Amiri" w:hAnsi="Amiri"/>
          <w:color w:val="111111"/>
          <w:sz w:val="28"/>
          <w:szCs w:val="28"/>
          <w:rtl w:val="true"/>
          <w:lang w:bidi="ar-SA"/>
        </w:rPr>
        <w:t xml:space="preserve">. </w:t>
      </w:r>
      <w:bookmarkStart w:id="25" w:name="pg9159_84922"/>
    </w:p>
    <w:p>
      <w:pPr>
        <w:pStyle w:val="BookText"/>
        <w:rPr/>
      </w:pPr>
      <w:bookmarkEnd w:id="25"/>
      <w:r>
        <w:rPr>
          <w:rFonts w:ascii="Amiri" w:hAnsi="Amiri" w:eastAsia="Amiri" w:cs="Amiri"/>
          <w:color w:val="111111"/>
          <w:sz w:val="28"/>
          <w:sz w:val="28"/>
          <w:szCs w:val="28"/>
          <w:rtl w:val="true"/>
          <w:lang w:bidi="ar-SA"/>
        </w:rPr>
        <w:t>وقبل الشروع في البحث نذكر تمهيداً نافعاً في تحديد محلّ النقض والإبرام في كلمات الأعلام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482553_2870459653"/>
      <w:bookmarkStart w:id="27" w:name="_Toc8"/>
      <w:bookmarkEnd w:id="26"/>
      <w:r>
        <w:rPr>
          <w:rtl w:val="true"/>
        </w:rPr>
        <w:t>تمهيد</w:t>
      </w:r>
      <w:bookmarkEnd w:id="27"/>
    </w:p>
    <w:p>
      <w:pPr>
        <w:pStyle w:val="BookText"/>
        <w:rPr/>
      </w:pPr>
      <w:r>
        <w:rPr>
          <w:rFonts w:ascii="Amiri" w:hAnsi="Amiri" w:eastAsia="Amiri" w:cs="Amiri"/>
          <w:color w:val="111111"/>
          <w:sz w:val="28"/>
          <w:sz w:val="28"/>
          <w:szCs w:val="28"/>
          <w:rtl w:val="true"/>
          <w:lang w:bidi="ar-SA"/>
        </w:rPr>
        <w:t>ونتناول فيه ثلاثة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وقت الظهرين ما بين الزوال والمغرب، ويختصّ الظهر بأوّله بمقدار أدائها بحسب حاله، ويختصّ العصر بآخره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بين المغرب ونصف الليل وقت للمغرب والعشاء، ويختصّ المغرب بأوّله بمقدار أدائه، والعشاء بآخره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بين طلوع الفجر الصادق إلى طلوع الشمس وقت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ووقت فضيلة الظهر من الزوال إلى بلوغ الظلّ الحادث بعد الانعدام، أو بعد الانتهاء مثل الشاخص، ووقت فضيلة العصر من المثل إلى المثلين على المشهور، ووقت فضيلة المغرب من المغرب إلى ذهاب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الحمرة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ووقت فضيلة العشاء من ذهاب الشفق إلى ثلث الليل، ووقت فضيلة الصبح من طلوع الفجر إلى حدوث الحمرة في المشرق</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جواز أداء النوافل المرتّبة اليومية عند دخول وقت الفريضة ما لم يتضيّق وقت فضيلتها، وإنّما الكلام في جواز الإتيان بالنوافل غير المرتّبة من المبتدأة وذوات الأسباب قبل الإتيان بالفريضة التي حضر وقتها، وكذا يدخل في محلّ الكلام صورة مزاحمة النافلة الراتبة اليومية للفريضة التي تضيّق وقت فضيلتها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فالمراد بالنافلة في الروايات المستدلّ بها في محلّ الكلام إمّا خصوص الراتبة كما يشهد له الأمر بقضائها في جملة منها</w:t>
      </w:r>
      <w:r>
        <w:rPr>
          <w:rStyle w:val="FootnoteAnchor"/>
          <w:rtl w:val="true"/>
        </w:rPr>
        <w:footnoteReference w:id="17"/>
      </w:r>
      <w:r>
        <w:rPr>
          <w:rFonts w:ascii="Amiri" w:hAnsi="Amiri" w:eastAsia="Amiri" w:cs="Amiri"/>
          <w:color w:val="111111"/>
          <w:sz w:val="28"/>
          <w:sz w:val="28"/>
          <w:szCs w:val="28"/>
          <w:rtl w:val="true"/>
          <w:lang w:bidi="ar-SA"/>
        </w:rPr>
        <w:t>أو الأعمّ منها ومن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يكون المراد بوقت الفريضة في تلك الروايات بحسب الظاهر هو وقتها الذي أمر فيه بأن يبدأ بالفريضة ويترك عنده النافلة، وهو بالنسبة إلى الظهرين بعد الذراع والذراعين، فالمستفاد من الروايات أنّ التطوّع قبل الذراع والذراعين خارج عن موضوع الأخبار الناهية عن التطوّع في وقت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بالنهي عن التطوّع في وقت الفريضة هو النهي عنه ما دامت الذمّة مشغولة بالفريضة لا مطلقاً؛ ضرورة أنّه يجوز التطوّع في وقت الفريضة بعد أدائها نصّاً وفتوىً، فالوقت في حدّ ذاته صالح للتطوّع ولكن اشتغال الذمّة بالفريضة أثّر في المنع عنه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كلمات بعض من تعرّض للمسألة من فقهائنا أنّ النزاع ومحلّ الأخذ والردّ هو الحكم التكليفي، كما ينادي بذلك لسان القائلين بالجواز، فقد حمل الشهيد في الذكرى</w:t>
      </w:r>
      <w:r>
        <w:rPr>
          <w:rStyle w:val="FootnoteAnchor"/>
          <w:rtl w:val="true"/>
        </w:rPr>
        <w:footnoteReference w:id="19"/>
      </w:r>
      <w:r>
        <w:rPr>
          <w:rFonts w:ascii="Amiri" w:hAnsi="Amiri" w:eastAsia="Amiri" w:cs="Amiri"/>
          <w:color w:val="111111"/>
          <w:sz w:val="28"/>
          <w:sz w:val="28"/>
          <w:szCs w:val="28"/>
          <w:rtl w:val="true"/>
          <w:lang w:bidi="ar-SA"/>
        </w:rPr>
        <w:t xml:space="preserve">أخبار المنع من النافلة لمن عليه قضاء فريضة على الكراهة، كما أنّ هذا هو المناسب للسان الأدلّة، فإنّ الأصل في الأوامر والنواهي الواردة في لسان </w:t>
      </w:r>
    </w:p>
    <w:p>
      <w:pPr>
        <w:pStyle w:val="BookText"/>
        <w:rPr/>
      </w:pPr>
      <w:r>
        <w:rPr>
          <w:rFonts w:ascii="Amiri" w:hAnsi="Amiri" w:eastAsia="Amiri" w:cs="Amiri"/>
          <w:color w:val="111111"/>
          <w:sz w:val="28"/>
          <w:sz w:val="28"/>
          <w:szCs w:val="28"/>
          <w:rtl w:val="true"/>
          <w:lang w:bidi="ar-SA"/>
        </w:rPr>
        <w:t>الشارع هو حملها على المولوية وتأسيس الحكم التكليفي، كما ربّما هذا هو مراد المانعين من النافلة في وقت الفريضة، حيث استدلّوا بالأدلّة الآمرة بالبدء بالفريضة إذا دخل وقتها مدّعين بأنّه يدلّ على النهي عن النافلة عند دخول وقت الفريضة، ومن القريب جدّاً أن يكون مرادهم التمسّك بالملازمة بين الأمر بالشيء والنهي عن ضدّه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ثبوت النهي التكليفي عن العبادة يستلزم النهي الوضعي؛ للتلازم بين النهي عن العبادة وفسادها، فلا تستغرب من تعبير بعض الفقهاء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الفريضة شرطاً في صحّة النافلة، كما هو من لوازم مذهب المانعين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تفريغ الذمّة شرطاً تعبّدياً لصحّة النافلة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8" w:name="pg9159_84925"/>
    </w:p>
    <w:p>
      <w:pPr>
        <w:pStyle w:val="Heading3"/>
        <w:numPr>
          <w:ilvl w:val="2"/>
          <w:numId w:val="1"/>
        </w:numPr>
        <w:rPr/>
      </w:pPr>
      <w:bookmarkStart w:id="29" w:name="__RefHeading___Toc3482555_2870459653"/>
      <w:bookmarkStart w:id="30" w:name="_Toc9"/>
      <w:bookmarkEnd w:id="28"/>
      <w:bookmarkEnd w:id="29"/>
      <w:r>
        <w:rPr>
          <w:rtl w:val="true"/>
        </w:rPr>
        <w:t>الأقوال في المسألة</w:t>
      </w:r>
      <w:bookmarkEnd w:id="30"/>
    </w:p>
    <w:p>
      <w:pPr>
        <w:pStyle w:val="Heading4"/>
        <w:numPr>
          <w:ilvl w:val="3"/>
          <w:numId w:val="1"/>
        </w:numPr>
        <w:rPr/>
      </w:pPr>
      <w:bookmarkStart w:id="31" w:name="__RefHeading___Toc3482557_2870459653"/>
      <w:bookmarkStart w:id="32" w:name="_Toc10"/>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وقد انقسمت أقوال علمائنا في مسألة التطوّع بالصلاة في وقت الفريضة على قولين رئيسيين</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482559_2870459653"/>
      <w:bookmarkStart w:id="34" w:name="_Toc11"/>
      <w:bookmarkEnd w:id="33"/>
      <w:r>
        <w:rPr>
          <w:rtl w:val="true"/>
        </w:rPr>
        <w:t>القول الأوّل</w:t>
      </w:r>
      <w:bookmarkEnd w:id="34"/>
    </w:p>
    <w:p>
      <w:pPr>
        <w:pStyle w:val="BookText"/>
        <w:rPr/>
      </w:pPr>
      <w:r>
        <w:rPr>
          <w:rFonts w:ascii="IRNazanin" w:hAnsi="IRNazanin" w:eastAsia="IRNazanin"/>
          <w:color w:val="111111"/>
          <w:sz w:val="28"/>
          <w:sz w:val="28"/>
          <w:szCs w:val="28"/>
          <w:rtl w:val="true"/>
          <w:lang w:bidi="fa-IR"/>
        </w:rPr>
        <w:t>عدم الجواز، وهو للمحقّق</w:t>
      </w:r>
      <w:r>
        <w:rPr>
          <w:rStyle w:val="FootnoteAnchor"/>
          <w:rtl w:val="true"/>
        </w:rPr>
        <w:footnoteReference w:id="22"/>
      </w:r>
      <w:r>
        <w:rPr>
          <w:rFonts w:ascii="Amiri" w:hAnsi="Amiri" w:eastAsia="Amiri" w:cs="Amiri"/>
          <w:color w:val="111111"/>
          <w:sz w:val="28"/>
          <w:sz w:val="28"/>
          <w:szCs w:val="28"/>
          <w:rtl w:val="true"/>
          <w:lang w:bidi="ar-SA"/>
        </w:rPr>
        <w:t>، والعلّامة في جملة من كتبه</w:t>
      </w:r>
      <w:r>
        <w:rPr>
          <w:rStyle w:val="FootnoteAnchor"/>
          <w:rtl w:val="true"/>
        </w:rPr>
        <w:footnoteReference w:id="23"/>
      </w:r>
      <w:r>
        <w:rPr>
          <w:rFonts w:ascii="Amiri" w:hAnsi="Amiri" w:eastAsia="Amiri" w:cs="Amiri"/>
          <w:color w:val="111111"/>
          <w:sz w:val="28"/>
          <w:sz w:val="28"/>
          <w:szCs w:val="28"/>
          <w:rtl w:val="true"/>
          <w:lang w:bidi="ar-SA"/>
        </w:rPr>
        <w:t>، وجماعة من المتأخّرين</w:t>
      </w:r>
      <w:r>
        <w:rPr>
          <w:rStyle w:val="FootnoteAnchor"/>
          <w:rtl w:val="true"/>
        </w:rPr>
        <w:footnoteReference w:id="24"/>
      </w:r>
      <w:r>
        <w:rPr>
          <w:rFonts w:ascii="Amiri" w:hAnsi="Amiri" w:eastAsia="Amiri" w:cs="Amiri"/>
          <w:color w:val="111111"/>
          <w:sz w:val="28"/>
          <w:sz w:val="28"/>
          <w:szCs w:val="28"/>
          <w:rtl w:val="true"/>
          <w:lang w:bidi="ar-SA"/>
        </w:rPr>
        <w:t>، ونسبه في المدارك والحدائق إلى الشيخين</w:t>
      </w:r>
      <w:r>
        <w:rPr>
          <w:rStyle w:val="FootnoteAnchor"/>
          <w:rtl w:val="true"/>
        </w:rPr>
        <w:footnoteReference w:id="25"/>
      </w:r>
      <w:r>
        <w:rPr>
          <w:rFonts w:ascii="IRNazanin" w:hAnsi="IRNazanin" w:eastAsia="IRNazanin"/>
          <w:color w:val="111111"/>
          <w:sz w:val="28"/>
          <w:sz w:val="28"/>
          <w:szCs w:val="28"/>
          <w:rtl w:val="true"/>
          <w:lang w:bidi="fa-IR"/>
        </w:rPr>
        <w:t>، وقد صرّح المحقّق بأنّه مذهب علمائنا</w:t>
      </w:r>
      <w:r>
        <w:rPr>
          <w:rStyle w:val="FootnoteAnchor"/>
          <w:rtl w:val="true"/>
        </w:rPr>
        <w:footnoteReference w:id="26"/>
      </w:r>
      <w:r>
        <w:rPr>
          <w:rFonts w:ascii="Amiri" w:hAnsi="Amiri" w:eastAsia="Amiri" w:cs="Amiri"/>
          <w:color w:val="111111"/>
          <w:sz w:val="28"/>
          <w:sz w:val="28"/>
          <w:szCs w:val="28"/>
          <w:rtl w:val="true"/>
          <w:lang w:bidi="ar-SA"/>
        </w:rPr>
        <w:t>، كما صرّح الشهيد الثاني بأنّه المشهور بين المتأخّرين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3482561_2870459653"/>
      <w:bookmarkStart w:id="36" w:name="_Toc12"/>
      <w:bookmarkEnd w:id="35"/>
      <w:r>
        <w:rPr>
          <w:rtl w:val="true"/>
        </w:rPr>
        <w:t>القول الآخر</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الجواز، وهو مذهب الشهيدين</w:t>
      </w:r>
      <w:r>
        <w:rPr>
          <w:rStyle w:val="FootnoteAnchor"/>
          <w:rtl w:val="true"/>
        </w:rPr>
        <w:footnoteReference w:id="28"/>
      </w:r>
      <w:r>
        <w:rPr>
          <w:rFonts w:ascii="Amiri" w:hAnsi="Amiri" w:eastAsia="Amiri" w:cs="Amiri"/>
          <w:color w:val="111111"/>
          <w:sz w:val="28"/>
          <w:sz w:val="28"/>
          <w:szCs w:val="28"/>
          <w:rtl w:val="true"/>
          <w:lang w:bidi="ar-SA"/>
        </w:rPr>
        <w:t>، وقد صرّح في الدروس بأنّه الأشهر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7" w:name="pg9159_84926"/>
    </w:p>
    <w:p>
      <w:pPr>
        <w:pStyle w:val="Heading3"/>
        <w:numPr>
          <w:ilvl w:val="2"/>
          <w:numId w:val="1"/>
        </w:numPr>
        <w:rPr/>
      </w:pPr>
      <w:bookmarkStart w:id="38" w:name="__RefHeading___Toc3482563_2870459653"/>
      <w:bookmarkStart w:id="39" w:name="_Toc13"/>
      <w:bookmarkEnd w:id="37"/>
      <w:bookmarkEnd w:id="38"/>
      <w:r>
        <w:rPr>
          <w:rtl w:val="true"/>
        </w:rPr>
        <w:t>أدلّة القول الأوّل</w:t>
      </w:r>
      <w:bookmarkEnd w:id="39"/>
    </w:p>
    <w:p>
      <w:pPr>
        <w:pStyle w:val="Heading4"/>
        <w:numPr>
          <w:ilvl w:val="3"/>
          <w:numId w:val="1"/>
        </w:numPr>
        <w:rPr/>
      </w:pPr>
      <w:bookmarkStart w:id="40" w:name="__RefHeading___Toc3482565_2870459653"/>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وقد استُدلّ لعدم الجواز بعدّة وجوه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482567_2870459653"/>
      <w:bookmarkStart w:id="43" w:name="_Toc15"/>
      <w:bookmarkEnd w:id="42"/>
      <w:r>
        <w:rPr>
          <w:rtl w:val="true"/>
        </w:rPr>
        <w:t>الوجه الأوّل</w:t>
      </w:r>
      <w:r>
        <w:rPr>
          <w:rtl w:val="true"/>
        </w:rPr>
        <w:t xml:space="preserve">: </w:t>
      </w:r>
      <w:r>
        <w:rPr>
          <w:rtl w:val="true"/>
        </w:rPr>
        <w:t>ما ورد بلسان الأمر بالبدء بالفريضة عند دخول وقتها</w:t>
      </w:r>
      <w:bookmarkEnd w:id="43"/>
    </w:p>
    <w:p>
      <w:pPr>
        <w:pStyle w:val="BookText"/>
        <w:rPr/>
      </w:pPr>
      <w:r>
        <w:rPr>
          <w:rFonts w:ascii="Amiri" w:hAnsi="Amiri" w:eastAsia="Amiri" w:cs="Amiri"/>
          <w:color w:val="111111"/>
          <w:sz w:val="28"/>
          <w:sz w:val="28"/>
          <w:szCs w:val="28"/>
          <w:rtl w:val="true"/>
          <w:lang w:bidi="ar-SA"/>
        </w:rPr>
        <w:t>ويتمثّل ذلك بروايتين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ركعتي الفجر قبل الفجر أو بعد الفجر؟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الفجر، إنّهما من صلاة الليل، ثلاث عشرة ركعة صلاة الليل، أتريد أن تقايس، لو كان عليك من شهر رمضان أكنت تتطوّع؟ إذا دخل عليك وقت الفريضة فابدأ بالفريضة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بأنّ الأمر بالبدأة بالفريضة بعد دخول وقتها كالصريح في النهي عن التطوّع في وقت الفريضة، ثمّ إنّ المنع عن صوم النافلة لمن عليه صوم فريضة منع تحريم، فيكون المنع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وإن كانت ظاهرة في المنع إلّا أنّ موردها خصوص نافلة الفجر، لا مطلق التطوّع، وحيث قد دلّت نصوص أُخر على جواز الإتيان بها بعد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يحمل النهي فيها على الكراهة ومجرّد المرجوحية؛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يمكن الاستدلال بها على المنع حتّى في موردها فضلاً عن التعدّي إلى سائر الموارد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ولا يبعد 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أتريد أن تقايس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مسوقاً لتعليم زرارة </w:t>
      </w:r>
    </w:p>
    <w:p>
      <w:pPr>
        <w:pStyle w:val="BookText"/>
        <w:rPr/>
      </w:pPr>
      <w:r>
        <w:rPr>
          <w:rFonts w:ascii="Amiri" w:hAnsi="Amiri" w:eastAsia="Amiri" w:cs="Amiri"/>
          <w:color w:val="111111"/>
          <w:sz w:val="28"/>
          <w:sz w:val="28"/>
          <w:szCs w:val="28"/>
          <w:rtl w:val="true"/>
          <w:lang w:bidi="ar-SA"/>
        </w:rPr>
        <w:t>كيفية الجدل والمناظرة مع خصومه من أبناء العامّة الذين يرون جواز الإتيان بالنافلة بعد طلوع الفجر مع التزامهم بحجّية القياس، وبما هو الصواب من عدم جواز التطوّع بالصوم ممّن عليه فريضته، بالنقض عليهم بالصوم جرياً على مسلكهم، لا أنّه بصدد الاستدلال بالقياس المعلوم عدم كونه من مذهبنا، فإنّه لا سبيل للاستدلال بما هو واضح البطلان في الشريعة المقدّسة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النصوص التي أشار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جواز الإتيان بالنافلة بعد طلوع الفجر 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صلّهما بعدما يطلع الفجر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وافقه أحد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بينهما بحمل النهي الوارد في صحيحة زرارة على الكراهة؛ تطبيقاً لحمل الظاهر على النصّ</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ما دلّ على الإتيان بها قبل الفجر على أفضلية ذلك وإن دلّت نصوص أخر على جواز الإتيان بها بعد الفجر، كما في صحيحة ابن الحجّاج؛ دفعاً لتوهّم تعيّن الإتيان بها قبل الفجر الناشئ من وجود روايات تدلّ على أنّ وقتها قبل طلوع الفجر، كما في صحيحة زرارة المتقدّمة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ترجيح الحمل الثاني بأنّ الوارد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وقت ركعتي الفجر قبل الفجر، والوارد في صحيحة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صلّهما بعدما </w:t>
      </w:r>
    </w:p>
    <w:p>
      <w:pPr>
        <w:pStyle w:val="BookText"/>
        <w:rPr/>
      </w:pPr>
      <w:r>
        <w:rPr>
          <w:rFonts w:ascii="Amiri" w:hAnsi="Amiri" w:eastAsia="Amiri" w:cs="Amiri"/>
          <w:color w:val="111111"/>
          <w:sz w:val="28"/>
          <w:sz w:val="28"/>
          <w:szCs w:val="28"/>
          <w:rtl w:val="true"/>
          <w:lang w:bidi="ar-SA"/>
        </w:rPr>
        <w:t>يطلع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فيستقرّ التعارض بينهما، ولا يرتفع على الحمل الأوّل، إلّا إذا قلنا بأنّ المقصود من الفجر في صحيحة ابن الحجّاج هو الفجر الأوّل، والمراد منه في صحيحة زرارة هو الفجر الثاني، وهذا المعنى غير منظور لأصحاب الحمل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زياد بن أبي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المكتوبة فابدأ بها، فلا يضرّك أن تترك ما قبلها من النافلة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يعدّ من الموثّق، بناءً على أنّ الموجود في السند هو زياد بن أبي غياث الذي وثّقه النجاشي</w:t>
      </w:r>
      <w:r>
        <w:rPr>
          <w:rStyle w:val="FootnoteAnchor"/>
          <w:rtl w:val="true"/>
        </w:rPr>
        <w:footnoteReference w:id="35"/>
      </w:r>
      <w:r>
        <w:rPr>
          <w:rFonts w:ascii="Amiri" w:hAnsi="Amiri" w:eastAsia="Amiri" w:cs="Amiri"/>
          <w:color w:val="111111"/>
          <w:sz w:val="28"/>
          <w:sz w:val="28"/>
          <w:szCs w:val="28"/>
          <w:rtl w:val="true"/>
          <w:lang w:bidi="ar-SA"/>
        </w:rPr>
        <w:t xml:space="preserve">، وأمّا لو كان الموجود هو زياد أبو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نسخ التهذيب</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 ما يعني الخدشة في سند الرواية، إلّا أنّ ممّا يرجّح النسخة الأولى هو أنّ الراوي عن زياد بن أبي غياث هو ثابت بن شريح الصائغ الأنباري الذي وثّقه النجاشي</w:t>
      </w:r>
      <w:r>
        <w:rPr>
          <w:rStyle w:val="FootnoteAnchor"/>
          <w:rtl w:val="true"/>
        </w:rPr>
        <w:footnoteReference w:id="37"/>
      </w:r>
      <w:r>
        <w:rPr>
          <w:rFonts w:ascii="Amiri" w:hAnsi="Amiri" w:eastAsia="Amiri" w:cs="Amiri"/>
          <w:color w:val="111111"/>
          <w:sz w:val="28"/>
          <w:sz w:val="28"/>
          <w:szCs w:val="28"/>
          <w:rtl w:val="true"/>
          <w:lang w:bidi="ar-SA"/>
        </w:rPr>
        <w:t>فهو الراوي لكتاب زياد بن أبي غياث، كما هو واضح من طريق الشيخ والنجاشي إلى كتاب زياد</w:t>
      </w:r>
      <w:r>
        <w:rPr>
          <w:rStyle w:val="FootnoteAnchor"/>
          <w:rtl w:val="true"/>
        </w:rPr>
        <w:footnoteReference w:id="38"/>
      </w:r>
      <w:r>
        <w:rPr>
          <w:rFonts w:ascii="Amiri" w:hAnsi="Amiri" w:eastAsia="Amiri" w:cs="Amiri"/>
          <w:color w:val="111111"/>
          <w:sz w:val="28"/>
          <w:sz w:val="28"/>
          <w:szCs w:val="28"/>
          <w:rtl w:val="true"/>
          <w:lang w:bidi="ar-SA"/>
        </w:rPr>
        <w:t>، وهذا مطابق للطريق في روايتنا، مضافاً إلى أنّ الشيخ قد نقل الرواية نفسها في الاستبصار</w:t>
      </w:r>
      <w:r>
        <w:rPr>
          <w:rStyle w:val="FootnoteAnchor"/>
          <w:rtl w:val="true"/>
        </w:rPr>
        <w:footnoteReference w:id="39"/>
      </w:r>
      <w:r>
        <w:rPr>
          <w:rFonts w:ascii="Amiri" w:hAnsi="Amiri" w:eastAsia="Amiri" w:cs="Amiri"/>
          <w:color w:val="111111"/>
          <w:sz w:val="28"/>
          <w:sz w:val="28"/>
          <w:szCs w:val="28"/>
          <w:rtl w:val="true"/>
          <w:lang w:bidi="ar-SA"/>
        </w:rPr>
        <w:t xml:space="preserve">وفيها زياد بن أبي غياث، ممّا يرجّح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النسّاخ، فلا إشكال في سند الرواية</w:t>
      </w:r>
      <w:r>
        <w:rPr>
          <w:rFonts w:eastAsia="Amiri" w:cs="Amiri" w:ascii="Amiri" w:hAnsi="Amiri"/>
          <w:color w:val="111111"/>
          <w:sz w:val="28"/>
          <w:szCs w:val="28"/>
          <w:rtl w:val="true"/>
          <w:lang w:bidi="ar-SA"/>
        </w:rPr>
        <w:t xml:space="preserve">. </w:t>
      </w:r>
      <w:bookmarkStart w:id="44" w:name="pg9159_84929"/>
    </w:p>
    <w:p>
      <w:pPr>
        <w:pStyle w:val="BookText"/>
        <w:rPr/>
      </w:pPr>
      <w:bookmarkEnd w:id="44"/>
      <w:r>
        <w:rPr>
          <w:rFonts w:ascii="Amiri" w:hAnsi="Amiri" w:eastAsia="Amiri" w:cs="Amiri"/>
          <w:color w:val="111111"/>
          <w:sz w:val="28"/>
          <w:sz w:val="28"/>
          <w:szCs w:val="28"/>
          <w:rtl w:val="true"/>
          <w:lang w:bidi="ar-SA"/>
        </w:rPr>
        <w:t xml:space="preserve">إلّا أنّ فيها قصوراً من ناحية الدلالة، فإنّ أقصى ما تدلّ عليه هو مرجوحية النافلة في وقت الفريضة، واستحباب الابتداء بالفريضة، فلا يمكن حمل الأمر بالابتداء بالمكتوبة على الوجوب؛ إذ من المقطوع به عدم وجوب المبادرة بالفريضة في أوّل وقتها، وأنّ ترك النافلة قبل الفريضة غير قادح في صحّتها، فلا دلالة فيها على المنع، بل على هذا يكون الأولى الاستدلال بها على الجواز لا على المنع، فإنّ لسانها لسان المشروعية والجواز، كما نبّه على ذلك المحقّق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3482569_2870459653"/>
      <w:bookmarkStart w:id="46" w:name="_Toc16"/>
      <w:bookmarkEnd w:id="45"/>
      <w:r>
        <w:rPr>
          <w:rtl w:val="true"/>
        </w:rPr>
        <w:t>الوجه الثاني</w:t>
      </w:r>
      <w:r>
        <w:rPr>
          <w:rtl w:val="true"/>
        </w:rPr>
        <w:t xml:space="preserve">: </w:t>
      </w:r>
      <w:r>
        <w:rPr>
          <w:rtl w:val="true"/>
        </w:rPr>
        <w:t>ما دلّ على النهي عن التطوّع في وقت الفريضة</w:t>
      </w:r>
      <w:bookmarkEnd w:id="46"/>
    </w:p>
    <w:p>
      <w:pPr>
        <w:pStyle w:val="BookText"/>
        <w:rPr/>
      </w:pPr>
      <w:r>
        <w:rPr>
          <w:rFonts w:ascii="Amiri" w:hAnsi="Amiri" w:eastAsia="Amiri" w:cs="Amiri"/>
          <w:color w:val="111111"/>
          <w:sz w:val="28"/>
          <w:sz w:val="28"/>
          <w:szCs w:val="28"/>
          <w:rtl w:val="true"/>
          <w:lang w:bidi="ar-SA"/>
        </w:rPr>
        <w:t>وهو جملة من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الشهيد في الذكرى،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وقت صلاة مكتوبة فلا صلاة نافلة حتّى يبدأ بالمكتوبة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واضحة الدلالة على المطلوب، إلّا أنّ الإشكال فيها من ناحية السند، فلم تنقل في كتب الحديث، ولم نظفر بسندٍ لها لينظر تماميته وإن وصفها الشهيد بالصحّة، وظاهره أنّ له إليها طريقاً معتبراً عنده، إلّا أنّه لا ملازمة بين الصحّة عنده وبين الصحّة عندنا؛ لاحتمال استنادها إلى حدسه واجتهاده بحيث لو وصلنا مدركه لناقشنا فيه، فهي بالإضافة إلينا مرسلة، كما صرّح بذلك بعض الأعلام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في الذكرى، عن زرارة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أصلّي نافلة وعلَيّ فريضة أو في وقت فريضة؟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إنّه لا تُصلّى نافلة في وقت فريضة، أرأيت لو كان عليك من شهر رمضان أكان لك أن تتطوّع حتّى تقضيه؟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فكذلك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فقايسني وما كان يقايسني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احتمل في الجواهر</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المحقّقين</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صحيحة زرارة المتقدّمة في الطائفة الأولى بعينها، وقد رووها بالمعنى، كما يومئ إليه عدم ذكر هذا النصّ في الكتب الأربعة، وعلى تقدير كونها رواية أخرى فلا يمكن الاعتماد عليها؛ لنفس الإشكال السندي المتقدّم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في السرائر نقلاً عن كتاب حريز بن عبد 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تصلّ من النافلة شيئاً في وقت الفريضة، فإنّه لا تقضى نافلة في وقت فريضة، فإذا دخل وقت فريضة فابدأ بالفريضة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دلالتها أنّ النهي عن النافلة فيها شامل بعمومه لمحلّ الكلام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الواضح أنّ موردها النوافل الرواتب؛ لوضوح اختصاص القضاء بها، ولا إشكال في جواز أداء الرواتب عند دخول وقت الفريضة، فلا يمكن التمسّك بعموم النهي عن النافلة فيها، فيختصّ النهي الوارد في الرواية بقضاء </w:t>
      </w:r>
    </w:p>
    <w:p>
      <w:pPr>
        <w:pStyle w:val="BookText"/>
        <w:rPr/>
      </w:pPr>
      <w:r>
        <w:rPr>
          <w:rFonts w:ascii="Amiri" w:hAnsi="Amiri" w:eastAsia="Amiri" w:cs="Amiri"/>
          <w:color w:val="111111"/>
          <w:sz w:val="28"/>
          <w:sz w:val="28"/>
          <w:szCs w:val="28"/>
          <w:rtl w:val="true"/>
          <w:lang w:bidi="ar-SA"/>
        </w:rPr>
        <w:t>النافلة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السند فهذه الرواية أيضاً لا يمكن الاعتماد عليها؛ لمجهولية طريق ابن إدريس إلى كتاب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كتاب حريز من الكتب المشهورة المعروفة الانتساب إلى أصحابها، فلا نحتاج إلى تصحيح طريق الشيخ ابن إدريس إليه، ويدلّ على شهرته ما ذكره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وإليها المرجع، مثل كتاب حريز بن عبد الله السجستاني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صحيحة حمّاد بن عيسى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أن تصلّي يا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أحفظ كتاب حريز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عليك قم صلّ</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يفهم من عدم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به جواز العمل به؛ لأنّه لو كان فيه باطل لمنعه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بأس عليك في العمل به،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حتّى يحصل لك العلم، أو لا بأس عليك في الصلاة عندنا وإن كنت حافظاً لكتابه، والأوّل أظهر لفظاً، والثاني معنىً</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الخدش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أقصى ما يدلّ عليه ذلك هو شهرة الكتاب إلى زمان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المقارب له، وبينه وبين زمان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طويل لا نحرز فيه بقاء شهرة الكتاب بين الأصحاب، خصوصاً مع تأليف المجاميع الحديثية المبوّبة من قبل المحمّدين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اعتمدها الأصحاب، واهتموا بها، ونتيجة لذلك قلّ اهتمامهم بالأصول الأربعمائة ونسخها، بل إنّ كلَّاً من الشيخ الطوسي والنجاشي حينما ترجما له لم يذكرا أنّ كتبه من الكتب المشهورة وإن ذكرا أنّها من الأصول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أنّ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عاملاً بأخبار الآحاد فاعتماده عليها كاشف عن وصولها إليه بطريق متواتر أو بما هو كالمتواتر في كونه مورثاً للقطع بالصدور، ومعه كان إخباره بمثابة الإخبار عن حسٍّ، فتكون رواياته عن حريز وأضرابه في حكم المسانيد لا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أجاب عنها السيّد الخوئي</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يترتّب على هذه الدعوى هو أنّ ابن إدريس كان معتقداً اعتقاداً باتّاً بأنّ ما وصل إليه باسم كتاب حريز كان هو كتابه حقّاً، لكن من الواضح أنّ اعتقاده حجّة له بخصوصه، ولا ينفع غيره ممّن لا يعتقد ذلك، فهو المأمور بالعمل به لا غير، ومن الضروري أنّ مجرّد قطعه بذلك الناشئ عن القرائن الحدسية الاجتهادية لا يستوجب عدّ خبره من الإخبار عن حسٍّ لتشمله أدلّة حجّية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الشيخ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أورد هذه الرواية في جملة الروايات التي رواها من كتاب حريز، ولا قرينة على عمله بها، ومن الواضح أنّه لا تنافي بين رواية خبر الواحد وبين عدم العمل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نجبة،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تدركني الصلاة أو يدخل وقتها فأبدأ بالنافلة؟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ابدأ بالمكتوبة، واقض النافلة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المحقّق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باعتبار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عن الطاطري، عن محمّد بن مسكين، عن معاوية بن عمّار، عن نجبة، لا كما نقلها في الوسائل عن الحسن بن محمّد بن سماعة، عن محمّد بن مسكين، فإنّ هذا سهو من قلمه الشريف، وطريق الشيخ إلى الطاطري ضعيف</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في موضع آخر من التهذيب</w:t>
      </w:r>
      <w:r>
        <w:rPr>
          <w:rStyle w:val="FootnoteAnchor"/>
          <w:rtl w:val="true"/>
        </w:rPr>
        <w:footnoteReference w:id="54"/>
      </w:r>
      <w:r>
        <w:rPr>
          <w:rFonts w:ascii="Amiri" w:hAnsi="Amiri" w:eastAsia="Amiri" w:cs="Amiri"/>
          <w:color w:val="111111"/>
          <w:sz w:val="28"/>
          <w:sz w:val="28"/>
          <w:szCs w:val="28"/>
          <w:rtl w:val="true"/>
          <w:lang w:bidi="ar-SA"/>
        </w:rPr>
        <w:t>عن معاوية بن عمّار عن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معاوية بن عمّار صحيح، وهو كما ذكره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بذلك جماعة عن أبي جعفر ابن بابويه، عن ابن الوليد، عن الصفّار، عن محمّد ابن الحسين بن أبي الخطّاب، عن ابن أبي عمير وصفوان بن يحيى، عنه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كما أنّ معاوية بن عمّار ثقة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الطريق المذكور طريق إلى اسم الكتاب والعنوان الكلّي، لا أنّه طريق الى إثبات الروايات المدونة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نجبة فالظاهر أنّه نجبة بن الحارث، وقد حكى الكشّي، عن حمدويه، عن محمّد بن عيسى، أنّه شيخ صادق كوفي صديق عليّ بن يقطين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ناحية الدلالة فإنّ الأمر بقضاء النافلة قرينة على إرادة النافلة المرتّبة من لفظ النافلة الوارد فيها؛ لاختصاص القضاء بها دون غيرها من النوافل، ومن الواضح مشروعية النافلة المرتّبة، وصحّتها في وقت الفريضة، بل هو الوقت المرسوم لها، ولا يمكن الالتزام بمدلول النهي الوارد فيها حتّى مع حمله على الكراهة؛ لوضوح استحباب النافلة المرتّبة قبل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نافلة المغرب غير مشروعة قبل فريضتها، إلّا أنّ الإتيان بها بعد الفريضة لا يعدّ قضاءً، فإنّ وقتها بعد الفريضة، ومن هنا تكون الرواية مجملة</w:t>
      </w:r>
      <w:r>
        <w:rPr>
          <w:rStyle w:val="FootnoteAnchor"/>
          <w:rtl w:val="true"/>
        </w:rPr>
        <w:footnoteReference w:id="58"/>
      </w:r>
      <w:r>
        <w:rPr>
          <w:rFonts w:ascii="IRNazanin" w:hAnsi="IRNazanin" w:eastAsia="IRNazanin"/>
          <w:color w:val="111111"/>
          <w:sz w:val="28"/>
          <w:sz w:val="28"/>
          <w:szCs w:val="28"/>
          <w:rtl w:val="true"/>
          <w:lang w:bidi="fa-IR"/>
        </w:rPr>
        <w:t>، ولا بدّ من ردّ علمها إلى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صلاة مفروضة فلا تطوّع</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ليس في سندها من يتوقّف فيه إلّا أبا بكر الحضرمي؛ فإنّه لم ينصّ على وثاقته، إلّا أنّ ابن شهرآشوب كان قد عدّه من خواصّ أصحاب الإمام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وهو مذكور في كامل الزيارات</w:t>
      </w:r>
      <w:r>
        <w:rPr>
          <w:rStyle w:val="FootnoteAnchor"/>
          <w:rtl w:val="true"/>
        </w:rPr>
        <w:footnoteReference w:id="61"/>
      </w:r>
      <w:r>
        <w:rPr>
          <w:rFonts w:ascii="Amiri" w:hAnsi="Amiri" w:eastAsia="Amiri" w:cs="Amiri"/>
          <w:color w:val="111111"/>
          <w:sz w:val="28"/>
          <w:sz w:val="28"/>
          <w:szCs w:val="28"/>
          <w:rtl w:val="true"/>
          <w:lang w:bidi="ar-SA"/>
        </w:rPr>
        <w:t>، وتفسير عليّ بن إبراهيم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البناء على صحّة الرواية عند من يقول بالاعتماد على كلّ من ورد اسمه في كتاب ابن قولويه، أو في كتاب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مبنى السيّد الخوئي</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دلالتها فإنّ إطلاق النفي فيها يدلّ على نفي مشروعية النافلة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استقرب بأنّ المنهيّ عنه فيها هو التنفّل في وقت فضيلة الفريضة، لا الأعمّ منه ومن وقت الإجزاء؛ لأنّ المنصرف من التطوّع في مثل هذه الأخبار هو النوافل المرتّبة، وهي ممّا يقطع بجواز الإتيان بها بعد دخول وقت الفريضة وقبل الإتيان بها،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إسماعيل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لمَ جعل الذراع والذراعان؟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 يكون تطوّع في وقت مكتوبة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وإسماعيل المذكور في سندها مردّد بين إسماعيل بن جابر الجعفي، وإسماعيل بن </w:t>
      </w:r>
    </w:p>
    <w:p>
      <w:pPr>
        <w:pStyle w:val="BookText"/>
        <w:rPr/>
      </w:pPr>
      <w:r>
        <w:rPr>
          <w:rFonts w:ascii="Amiri" w:hAnsi="Amiri" w:eastAsia="Amiri" w:cs="Amiri"/>
          <w:color w:val="111111"/>
          <w:sz w:val="28"/>
          <w:sz w:val="28"/>
          <w:szCs w:val="28"/>
          <w:rtl w:val="true"/>
          <w:lang w:bidi="ar-SA"/>
        </w:rPr>
        <w:t>عبد الرحمن الجعفي، والأوّل له كتاب</w:t>
      </w:r>
      <w:r>
        <w:rPr>
          <w:rStyle w:val="FootnoteAnchor"/>
          <w:rtl w:val="true"/>
        </w:rPr>
        <w:footnoteReference w:id="66"/>
      </w:r>
      <w:r>
        <w:rPr>
          <w:rFonts w:ascii="Amiri" w:hAnsi="Amiri" w:eastAsia="Amiri" w:cs="Amiri"/>
          <w:color w:val="111111"/>
          <w:sz w:val="28"/>
          <w:sz w:val="28"/>
          <w:szCs w:val="28"/>
          <w:rtl w:val="true"/>
          <w:lang w:bidi="ar-SA"/>
        </w:rPr>
        <w:t>، وهو أكثر رواية من الثاني، فينصرف الإطلاق إليه، وقد وثّقه الشيخ في رجاله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الروايات المتقدّمة هي أنّها بإطلاقها تنفي مشروعية النافلة في وقت الفريضة بألسنتها المختلفة من النهي والنفي المتعلّقين بصلاة النافلة والتطوّع في وقت الفريضة، ومقتضى إطلاق النفي والنهي الواردين في لسان الشارع هو التحريم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رجل من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ما لي لا أراك تتطوّع بين الأذان والإقامة كما يصنع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أردنا أن نتطوّع كان تطوّعنا في غير وقت فريضة، فإذا دخلت الفريضة فلا تطوّع</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على قراءة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تكون ظاهرة في الحرمة، أمّا لو قرئ اسماً فهي تدلّ على نفي المشروعية، ثمّ إنّ هذا التركيب يدلّ على العموم، كما هو مقرّر في علم الأصول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الأربعمائة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الرجل في وقت فريضة إلّا من عذر، ولكن يقضي بعد ذلك إذا أمكنه القضاء،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هُمْ عَلَى صَلَاتِهِمْ دَائِمُونَ يعني الذين يقضون ما فاتهم من </w:t>
      </w:r>
    </w:p>
    <w:p>
      <w:pPr>
        <w:pStyle w:val="BookText"/>
        <w:rPr/>
      </w:pPr>
      <w:r>
        <w:rPr>
          <w:rFonts w:ascii="Amiri" w:hAnsi="Amiri" w:eastAsia="Amiri" w:cs="Amiri"/>
          <w:color w:val="111111"/>
          <w:sz w:val="28"/>
          <w:sz w:val="28"/>
          <w:szCs w:val="28"/>
          <w:rtl w:val="true"/>
          <w:lang w:bidi="ar-SA"/>
        </w:rPr>
        <w:t>الليل بالنهار، وما فاتهم من النهار بالليل، لا تقضي النافلة في وقت فريضة، ابدأ بالفريضة ثمّ صلّ ما بدا لك</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ودلالتها واضحة، وأمّا من ناحية السند فقد 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اليقطيني، عن القاسم بن یحیی، عن الحسن بن راشد، عن أبي بصير ومحمّد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أصحابه في مجلس واحد أربعمائة باب ممّا يصلح للمسلم في دينه ودنياه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والقاسم بن يحيى لم يرد فيه توثيق صريح بالرغم من أنّه معنون في كتب الرجال، بل قد ضعّفه ابن الغضائري</w:t>
      </w:r>
      <w:r>
        <w:rPr>
          <w:rStyle w:val="FootnoteAnchor"/>
          <w:rtl w:val="true"/>
        </w:rPr>
        <w:footnoteReference w:id="71"/>
      </w:r>
      <w:r>
        <w:rPr>
          <w:rFonts w:ascii="Amiri" w:hAnsi="Amiri" w:eastAsia="Amiri" w:cs="Amiri"/>
          <w:color w:val="111111"/>
          <w:sz w:val="28"/>
          <w:sz w:val="28"/>
          <w:szCs w:val="28"/>
          <w:rtl w:val="true"/>
          <w:lang w:bidi="ar-SA"/>
        </w:rPr>
        <w:t xml:space="preserve">، إلّا أنّه قد يقال بوثاقته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هذا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حيث روى عنه أحمد بن محمّد بن عيسى، وإبراهيم ابن هاشم، ومحمّد بن عيسى اليقطيني، كما في هذه الرواية، بل هؤلاء الثلاثة كلّهم من رواة كتابه، كما يظهر من طريق الصدوق</w:t>
      </w:r>
      <w:r>
        <w:rPr>
          <w:rStyle w:val="FootnoteAnchor"/>
          <w:rtl w:val="true"/>
        </w:rPr>
        <w:footnoteReference w:id="72"/>
      </w:r>
      <w:r>
        <w:rPr>
          <w:rFonts w:ascii="Amiri" w:hAnsi="Amiri" w:eastAsia="Amiri" w:cs="Amiri"/>
          <w:color w:val="111111"/>
          <w:sz w:val="28"/>
          <w:sz w:val="28"/>
          <w:szCs w:val="28"/>
          <w:rtl w:val="true"/>
          <w:lang w:bidi="ar-SA"/>
        </w:rPr>
        <w:t>والشيخ</w:t>
      </w:r>
      <w:r>
        <w:rPr>
          <w:rStyle w:val="FootnoteAnchor"/>
          <w:rtl w:val="true"/>
        </w:rPr>
        <w:footnoteReference w:id="73"/>
      </w:r>
      <w:r>
        <w:rPr>
          <w:rFonts w:ascii="Amiri" w:hAnsi="Amiri" w:eastAsia="Amiri" w:cs="Amiri"/>
          <w:color w:val="111111"/>
          <w:sz w:val="28"/>
          <w:sz w:val="28"/>
          <w:szCs w:val="28"/>
          <w:rtl w:val="true"/>
          <w:lang w:bidi="ar-SA"/>
        </w:rPr>
        <w:t>، والنجاشي</w:t>
      </w:r>
      <w:r>
        <w:rPr>
          <w:rStyle w:val="FootnoteAnchor"/>
          <w:rtl w:val="true"/>
        </w:rPr>
        <w:footnoteReference w:id="74"/>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يبعد القول بوثاقة القاسم بن </w:t>
      </w:r>
    </w:p>
    <w:p>
      <w:pPr>
        <w:pStyle w:val="BookText"/>
        <w:rPr/>
      </w:pPr>
      <w:r>
        <w:rPr>
          <w:rFonts w:ascii="IRNazanin" w:hAnsi="IRNazanin" w:eastAsia="IRNazanin"/>
          <w:color w:val="111111"/>
          <w:sz w:val="28"/>
          <w:sz w:val="28"/>
          <w:szCs w:val="28"/>
          <w:rtl w:val="true"/>
          <w:lang w:bidi="fa-IR"/>
        </w:rPr>
        <w:t xml:space="preserve">يحيى؛ لحكم الصدوق بصحّة ما رواه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الحسن بن راشد، وفي طريقه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يحيى، بل ذكر أنّ هذه الزيارة أصحّ الزيارات عنده رواية</w:t>
      </w:r>
      <w:r>
        <w:rPr>
          <w:rStyle w:val="FootnoteAnchor"/>
          <w:rtl w:val="true"/>
        </w:rPr>
        <w:footnoteReference w:id="75"/>
      </w:r>
      <w:r>
        <w:rPr>
          <w:rFonts w:ascii="Amiri" w:hAnsi="Amiri" w:eastAsia="Amiri" w:cs="Amiri"/>
          <w:color w:val="111111"/>
          <w:sz w:val="28"/>
          <w:sz w:val="28"/>
          <w:szCs w:val="28"/>
          <w:rtl w:val="true"/>
          <w:lang w:bidi="ar-SA"/>
        </w:rPr>
        <w:t>مع أنّ في جملة الروايات الواردة في الزيارات ما تكون معتبرة سنداً، ومقتضى حكمه مطلقاً بأنّ هذه أصحّ رواية يشمل كونها أصحّ من جهة السند أيضاً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ثبوت وثاقته إلّا أنّها معارضة بتضعيف ابن الغضائري، وبناءً على الأخذ بتضعيفات ابن الغضائري</w:t>
      </w:r>
      <w:r>
        <w:rPr>
          <w:rStyle w:val="FootnoteAnchor"/>
          <w:rtl w:val="true"/>
        </w:rPr>
        <w:footnoteReference w:id="77"/>
      </w:r>
      <w:r>
        <w:rPr>
          <w:rFonts w:ascii="Amiri" w:hAnsi="Amiri" w:eastAsia="Amiri" w:cs="Amiri"/>
          <w:color w:val="111111"/>
          <w:sz w:val="28"/>
          <w:sz w:val="28"/>
          <w:szCs w:val="28"/>
          <w:rtl w:val="true"/>
          <w:lang w:bidi="ar-SA"/>
        </w:rPr>
        <w:t>، يقع التعارض، ويتساقطان، فلا يبقى دليل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بعدم ثبوت تضعيفاته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التشكيك في صحّة نسبة الكتاب المتداول إلى ابن الغضائري</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الأخذ بالتوثيق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الظاهر أنّ تضعیفات ابن الغضائري ثابتة</w:t>
      </w:r>
      <w:r>
        <w:rPr>
          <w:rStyle w:val="FootnoteAnchor"/>
          <w:rtl w:val="true"/>
        </w:rPr>
        <w:footnoteReference w:id="79"/>
      </w:r>
      <w:r>
        <w:rPr>
          <w:rFonts w:ascii="Amiri" w:hAnsi="Amiri" w:eastAsia="Amiri" w:cs="Amiri"/>
          <w:color w:val="111111"/>
          <w:sz w:val="28"/>
          <w:sz w:val="28"/>
          <w:szCs w:val="28"/>
          <w:rtl w:val="true"/>
          <w:lang w:bidi="ar-SA"/>
        </w:rPr>
        <w:t>، فيمكن الأخذ بها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الحسن بن راشد فالظاهر أنّه هنا أبو محمّد مولى بني العبّاس بقرينة رواية القاسم بن يحيى عنه؛ لأنّه حفيده ويروي عنه كثيراً</w:t>
      </w:r>
      <w:r>
        <w:rPr>
          <w:rStyle w:val="FootnoteAnchor"/>
          <w:rtl w:val="true"/>
        </w:rPr>
        <w:footnoteReference w:id="80"/>
      </w:r>
      <w:r>
        <w:rPr>
          <w:rFonts w:ascii="IRNazanin" w:hAnsi="IRNazanin" w:eastAsia="IRNazanin"/>
          <w:color w:val="111111"/>
          <w:sz w:val="28"/>
          <w:sz w:val="28"/>
          <w:szCs w:val="28"/>
          <w:rtl w:val="true"/>
          <w:lang w:bidi="fa-IR"/>
        </w:rPr>
        <w:t xml:space="preserve">، وهو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وفي هذه الرواية روى عن المتقدّمين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p>
    <w:p>
      <w:pPr>
        <w:pStyle w:val="BookText"/>
        <w:rPr/>
      </w:pPr>
      <w:r>
        <w:rPr>
          <w:rFonts w:ascii="Amiri" w:hAnsi="Amiri" w:eastAsia="Amiri" w:cs="Amiri"/>
          <w:color w:val="111111"/>
          <w:sz w:val="28"/>
          <w:sz w:val="28"/>
          <w:szCs w:val="28"/>
          <w:rtl w:val="true"/>
          <w:lang w:bidi="ar-SA"/>
        </w:rPr>
        <w:t>يحتمل أن يراد به الحسن بن راشد البغدادي الثقة</w:t>
      </w:r>
      <w:r>
        <w:rPr>
          <w:rStyle w:val="FootnoteAnchor"/>
          <w:rtl w:val="true"/>
        </w:rPr>
        <w:footnoteReference w:id="82"/>
      </w:r>
      <w:r>
        <w:rPr>
          <w:rFonts w:ascii="IRNazanin" w:hAnsi="IRNazanin" w:eastAsia="IRNazanin"/>
          <w:color w:val="111111"/>
          <w:sz w:val="28"/>
          <w:sz w:val="28"/>
          <w:szCs w:val="28"/>
          <w:rtl w:val="true"/>
          <w:lang w:bidi="fa-IR"/>
        </w:rPr>
        <w:t xml:space="preserve">باعتبار أنّه من أصحاب الإمامين 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والحسن بن راشد لا نصّ على وثاقته، بل ضعّفه ابن الغضائري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ما تقدّم من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للحسن بن راشد أيضاً، ومن هنا يقع التعارض بينه وبين تضعيف ابن الغضائري، فيتساقطان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أديم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يتنفّل الرجل إذا دخل وقت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فريضة فابدأ بها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بالابتداء بالفريضة في ذيلها ليس للوجوب قطعاً، بل هو إرشاد إلى إدراك فضل الوقت، فكذا يكون النهي للإرشاد، فحيث يكون الأمر للاستحباب فكذلك النهي المقابل له للكراهة، حيث إنّ المستفاد من مجموعها هو الاهتمام بالفريضة والإرشاد لإدراك فضل وقتها، فالنهي عن النافلة يكون لعدم تفويت وقت الفضيلة، لا لمفسدة في أصل النافلة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الأمر ورد بخطاب مستقلّ، فلا يمكن جعله قرينة على صرف النهي عن ظهوره الأوّلي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التمسّك بإطلاق ما أرسله الشيخ المفيد،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صلاة لمن </w:t>
      </w:r>
      <w:bookmarkStart w:id="47" w:name="pg9159_84940"/>
    </w:p>
    <w:p>
      <w:pPr>
        <w:pStyle w:val="BookText"/>
        <w:rPr/>
      </w:pPr>
      <w:bookmarkEnd w:id="47"/>
      <w:r>
        <w:rPr>
          <w:rFonts w:ascii="Amiri" w:hAnsi="Amiri" w:eastAsia="Amiri" w:cs="Amiri"/>
          <w:color w:val="111111"/>
          <w:sz w:val="28"/>
          <w:sz w:val="28"/>
          <w:szCs w:val="28"/>
          <w:rtl w:val="true"/>
          <w:lang w:bidi="ar-SA"/>
        </w:rPr>
        <w:t>عليه صلاة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وقد رواه الشيخ الطوسي</w:t>
      </w:r>
      <w:r>
        <w:rPr>
          <w:rStyle w:val="FootnoteAnchor"/>
          <w:rtl w:val="true"/>
        </w:rPr>
        <w:footnoteReference w:id="87"/>
      </w:r>
      <w:r>
        <w:rPr>
          <w:rFonts w:ascii="IRNazanin" w:hAnsi="IRNazanin" w:eastAsia="IRNazanin"/>
          <w:color w:val="111111"/>
          <w:sz w:val="28"/>
          <w:sz w:val="28"/>
          <w:szCs w:val="28"/>
          <w:rtl w:val="true"/>
          <w:lang w:bidi="fa-IR"/>
        </w:rPr>
        <w:t xml:space="preserve">أيضاً، وبما ورد في نهج البلاغة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قربة بالنوافل إذا أضرّت بالفرائض</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فهي تدلّ بعمومها على المنع من النافلة في وقت الفريضة، خرجت منها الرواتب اليومية بالدليل، فيبقى الباقي داخلاً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النبويّ فهو مرسل ولا جابر له، وأمّا رواية نهج البلاغة فغير واضحة الدلالة؛ لأنّ الإضرار إنّما يصدق إذا كان الإتيان بالنافلة موجباً لفوت الفريضة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482571_2870459653"/>
      <w:bookmarkStart w:id="49" w:name="_Toc17"/>
      <w:bookmarkEnd w:id="48"/>
      <w:r>
        <w:rPr>
          <w:rtl w:val="true"/>
        </w:rPr>
        <w:t>الوجه الثالث</w:t>
      </w:r>
      <w:r>
        <w:rPr>
          <w:rtl w:val="true"/>
        </w:rPr>
        <w:t xml:space="preserve">: </w:t>
      </w:r>
      <w:r>
        <w:rPr>
          <w:rtl w:val="true"/>
        </w:rPr>
        <w:t>ما ورد بلسان النهي عن التطوّع لمن عليه قضاء فريضة</w:t>
      </w:r>
      <w:bookmarkEnd w:id="49"/>
    </w:p>
    <w:p>
      <w:pPr>
        <w:pStyle w:val="BookText"/>
        <w:rPr/>
      </w:pPr>
      <w:r>
        <w:rPr>
          <w:rFonts w:ascii="IRNazanin" w:hAnsi="IRNazanin" w:eastAsia="IRNazanin"/>
          <w:color w:val="111111"/>
          <w:sz w:val="28"/>
          <w:sz w:val="28"/>
          <w:szCs w:val="28"/>
          <w:rtl w:val="true"/>
          <w:lang w:bidi="fa-IR"/>
        </w:rPr>
        <w:t xml:space="preserve">كما 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سئل عن رجل صلّى بغير طهور، أو نسي صلاة لم يصلّها،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يقضيها إذا ذكرها في أيّة ساعة ذكرها من ليل أو نهار، فإذا دخل وقت الصلاة ولم يتمّ ما قد فاته فليقض ما لم يتخوّف أن يذهب وقت هذه الصلاة التي قد حضرت، وهذه أحقّ بوقتها، فليصلّها، فإذا قضاها فليصلّ ما قد فاته ممّا قد مضى، ولا يتطوّع بركعة حتّى يقضي الفريضة كلّها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بعد أن دلّت على النهي عن التطوّع لمن عليه قضاء فريضة فدلالتها على النهي عن التطوّع لمن عليه فريضة أدائية بطريق أولى</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50" w:name="pg9159_84941"/>
    </w:p>
    <w:p>
      <w:pPr>
        <w:pStyle w:val="BookText"/>
        <w:rPr/>
      </w:pPr>
      <w:bookmarkEnd w:id="50"/>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الأولوية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القول بالمضايقة في القضاء كما هو رأي جملة من الأعلام</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في الرواية حكم تعبّدي، فلا يمكن القطع بالأولوية في المقام، حتّى يستكشف منها الحكم الشرعي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482573_2870459653"/>
      <w:bookmarkStart w:id="52" w:name="_Toc18"/>
      <w:bookmarkEnd w:id="51"/>
      <w:r>
        <w:rPr>
          <w:rtl w:val="true"/>
        </w:rPr>
        <w:t>الوجه الرابع</w:t>
      </w:r>
      <w:r>
        <w:rPr>
          <w:rtl w:val="true"/>
        </w:rPr>
        <w:t xml:space="preserve">: </w:t>
      </w:r>
      <w:r>
        <w:rPr>
          <w:rtl w:val="true"/>
        </w:rPr>
        <w:t>الإجماع الذي ادّعاه المحقّق بظاهر عبارته في المعتبر</w:t>
      </w:r>
      <w:bookmarkEnd w:id="52"/>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الفرائض أداءً وقضاءً ما لم تتضيّق الحاضرة، والنوافل ما لم يدخل وقت الفريضة، و هو مذهب علمائنا، وأمّا الفرائض فعليه إجماع أهل العلم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الإجماع المدّعى محتمل المدركية إن لم يكن مدركياً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إبراز احتمال أنّ سبب ذهاب القدماء إلى القول بالحرمة هو التزامهم بمنع تأخير الفريضة عن وقت الفضيلة اختياراً، كما هو المعروف من مذهب الشيخين في المقنعة</w:t>
      </w:r>
      <w:r>
        <w:rPr>
          <w:rStyle w:val="FootnoteAnchor"/>
          <w:rtl w:val="true"/>
        </w:rPr>
        <w:footnoteReference w:id="93"/>
      </w:r>
      <w:r>
        <w:rPr>
          <w:rFonts w:ascii="IRNazanin" w:hAnsi="IRNazanin" w:eastAsia="IRNazanin"/>
          <w:color w:val="111111"/>
          <w:sz w:val="28"/>
          <w:sz w:val="28"/>
          <w:szCs w:val="28"/>
          <w:rtl w:val="true"/>
          <w:lang w:bidi="fa-IR"/>
        </w:rPr>
        <w:t>والمبسوط</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53" w:name="pg9159_84942"/>
    </w:p>
    <w:p>
      <w:pPr>
        <w:pStyle w:val="Heading3"/>
        <w:numPr>
          <w:ilvl w:val="2"/>
          <w:numId w:val="1"/>
        </w:numPr>
        <w:rPr/>
      </w:pPr>
      <w:bookmarkStart w:id="54" w:name="__RefHeading___Toc3482575_2870459653"/>
      <w:bookmarkStart w:id="55" w:name="_Toc19"/>
      <w:bookmarkEnd w:id="53"/>
      <w:bookmarkEnd w:id="54"/>
      <w:r>
        <w:rPr>
          <w:rtl w:val="true"/>
        </w:rPr>
        <w:t>أدلّة القول الثاني</w:t>
      </w:r>
      <w:bookmarkEnd w:id="55"/>
    </w:p>
    <w:p>
      <w:pPr>
        <w:pStyle w:val="Heading4"/>
        <w:numPr>
          <w:ilvl w:val="3"/>
          <w:numId w:val="1"/>
        </w:numPr>
        <w:rPr/>
      </w:pPr>
      <w:bookmarkStart w:id="56" w:name="__RefHeading___Toc3482577_2870459653"/>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وقد استُدلّ للجواز بستّة وجوه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482579_2870459653"/>
      <w:bookmarkStart w:id="59" w:name="_Toc21"/>
      <w:bookmarkEnd w:id="58"/>
      <w:r>
        <w:rPr>
          <w:rtl w:val="true"/>
        </w:rPr>
        <w:t>الوجه الأوّل</w:t>
      </w:r>
      <w:r>
        <w:rPr>
          <w:rtl w:val="true"/>
        </w:rPr>
        <w:t xml:space="preserve">: </w:t>
      </w:r>
      <w:r>
        <w:rPr>
          <w:rtl w:val="true"/>
        </w:rPr>
        <w:t>ما دلّ على جواز التطوّع وقت الفريضة ما لم يخف فوات وقت فضيلتها</w:t>
      </w:r>
      <w:bookmarkEnd w:id="59"/>
    </w:p>
    <w:p>
      <w:pPr>
        <w:pStyle w:val="BookText"/>
        <w:rPr/>
      </w:pPr>
      <w:r>
        <w:rPr>
          <w:rFonts w:ascii="Amiri" w:hAnsi="Amiri" w:eastAsia="Amiri" w:cs="Amiri"/>
          <w:color w:val="111111"/>
          <w:sz w:val="28"/>
          <w:sz w:val="28"/>
          <w:szCs w:val="28"/>
          <w:rtl w:val="true"/>
          <w:lang w:bidi="ar-SA"/>
        </w:rPr>
        <w:t>وهذا ما ورد 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المسجد وقد صلّى أهله أيبتدئ بالمكتوبة أو يتطوّع؟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في وقت حسن فلا بأس بالتطوّع قبل الفريضة، وإن كان خاف الفوت من أجل ما مضى من الوقت فليبدأ بالفريضة، وهو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ليتطوّع بما شاء، ألا هو موسّع</w:t>
      </w:r>
      <w:r>
        <w:rPr>
          <w:rStyle w:val="FootnoteAnchor"/>
          <w:rtl w:val="true"/>
        </w:rPr>
        <w:footnoteReference w:id="95"/>
      </w:r>
      <w:r>
        <w:rPr>
          <w:rFonts w:ascii="Amiri" w:hAnsi="Amiri" w:eastAsia="Amiri" w:cs="Amiri"/>
          <w:color w:val="111111"/>
          <w:sz w:val="28"/>
          <w:sz w:val="28"/>
          <w:szCs w:val="28"/>
          <w:rtl w:val="true"/>
          <w:lang w:bidi="ar-SA"/>
        </w:rPr>
        <w:t>أن يصلّي الإنسان في أوّل دخول وقت الفريضة النوافل إلّا أن يخاف فوت الفريضة، والفضل إذا صلّى الإنسان وحده أن يبدأ بالفريضة إذا دخل وقتها ليكون فضل أوّل الوقت للفريضة، وليس بمحظور عليه أن يصلّي النوافل من أوّل الوقت إلى قريب من آخر الوقت</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استدلّ بها القائلون بالجواز بعد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في وقت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وقت متّسع،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كان خاف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خوف فوت وقت الفضيلة، بقرينة ما ذكره في الحدائق</w:t>
      </w:r>
      <w:r>
        <w:rPr>
          <w:rStyle w:val="FootnoteAnchor"/>
          <w:rtl w:val="true"/>
        </w:rPr>
        <w:footnoteReference w:id="97"/>
      </w:r>
      <w:r>
        <w:rPr>
          <w:rFonts w:ascii="Amiri" w:hAnsi="Amiri" w:eastAsia="Amiri" w:cs="Amiri"/>
          <w:color w:val="111111"/>
          <w:sz w:val="28"/>
          <w:sz w:val="28"/>
          <w:szCs w:val="28"/>
          <w:rtl w:val="true"/>
          <w:lang w:bidi="ar-SA"/>
        </w:rPr>
        <w:t>، وقبله في الحبل المتين</w:t>
      </w:r>
      <w:r>
        <w:rPr>
          <w:rStyle w:val="FootnoteAnchor"/>
          <w:rtl w:val="true"/>
        </w:rPr>
        <w:footnoteReference w:id="98"/>
      </w:r>
      <w:r>
        <w:rPr>
          <w:rFonts w:ascii="Amiri" w:hAnsi="Amiri" w:eastAsia="Amiri" w:cs="Amiri"/>
          <w:color w:val="111111"/>
          <w:sz w:val="28"/>
          <w:sz w:val="28"/>
          <w:szCs w:val="28"/>
          <w:rtl w:val="true"/>
          <w:lang w:bidi="ar-SA"/>
        </w:rPr>
        <w:t>من 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إيماء إلى أنّه لم يمض من وقت صلاتهم إلى وقت مجيء ذلك الرجل </w:t>
      </w:r>
    </w:p>
    <w:p>
      <w:pPr>
        <w:pStyle w:val="BookText"/>
        <w:rPr/>
      </w:pPr>
      <w:r>
        <w:rPr>
          <w:rFonts w:ascii="IRNazanin" w:hAnsi="IRNazanin" w:eastAsia="IRNazanin"/>
          <w:color w:val="111111"/>
          <w:sz w:val="28"/>
          <w:sz w:val="28"/>
          <w:szCs w:val="28"/>
          <w:rtl w:val="true"/>
          <w:lang w:bidi="fa-IR"/>
        </w:rPr>
        <w:t xml:space="preserve">إلّا زمان يسير؛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الماضي من الحال، فالرواية دالّة على المطلوب في أكثر من فقرة من فقراتها، أوّلها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في وقت حسن فلا بأس بالتطوّع قبل الفريضة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جواز الإتيان بالنافلة في وقت الفريضة، كما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والفضل إذا صلّى الإنسان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كون الابتداء بالفريضة وترك النافلة فضلاً لا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يظهر أنّ ما احتمله في الجواهر</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عبارة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 للظاهر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قادح في الاستدلال؛ فإنّ ما تقدّمه كافٍ في إثبات المطلوب، فإنّه كالصريح في جواز التطوّع في وقت الفريضة ما لم يخف فوتها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هذه الزيادة موجودة برواية الشيخ لهذا الحديث من كتاب العطّار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قرّب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كانت هذه الفقرة من تتمّة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لها نحو حكومة على الأخبار التي ورد فيها الأمر بالبدأة بالفريضة وترك النافلة عند حضور وقتها، مع ما فيها من الإشارة إلى علّة الحكم واختصاصه بما إذا لم يكن الراجح تأخيرها لانتظار الجماعة، كما أنّ 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الأمر بالبدأة بالفريضة عند خوف فواتها لأجل أهمّيّتها من النافلة، لا عدم صلاحيّة الوقت من حيث هو للنافلة، </w:t>
      </w:r>
      <w:bookmarkStart w:id="60" w:name="pg9159_84944"/>
    </w:p>
    <w:p>
      <w:pPr>
        <w:pStyle w:val="BookText"/>
        <w:rPr/>
      </w:pPr>
      <w:bookmarkEnd w:id="60"/>
      <w:r>
        <w:rPr>
          <w:rFonts w:ascii="Amiri" w:hAnsi="Amiri" w:eastAsia="Amiri" w:cs="Amiri"/>
          <w:color w:val="111111"/>
          <w:sz w:val="28"/>
          <w:sz w:val="28"/>
          <w:szCs w:val="28"/>
          <w:rtl w:val="true"/>
          <w:lang w:bidi="ar-SA"/>
        </w:rPr>
        <w:t>أو كون تقديم الفريضة شرطاً في صحّتها، كما هو من لوازم مذهب المانعين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المحقّق البحراني كان قد أجاب عن الاستدلال بهذه الرواية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إمعان النظر في معنى الرواية وسياقها صريح في إرادة النوافل الراتبة خاصّة،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كان إتيانه في وقت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يسع الراتبة ولو مخفّفة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بالتطوّع بها قبل الفريضة، وإن كان يخاف فوت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 فضيلة الفريضة لو اشتغل بالنافلة لما مضى من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فليبدأ بالفريضة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من الواضح أنّ هذا الحمل لا شاهد له من الرواية، إلّا أن يقال بانصراف إطلاق النافلة للراتبة التي تتكرّر يومياً، لا سيّما مع دخول لام التعريف عليها، إلّا أنّ هذا الانصراف ناشئ من استعمال اللفظ في الفرد المتعارف، ولكن اللفظ المطلق يشمل الفرد النادر كشموله للمتعارف</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482581_2870459653"/>
      <w:bookmarkStart w:id="62" w:name="_Toc22"/>
      <w:bookmarkEnd w:id="61"/>
      <w:r>
        <w:rPr>
          <w:rtl w:val="true"/>
        </w:rPr>
        <w:t>الوجه الثاني</w:t>
      </w:r>
      <w:r>
        <w:rPr>
          <w:rtl w:val="true"/>
        </w:rPr>
        <w:t xml:space="preserve">: </w:t>
      </w:r>
      <w:r>
        <w:rPr>
          <w:rtl w:val="true"/>
        </w:rPr>
        <w:t>ما دلّ على جواز التطوّع في وقت الفريضة غير أنّ الابتداء بالفريضة أفضل</w:t>
      </w:r>
      <w:bookmarkEnd w:id="62"/>
    </w:p>
    <w:p>
      <w:pPr>
        <w:pStyle w:val="BookText"/>
        <w:rPr/>
      </w:pPr>
      <w:r>
        <w:rPr>
          <w:rFonts w:ascii="IRNazanin" w:hAnsi="IRNazanin" w:eastAsia="IRNazanin"/>
          <w:color w:val="111111"/>
          <w:sz w:val="28"/>
          <w:sz w:val="28"/>
          <w:szCs w:val="28"/>
          <w:rtl w:val="true"/>
          <w:lang w:bidi="fa-IR"/>
        </w:rPr>
        <w:t>وهو 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وقت الفريضة أتنفّل أو أبدأ بالفريضة؟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الفضل أن تبدأ بالفريضة وإنّما أخّرت الظهر ذراعاً من عند الزوال من أجل صلاة الأوّابين</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ظاهرة في جواز التطوّع في وقت الفريضة غير أنّ الابتداء بالفريضة عند </w:t>
      </w:r>
    </w:p>
    <w:p>
      <w:pPr>
        <w:pStyle w:val="BookText"/>
        <w:rPr/>
      </w:pPr>
      <w:r>
        <w:rPr>
          <w:rFonts w:ascii="Amiri" w:hAnsi="Amiri" w:eastAsia="Amiri" w:cs="Amiri"/>
          <w:color w:val="111111"/>
          <w:sz w:val="28"/>
          <w:sz w:val="28"/>
          <w:szCs w:val="28"/>
          <w:rtl w:val="true"/>
          <w:lang w:bidi="ar-SA"/>
        </w:rPr>
        <w:t>دخول وقتها من باب الاستحباب، إلّا في الظهرين فإنّ وقت نافلة الظهر من الزوال إلى الذراع والعصر إلى الذراعين، كما نصّت الروايات</w:t>
      </w:r>
      <w:r>
        <w:rPr>
          <w:rStyle w:val="FootnoteAnchor"/>
          <w:rtl w:val="true"/>
        </w:rPr>
        <w:footnoteReference w:id="104"/>
      </w:r>
      <w:r>
        <w:rPr>
          <w:rFonts w:ascii="Amiri" w:hAnsi="Amiri" w:eastAsia="Amiri" w:cs="Amiri"/>
          <w:color w:val="111111"/>
          <w:sz w:val="28"/>
          <w:sz w:val="28"/>
          <w:szCs w:val="28"/>
          <w:rtl w:val="true"/>
          <w:lang w:bidi="ar-SA"/>
        </w:rPr>
        <w:t>، وعليه المشهور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وإنّما أخّرت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مسوقاً لدفع التنافي بين استحباب البدأة بالفريضة عند حضور وقتها، واستحباب التنفّل قبلها في أوّل الوقت ببيان تأخّر وقتها عن أوّل الوقت بمقدار الذراع لمكان النافلة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أيضاً أن يكون المقصود بيان أنّ الظهر متأخّرة عن وقتها الأصلي بمقدار ذراع، فلا ينبغي تأخيرها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أن يكون استدراكاً عمّا تقدّمه بأن يكون المراد بالرواية بيان أنّ الفضل إنّما هو بالبدأة بالفريضة حين حضور وقتها، أي المسارعة إلى فعلها في أوّل الوقت، ولكن أخّرت الظهر بمقدار ذراع عن أوّل وقتها لأجل صلاة الأوّابين، التي هي لدى الشارع كالفرائض من المهمّات التي لا يجوز تركها، وقد صرّح بذلك كلّه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الصحيحة شاهداً على حمل النصوص المتقدّمة الناهية عن التطوّع في وقت الفريضة على الكراهة والمرجوحية، أو على حمل النهي المتعلّق بالتنفّل في وقت الفريضة على الإرشاد إلى اختيار أفضل المتزاحمين، بعد أن كان كلّ من التطوّع والفريضة متزاحمين وكانت مصلحة أوّل الوقت أهمّ وأقوى من </w:t>
      </w:r>
      <w:bookmarkStart w:id="63" w:name="pg9159_84946"/>
    </w:p>
    <w:p>
      <w:pPr>
        <w:pStyle w:val="BookText"/>
        <w:rPr/>
      </w:pPr>
      <w:bookmarkEnd w:id="63"/>
      <w:r>
        <w:rPr>
          <w:rFonts w:ascii="Amiri" w:hAnsi="Amiri" w:eastAsia="Amiri" w:cs="Amiri"/>
          <w:color w:val="111111"/>
          <w:sz w:val="28"/>
          <w:sz w:val="28"/>
          <w:szCs w:val="28"/>
          <w:rtl w:val="true"/>
          <w:lang w:bidi="ar-SA"/>
        </w:rPr>
        <w:t>مصلحة التنفّل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3482583_2870459653"/>
      <w:bookmarkStart w:id="65" w:name="_Toc23"/>
      <w:bookmarkEnd w:id="64"/>
      <w:r>
        <w:rPr>
          <w:rtl w:val="true"/>
        </w:rPr>
        <w:t>الوجه الثالث</w:t>
      </w:r>
      <w:r>
        <w:rPr>
          <w:rtl w:val="true"/>
        </w:rPr>
        <w:t xml:space="preserve">: </w:t>
      </w:r>
      <w:r>
        <w:rPr>
          <w:rtl w:val="true"/>
        </w:rPr>
        <w:t>ما ورد من الترخيص في التنفّل بعد دخول وقت الفريضة لمن ينتظر الجماعة</w:t>
      </w:r>
      <w:bookmarkEnd w:id="65"/>
    </w:p>
    <w:p>
      <w:pPr>
        <w:pStyle w:val="BookText"/>
        <w:rPr/>
      </w:pPr>
      <w:r>
        <w:rPr>
          <w:rFonts w:ascii="Amiri" w:hAnsi="Amiri" w:eastAsia="Amiri" w:cs="Amiri"/>
          <w:color w:val="111111"/>
          <w:sz w:val="28"/>
          <w:sz w:val="28"/>
          <w:szCs w:val="28"/>
          <w:rtl w:val="true"/>
          <w:lang w:bidi="ar-SA"/>
        </w:rPr>
        <w:t>كما في 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وقت فريضة نافلة؟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أوّل الوقت إذا كنت مع إمام تقتدي به، فإذا كنت وحدك فابدأ بالمكتوبة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يفهم من التفصيل بين المنفرد والمقتدي صلوح الوقت للتطوّع والفريضة مع أفضلية الابتداء بالفريضة، غير أنّ انتظار الجماعة لمّا اشتمل على مصلحة أرجح من مصلحة الوقت ارتفعت المزاحمة، وتنكير النافلة يومئ إلى أنّ المراد منها غير الراتبة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482585_2870459653"/>
      <w:bookmarkStart w:id="67" w:name="_Toc24"/>
      <w:bookmarkEnd w:id="66"/>
      <w:r>
        <w:rPr>
          <w:rtl w:val="true"/>
        </w:rPr>
        <w:t>الوجه الرابع</w:t>
      </w:r>
      <w:r>
        <w:rPr>
          <w:rtl w:val="true"/>
        </w:rPr>
        <w:t xml:space="preserve">: </w:t>
      </w:r>
      <w:r>
        <w:rPr>
          <w:rtl w:val="true"/>
        </w:rPr>
        <w:t>ما ورد من تفسير الوقت الممنوع فيه التطوّع بالوقت الذي يأخذ المقيم فيه في الإقامة</w:t>
      </w:r>
      <w:bookmarkEnd w:id="67"/>
    </w:p>
    <w:p>
      <w:pPr>
        <w:pStyle w:val="BookText"/>
        <w:rPr/>
      </w:pPr>
      <w:r>
        <w:rPr>
          <w:rFonts w:ascii="IRNazanin" w:hAnsi="IRNazanin" w:eastAsia="IRNazanin"/>
          <w:color w:val="111111"/>
          <w:sz w:val="28"/>
          <w:sz w:val="28"/>
          <w:szCs w:val="28"/>
          <w:rtl w:val="true"/>
          <w:lang w:bidi="fa-IR"/>
        </w:rPr>
        <w:t xml:space="preserve">فقبله لا مانع، كما في صحيحة عمر بن يزيد،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الرواية التي يروون أنّه لا ينبغي أن يتطوّع في وقت كلّ فريضة ما حدّ هذا الوقت؟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المقيم في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يختلفون في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المقيم الذي يصلّي معه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الصحيحة حاكمة على الأخبار الناهية عن التطوّع في وقت الفريضة ومفسّرة لها، وظاهرها كون النهي المتعلّق به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الكراهة، ومقتضى تحديد ذلك الوقت بما إذا أخذ المقيم في الإقامة </w:t>
      </w:r>
      <w:bookmarkStart w:id="68" w:name="pg9159_84947"/>
    </w:p>
    <w:p>
      <w:pPr>
        <w:pStyle w:val="BookText"/>
        <w:rPr/>
      </w:pPr>
      <w:bookmarkEnd w:id="68"/>
      <w:r>
        <w:rPr>
          <w:rFonts w:ascii="Amiri" w:hAnsi="Amiri" w:eastAsia="Amiri" w:cs="Amiri"/>
          <w:color w:val="111111"/>
          <w:sz w:val="28"/>
          <w:sz w:val="28"/>
          <w:szCs w:val="28"/>
          <w:rtl w:val="true"/>
          <w:lang w:bidi="ar-SA"/>
        </w:rPr>
        <w:t>اختصاص المنع بهذه الصورة، وهذا ربّما ينافيه بعض تلك الأخبار ممّا هو نصّ في شمول المنع للمنفرد الذي لا يصلّي جماعة، فلا يبعد أن يكون المراد بهذه الصحيحة تحديد ذلك الوقت بالنظر إلى من ينتظر الجماعة،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إبقاء هذه الصحيحة على ظاهرها، وتنزيل الأخبار الدالّة على المنع في حقّ المنفرد على الإرشاد إلى ما هو الأصلح، كما ربّما يستشعر ذلك من بعض عبائرها، لا على الكراهة أو الحرمة،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فهي نصّ في جواز التطوّع بعد دخول وقت الفريضة في الجملة ولو لخصوص من ينتظر الجماعة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أصل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معناه، وهو مشعر بعدم الحرمة، كما أنّ التحديد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المقيم في الإقامة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غير منضبط كما اعترف به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يتلاءم مع الحكم بالحرمة التي لا تنسجم مع التسهيل</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482587_2870459653"/>
      <w:bookmarkStart w:id="70" w:name="_Toc25"/>
      <w:bookmarkEnd w:id="69"/>
      <w:r>
        <w:rPr>
          <w:rtl w:val="true"/>
        </w:rPr>
        <w:t>الوجه الخامس</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بإطلاق ما دلّ على أنّ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شئت فأت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 ساعة من النهار تريد أن تأتي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بإطلاقها تشمل وقت الفريضة، وكذا إطلاق أدلّة تشريع أصل النوافل، كما في رواية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النافلة بمنزلة الهديّة متى ما أتي بها قبلت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وصحيحة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صلاة التطوّع بمنزلة الهديّة </w:t>
      </w:r>
      <w:bookmarkStart w:id="71" w:name="pg9159_84948"/>
    </w:p>
    <w:p>
      <w:pPr>
        <w:pStyle w:val="BookText"/>
        <w:rPr/>
      </w:pPr>
      <w:bookmarkEnd w:id="71"/>
      <w:r>
        <w:rPr>
          <w:rFonts w:ascii="Amiri" w:hAnsi="Amiri" w:eastAsia="Amiri" w:cs="Amiri"/>
          <w:color w:val="111111"/>
          <w:sz w:val="28"/>
          <w:sz w:val="28"/>
          <w:szCs w:val="28"/>
          <w:rtl w:val="true"/>
          <w:lang w:bidi="ar-SA"/>
        </w:rPr>
        <w:t>متى أتي بها قبلت، فقدّم منها ما شئت، وأخّر منها ما شئت</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ونحوها رواية عبد الأعلى مولى آل سام</w:t>
      </w:r>
      <w:r>
        <w:rPr>
          <w:rStyle w:val="FootnoteAnchor"/>
          <w:rtl w:val="true"/>
        </w:rPr>
        <w:footnoteReference w:id="114"/>
      </w:r>
      <w:r>
        <w:rPr>
          <w:rFonts w:ascii="IRNazanin" w:hAnsi="IRNazanin" w:eastAsia="IRNazanin"/>
          <w:color w:val="111111"/>
          <w:sz w:val="28"/>
          <w:sz w:val="28"/>
          <w:szCs w:val="28"/>
          <w:rtl w:val="true"/>
          <w:lang w:bidi="fa-IR"/>
        </w:rPr>
        <w:t xml:space="preserve">، ورواية القاسم بن الوليد الغسّاني،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صلاة النهار صلاة النوافل في كم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عشرة، في أيّ ساعات النهار شئت أن تصلّيها صلّيتها، إلّا أنّك إذا صلّيتها في مواقيتها أفضل</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ونحوها مرسلة عليّ بن الحكم</w:t>
      </w:r>
      <w:r>
        <w:rPr>
          <w:rStyle w:val="FootnoteAnchor"/>
          <w:rtl w:val="true"/>
        </w:rPr>
        <w:footnoteReference w:id="116"/>
      </w:r>
      <w:r>
        <w:rPr>
          <w:rFonts w:ascii="IRNazanin" w:hAnsi="IRNazanin" w:eastAsia="IRNazanin"/>
          <w:color w:val="111111"/>
          <w:sz w:val="28"/>
          <w:sz w:val="28"/>
          <w:szCs w:val="28"/>
          <w:rtl w:val="true"/>
          <w:lang w:bidi="fa-IR"/>
        </w:rPr>
        <w:t xml:space="preserve">، ورواية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نوافلكم صدقاتكم، فقدّموهن أنّى شئتم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ولسان هذه الروايات يقتضي عدم كون النوافل من المؤقّتات، فتكون معارضة لما دلّ على تحديد أوقات النوافل، أو ما ورد من الأمر بقضائها، ولا سبيل إلى طرح هذه الأخبار سنداً بعد استفاضتها، ومقتضى الجمع هو حمل الروايات المؤقّتة على الأفضلية، كما تشهد له رواية القاسم بن الوليد المتقدّمة، إلّا أنّ المشهور لا يلتزمون بمشروعية النوافل قبل وقتها، فلا بدّ من التقيّد بذلك، مع الالتفات إلى أنّ غالب هذه الروايات لا إشارة فيها إلى النوافل اليومية، فيمكن حملها على النوافل المبتدأة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482589_2870459653"/>
      <w:bookmarkStart w:id="73" w:name="_Toc26"/>
      <w:bookmarkEnd w:id="72"/>
      <w:r>
        <w:rPr>
          <w:rtl w:val="true"/>
        </w:rPr>
        <w:t>الوجه السادس</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r>
        <w:rPr>
          <w:rStyle w:val="FootnoteAnchor"/>
          <w:rtl w:val="true"/>
        </w:rPr>
        <w:footnoteReference w:id="118"/>
      </w:r>
      <w:r>
        <w:rPr>
          <w:rFonts w:ascii="Amiri" w:hAnsi="Amiri" w:eastAsia="Amiri" w:cs="Amiri"/>
          <w:color w:val="111111"/>
          <w:sz w:val="28"/>
          <w:sz w:val="28"/>
          <w:szCs w:val="28"/>
          <w:rtl w:val="true"/>
          <w:lang w:bidi="ar-SA"/>
        </w:rPr>
        <w:t xml:space="preserve">، فإنّ العقل يمنع من الحكم بالحرمة على </w:t>
      </w:r>
    </w:p>
    <w:p>
      <w:pPr>
        <w:pStyle w:val="BookText"/>
        <w:rPr/>
      </w:pPr>
      <w:r>
        <w:rPr>
          <w:rFonts w:ascii="Amiri" w:hAnsi="Amiri" w:eastAsia="Amiri" w:cs="Amiri"/>
          <w:color w:val="111111"/>
          <w:sz w:val="28"/>
          <w:sz w:val="28"/>
          <w:szCs w:val="28"/>
          <w:rtl w:val="true"/>
          <w:lang w:bidi="ar-SA"/>
        </w:rPr>
        <w:t>خصوص الصلاة في وقت الفريضة مع تجويز الإتيان بسائر المباحات، بل والمكروهات في ذلك الوقت مع أنّ الصلاة من أفضل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يتبيّن أنّ ما تمّ سنداً من روايات المنع هو رواية أبي بكر الحضرمي في وجه، وموثّقة محمّد بن مسلم، وصحيحة زرارة، وموثّقة نجبة إلّا أنّ الأخيرة لم تتمّ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الجواز فتمّ منها صحيحة محمّد بن مسلم، وموثّقة إسحاق بن عمّار، وصحيحة عمر بن يزيد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 به للمنع مثل ما رواه في الذكرى من رواية زرارة الأولى والثانية، وما ذكره في السرائر من رواية حريز، وما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ورواية أديم بن الحرّ، والنبويّ الذي أرسله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كلّها وإن سلّمت دلالتها إلّا أنّها غير نقية سنداً، ولكنّها بمجموعها قد تشكّل نوع استفاضة، فينبغي أن يؤخذ هذا في الحسبان</w:t>
      </w:r>
      <w:r>
        <w:rPr>
          <w:rFonts w:eastAsia="Amiri" w:cs="Amiri" w:ascii="Amiri" w:hAnsi="Amiri"/>
          <w:color w:val="111111"/>
          <w:sz w:val="28"/>
          <w:szCs w:val="28"/>
          <w:rtl w:val="true"/>
          <w:lang w:bidi="ar-SA"/>
        </w:rPr>
        <w:t xml:space="preserve">. </w:t>
      </w:r>
      <w:bookmarkStart w:id="74" w:name="pg9159_84950"/>
    </w:p>
    <w:p>
      <w:pPr>
        <w:pStyle w:val="Heading3"/>
        <w:numPr>
          <w:ilvl w:val="2"/>
          <w:numId w:val="1"/>
        </w:numPr>
        <w:rPr/>
      </w:pPr>
      <w:bookmarkStart w:id="75" w:name="__RefHeading___Toc3482591_2870459653"/>
      <w:bookmarkStart w:id="76" w:name="_Toc27"/>
      <w:bookmarkEnd w:id="74"/>
      <w:bookmarkEnd w:id="75"/>
      <w:r>
        <w:rPr>
          <w:rtl w:val="true"/>
        </w:rPr>
        <w:t>طرق الجمع بين الروايات</w:t>
      </w:r>
      <w:bookmarkEnd w:id="76"/>
    </w:p>
    <w:p>
      <w:pPr>
        <w:pStyle w:val="Heading4"/>
        <w:numPr>
          <w:ilvl w:val="3"/>
          <w:numId w:val="1"/>
        </w:numPr>
        <w:rPr/>
      </w:pPr>
      <w:bookmarkStart w:id="77" w:name="__RefHeading___Toc3482593_2870459653"/>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وبعد ذكر أدلّة الطرفين لا بدّ من البحث عن محمل للخروج به عن حالة التعارض بين هذه الروايات، وقد ذكرت عدّة محاولات للجمع بن هاتين الطائفتين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صناعة الإطلاق والتقييد هو تقييد الأخبار الدالّة بإطلاقها على جواز النافلة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الأخبار الدالّة على تشريع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المانعة، فتكون النتيجة هو جواز النافلة ومشروعيتها إلّا في وقت الفريضة، فلا مشروعية لها، فيكون تفريغ الذمّة عن الفريضة شرطاً تعبّدياً لصحّة النافلة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هذا الوجه من الجمع يتمّ في خصوص النوافل المبتدأة دون النوافل الراتبة، وقد عرفت شمول الأحاديث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ما تضمّنته الأخبار من أنّ الصلاة في أوّل الوقت أفضل على الوقت الذي يلي وقت النافلة؛ لأنّ النوافل إنّما يجوز تقديمها إلى أن يمضي مقدار قدمين أو ذراع، فإذا مضى ذلك فلا يجوز الاشتغال بالنوافل، بل ينبغي أن يبدأ بالفرض، ويكون ذلك الوقت أفضل من الوقت الذي بعده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تضمّنته الأخبار من أنّه لا تطوّع في وقت الفريضة فمحمول على أنّه لا تطوّع في وقت فريضة تضيّق وقتها، أو في وقت فريضة لم يسغ فعل النافلة فيه، </w:t>
      </w:r>
    </w:p>
    <w:p>
      <w:pPr>
        <w:pStyle w:val="BookText"/>
        <w:rPr/>
      </w:pPr>
      <w:r>
        <w:rPr>
          <w:rFonts w:ascii="Amiri" w:hAnsi="Amiri" w:eastAsia="Amiri" w:cs="Amiri"/>
          <w:color w:val="111111"/>
          <w:sz w:val="28"/>
          <w:sz w:val="28"/>
          <w:szCs w:val="28"/>
          <w:rtl w:val="true"/>
          <w:lang w:bidi="ar-SA"/>
        </w:rPr>
        <w:t>على ما بيّناه من أنّه إذا مضى من الزوال قدمان أو قدم ونصف فلا نافلة، وينبغي أن يبدأ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المطلقات الدالّة على حرمة التطوّع في وقت الفريضة بما إذا كان المصلّي منفرداً، وأمّا إذا كان مأموماً ينتظر حضور الإمام فيجوز له أن يتنفّل إلى أن يحضر الإمام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هذا الحمل موثّقة إسحاق بن عمّار</w:t>
      </w:r>
      <w:r>
        <w:rPr>
          <w:rStyle w:val="FootnoteAnchor"/>
          <w:rtl w:val="true"/>
        </w:rPr>
        <w:footnoteReference w:id="122"/>
      </w:r>
      <w:r>
        <w:rPr>
          <w:rFonts w:ascii="IRNazanin" w:hAnsi="IRNazanin" w:eastAsia="IRNazanin"/>
          <w:color w:val="111111"/>
          <w:sz w:val="28"/>
          <w:sz w:val="28"/>
          <w:szCs w:val="28"/>
          <w:rtl w:val="true"/>
          <w:lang w:bidi="fa-IR"/>
        </w:rPr>
        <w:t xml:space="preserve">، وتؤيّده صحيحة عمر بن يزيد المتقدّمة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الرواية التي يروون أنّه لا يتطوّع في وقت فريضة، ما حدّ هذا الوقت؟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أخذ المقيم في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يختلفون في الإقامة،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المقيم الذي يصلّي معه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لوحده غير صالح لتقييد تلك الروايات الكثيرة، كما أنّه لا يحلّ مشكلة التعارض، فإنّ التعارض على حاله بين باقي الروايات، فإنّ بعض الروايات قد تكون ظاهرة في المنفرد إن لم تكن نصّاً فيه، وقد ذكر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والموضوع لعلّها تساعد على حمل النهي على كونه عرضياً من جهة فضيلة الجماعة في أوّل الصلاة، لا ذاتياً ولا إرشادياً إلى نفي المشروعية ولا إلى نقصٍ في الماهية</w:t>
      </w:r>
      <w:r>
        <w:rPr>
          <w:rStyle w:val="FootnoteAnchor"/>
          <w:rtl w:val="true"/>
        </w:rPr>
        <w:footnoteReference w:id="123"/>
      </w:r>
      <w:r>
        <w:rPr>
          <w:rFonts w:ascii="Amiri" w:hAnsi="Amiri" w:eastAsia="Amiri" w:cs="Amiri"/>
          <w:color w:val="111111"/>
          <w:sz w:val="28"/>
          <w:sz w:val="28"/>
          <w:szCs w:val="28"/>
          <w:rtl w:val="true"/>
          <w:lang w:bidi="ar-SA"/>
        </w:rPr>
        <w:t>، كما أنّه على التسليم به لا بدّ من تقييد حرمة التطوّع بالنسبة للمنفرد بما إذا تضيّق وقت فضيلة الفريضة، كما دلّت عليه الروايات الأُخر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ويعضد ما ذكرنا تصريح الرياض بأنّه لا قائل بهذا التفصيل وإن احتمله بعضهم</w:t>
      </w:r>
      <w:r>
        <w:rPr>
          <w:rStyle w:val="FootnoteAnchor"/>
          <w:rtl w:val="true"/>
        </w:rPr>
        <w:footnoteReference w:id="124"/>
      </w:r>
      <w:r>
        <w:rPr>
          <w:rFonts w:ascii="Amiri" w:hAnsi="Amiri" w:eastAsia="Amiri" w:cs="Amiri"/>
          <w:color w:val="111111"/>
          <w:sz w:val="28"/>
          <w:sz w:val="28"/>
          <w:szCs w:val="28"/>
          <w:rtl w:val="true"/>
          <w:lang w:bidi="ar-SA"/>
        </w:rPr>
        <w:t>في مقام الجمع بين الأخبار المختلفة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الروايات الدالّة على تعجيل الفريضة أوّل الوقت على الاستحباب والفضل للقرائن الصارفة، وحمل الروايات المانعة على من يصلّي النافلة، فإنّ التنفّل جائز حتّى يصير الفيء ذراعاً، فإذا بلغ ذلك صلّى الظهر وترك النافلة، ولذا استثنى بعض فقهائنا من أفضلية أوّل الوقت مواضع، منها ما ذكره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تأخير الظهرين للمتنفّل حتّى يأتي بنافلتها، وتأخير الصبح حتّى يأتي بركعتي الفجر إن لم يكن قدّمها قبله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ذلك ما رواه أحمد بن محمّد بن أبي نصر البزنطي في جامعه،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حائط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فإذا مضى من فيئه ذراعاً صلّى الظهر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يعترض عليه فيما لو وجدت رواية مطلقة مسوقة لبيان تحديد الوقت بلا نظر فيها إلى مقام الامتثال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يجاب بأنّ المدار على مضي مقدار ما هو وظيفته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في الجواهر</w:t>
      </w:r>
      <w:r>
        <w:rPr>
          <w:rStyle w:val="FootnoteAnchor"/>
          <w:rtl w:val="true"/>
        </w:rPr>
        <w:footnoteReference w:id="128"/>
      </w:r>
      <w:r>
        <w:rPr>
          <w:rFonts w:ascii="IRNazanin" w:hAnsi="IRNazanin" w:eastAsia="IRNazanin"/>
          <w:color w:val="111111"/>
          <w:sz w:val="28"/>
          <w:sz w:val="28"/>
          <w:szCs w:val="28"/>
          <w:rtl w:val="true"/>
          <w:lang w:bidi="fa-IR"/>
        </w:rPr>
        <w:t xml:space="preserve">من حمل النهي الوارد في الروايات على الكراهة بالمعنى المناسب للعبادة، بمعنى أقلّية الثواب، وحمل الأمر الوارد فيها على الندب، فيكون حاصل الأخبار ترجيح مراعاة أوّل الوقت للفريضة الذي فضله على آخر الوقت كفضل الآخرة على الدنيا؛ لوجود قرائن متّصلة ومنفصلة على عدم إرادة الحرمة من النهي، وإنّما هو إرشاد إلى إدراك فضيلة الوقت، ويشهد لذلك تحديد النوافل بوقت غير منضبط، فهو لا يصلح لإرادة الحرمة؛ لأنّها لا تنسجم مع التسهيل، لعدم اعتيادهم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أمثال ذلك في الحرمة، وكما تشير إلى ذلك رواية إسماعيل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أتدري لم جعل الذراع والذراعان؟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 يكون تطوّع في وقت مكتوبة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ظهور نصوص المنع أو أكثرها في إرادة وقت الفضيلة من وقت الفريضة لا ما يشمل وقت الإجزاء مضعّف آخر لدلالتها على التحريم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والقرائن المنفصلة هي الأخبار الدالّة على جواز إيقاع النافلة في وقت الفريضة كما سمعتها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الجمع الدلالي هو مرجوحية النافلة في وقت الفريضة؛ فإنّ الأخبار المرخّصة صريحة في إرادة الفضل من الابتداء بالفريضة، كما في صحيحة محمّد بن مسلم المتقدّمة، بينما الأخبار المانعة ظاهرة في الحرمة، فتحمل على الكراهة جمعاً بين الأدلّة، فإنّ الالتزام بالحرمة عملاً بالنصوص المانعة يقتضي طرح النصوص </w:t>
      </w:r>
    </w:p>
    <w:p>
      <w:pPr>
        <w:pStyle w:val="BookText"/>
        <w:rPr/>
      </w:pPr>
      <w:r>
        <w:rPr>
          <w:rFonts w:ascii="Amiri" w:hAnsi="Amiri" w:eastAsia="Amiri" w:cs="Amiri"/>
          <w:color w:val="111111"/>
          <w:sz w:val="28"/>
          <w:sz w:val="28"/>
          <w:szCs w:val="28"/>
          <w:rtl w:val="true"/>
          <w:lang w:bidi="ar-SA"/>
        </w:rPr>
        <w:t>المجوّزة أو ما هو كالطرح، بخلاف العكس فإنّ الكراهة مجاز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 القدماء بالحرمة ناشئ من قولهم بمنع تأخير الفريضة عن وقت الفضيلة اختياراً، كما هو مذهب الشيخين في المقنعة</w:t>
      </w:r>
      <w:r>
        <w:rPr>
          <w:rStyle w:val="FootnoteAnchor"/>
          <w:rtl w:val="true"/>
        </w:rPr>
        <w:footnoteReference w:id="129"/>
      </w:r>
      <w:r>
        <w:rPr>
          <w:rFonts w:ascii="IRNazanin" w:hAnsi="IRNazanin" w:eastAsia="IRNazanin"/>
          <w:color w:val="111111"/>
          <w:sz w:val="28"/>
          <w:sz w:val="28"/>
          <w:szCs w:val="28"/>
          <w:rtl w:val="true"/>
          <w:lang w:bidi="fa-IR"/>
        </w:rPr>
        <w:t>والمبسوط</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الراجح هو الحمل الذي ذكره في الجواهر من حمل النهي على الكراهة، والأوامر الواردة في الأخبار على الندب؛ فإنّ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بين تخصيص النواهي بالنوافل الخاصّة الواردة في وقت الفريضة، وتخصيص مطلقات النوافل الأخر بصورة عدم كونها في وقت الفريضة ولو قضاءً، كما هو صريح بعض النصوص، أو حمل النهي المزبور على دفع توهّم تأكّد الرجحان أو المرجوحية العبادية، والالتزام ببقاء مشروعيتها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بأنّه لا يبعد المصير إلى الجمع الأخير بعد تخصيص النوافل اليومية منها جزماً، وربّما يشهد له قوله في بعض النصوص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أن تبدأ بالفريضة، وفي آخر تحديد عدم التطوّع وقت الفريضة بأخذ المقيم في الإقامة الذي تصلح معه الدلالة على عدم المنع عنها قبل الإقامة، ومعلوم أنّ مثل هذا المنع لمحض درك الفضيلة المناسب لكون النهي تنزيهياً كما لا يخفى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أقلّ من قرب احتماله ولو لبعد اختصاص النهي بخصوص النوافل من الصلوات، مع جواز غيرهن في الوقت المذكور</w:t>
      </w:r>
      <w:r>
        <w:rPr>
          <w:rFonts w:eastAsia="Amiri" w:cs="Amiri" w:ascii="Amiri" w:hAnsi="Amiri"/>
          <w:color w:val="111111"/>
          <w:sz w:val="28"/>
          <w:szCs w:val="28"/>
          <w:rtl w:val="true"/>
          <w:lang w:bidi="ar-SA"/>
        </w:rPr>
        <w:t xml:space="preserve">. </w:t>
      </w:r>
      <w:bookmarkStart w:id="79" w:name="pg9159_84955"/>
    </w:p>
    <w:p>
      <w:pPr>
        <w:pStyle w:val="BookText"/>
        <w:rPr/>
      </w:pPr>
      <w:bookmarkEnd w:id="79"/>
      <w:r>
        <w:rPr>
          <w:rFonts w:ascii="Amiri" w:hAnsi="Amiri" w:eastAsia="Amiri" w:cs="Amiri"/>
          <w:color w:val="111111"/>
          <w:sz w:val="28"/>
          <w:sz w:val="28"/>
          <w:szCs w:val="28"/>
          <w:rtl w:val="true"/>
          <w:lang w:bidi="ar-SA"/>
        </w:rPr>
        <w:t>ثمّ هل يمكن التعدّي من النوافل إلى غيرها من المباحات، فنحكم بكراهة الإتيان بالمباحات في وقت الفريضة؟</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حكم الفقهاء</w:t>
      </w:r>
      <w:r>
        <w:rPr>
          <w:rStyle w:val="FootnoteAnchor"/>
          <w:rtl w:val="true"/>
        </w:rPr>
        <w:footnoteReference w:id="132"/>
      </w:r>
      <w:r>
        <w:rPr>
          <w:rFonts w:ascii="Amiri" w:hAnsi="Amiri" w:eastAsia="Amiri" w:cs="Amiri"/>
          <w:color w:val="111111"/>
          <w:sz w:val="28"/>
          <w:sz w:val="28"/>
          <w:szCs w:val="28"/>
          <w:rtl w:val="true"/>
          <w:lang w:bidi="ar-SA"/>
        </w:rPr>
        <w:t>بتوسعة وقت أداء الصلاة لجميع الوقت المضروب لها هو جواز الإتيان بالمباحات في وقت الفريضة ما دام موسّعاً،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حكمنا بكراهة النافلة في وقت الفريضة مع كونها راجحة في نفسها فلا بدّ من الحكم بكراهة المباح في وقتها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 عرفت أنّ الكراهة في المقام بمعنى أقلّية الثواب في النافلة مع بقائها على ما هي عليه من الرجحان الذاتي والمطلوبية النفسية، وهي منتفية في المباحات؛ لانتفاء موضوعها أو موصوفها، فلا رجحان فيها من الأساس، مضافاً إلى أنّه على القول بأنّ الحرمة في العبادات تشريعية لا ذاتية، بمعنى أنّ الإتيان بها بقصد الأمر تشريع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بعض الأعلام المعاصرين</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هذا الكلام حتّى على القول بتحريم النافلة في وقت الفريضة؛ إذ لا تشريع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مسألتنا هو صحّة تعلّق النذر بالنافلة في وقت الفريضة، وصحّة الإجارة على النافلة في وقتها، والكلام فيهما مختصراً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482595_2870459653"/>
      <w:bookmarkStart w:id="81" w:name="_Toc29"/>
      <w:bookmarkEnd w:id="80"/>
      <w:r>
        <w:rPr>
          <w:rtl w:val="true"/>
        </w:rPr>
        <w:t>الفرع الأوّل</w:t>
      </w:r>
      <w:r>
        <w:rPr>
          <w:rtl w:val="true"/>
        </w:rPr>
        <w:t xml:space="preserve">: </w:t>
      </w:r>
      <w:r>
        <w:rPr>
          <w:rtl w:val="true"/>
        </w:rPr>
        <w:t>في صحّة نذر النافلة وقت الفريضة</w:t>
      </w:r>
      <w:bookmarkEnd w:id="81"/>
    </w:p>
    <w:p>
      <w:pPr>
        <w:pStyle w:val="Heading5"/>
        <w:numPr>
          <w:ilvl w:val="4"/>
          <w:numId w:val="1"/>
        </w:numPr>
        <w:rPr/>
      </w:pPr>
      <w:bookmarkStart w:id="82" w:name="__RefHeading___Toc3482597_2870459653"/>
      <w:bookmarkStart w:id="83" w:name="_Toc30"/>
      <w:bookmarkEnd w:id="82"/>
      <w:r>
        <w:rPr>
          <w:rtl w:val="true"/>
        </w:rPr>
        <w:t>اشارة</w:t>
      </w:r>
      <w:bookmarkEnd w:id="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صحّة النذر وجواز الإتيان بمتعلّقه في وقت الفريضة بناءً على صحّة التنفّل في وقت الفريضة، سواء كان المنذور مطلقاً أو مقيّداً بوقت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w:t>
      </w:r>
      <w:bookmarkStart w:id="84" w:name="pg9159_84956"/>
    </w:p>
    <w:p>
      <w:pPr>
        <w:pStyle w:val="BookText"/>
        <w:rPr/>
      </w:pPr>
      <w:bookmarkEnd w:id="84"/>
      <w:r>
        <w:rPr>
          <w:rFonts w:ascii="Amiri" w:hAnsi="Amiri" w:eastAsia="Amiri" w:cs="Amiri"/>
          <w:color w:val="111111"/>
          <w:sz w:val="28"/>
          <w:sz w:val="28"/>
          <w:szCs w:val="28"/>
          <w:rtl w:val="true"/>
          <w:lang w:bidi="ar-SA"/>
        </w:rPr>
        <w:t>على عدم المشروعية فينبغي أن يقع الكلام في ما إذا كان متعلّق النذر مطلقاً، وفي ما إذا كان مقيّداً بوقت الفريضة، فالكلام يقع في صورتين</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482599_2870459653"/>
      <w:bookmarkStart w:id="86" w:name="_Toc31"/>
      <w:bookmarkEnd w:id="85"/>
      <w:r>
        <w:rPr>
          <w:rtl w:val="true"/>
        </w:rPr>
        <w:t>الصورة الأولى</w:t>
      </w:r>
      <w:r>
        <w:rPr>
          <w:rtl w:val="true"/>
        </w:rPr>
        <w:t xml:space="preserve">: </w:t>
      </w:r>
      <w:r>
        <w:rPr>
          <w:rtl w:val="true"/>
        </w:rPr>
        <w:t>فيما إذا كان متعلّق النذر مطلقاً</w:t>
      </w:r>
      <w:bookmarkEnd w:id="86"/>
    </w:p>
    <w:p>
      <w:pPr>
        <w:pStyle w:val="BookText"/>
        <w:rPr/>
      </w:pPr>
      <w:r>
        <w:rPr>
          <w:rFonts w:ascii="Amiri" w:hAnsi="Amiri" w:eastAsia="Amiri" w:cs="Amiri"/>
          <w:color w:val="111111"/>
          <w:sz w:val="28"/>
          <w:sz w:val="28"/>
          <w:szCs w:val="28"/>
          <w:rtl w:val="true"/>
          <w:lang w:bidi="ar-SA"/>
        </w:rPr>
        <w:t xml:space="preserve">وهنا لا ينبغي الإشكال في الصحّة؛ لأنّ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طبيعي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شرعاً، ومقدور للناذر عقلاً وشرعاً، ولا مانع من الإتيان بالنافلة بعدئذٍ في وقت الفريضة؛ إذ إنّها بالنذر تخرج عن الاستحباب، وتتّصف بالوجوب، فلا تشملها الروايات الناهية عن التطوّع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نذر مطلق النافلة وإن كان صحيحاً في نفسه إلّا أنّ النافلة في وقت الفريضة خارجة عنه؛ لعدم صلاحية النذر للتعلّق بهذه الحصّة، لكونها مرجوحة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النذر إنّما تعلّق بطبيعة الصلاة، وهي إنّما تتحقّق بصرف وجود الفرد في الخارج، وكانت قد خرجت بالنذر من الاستحباب إلى الوجوب، وبالتالي فالإتيان بها في وقت الفريضة يكون من باب تقديم الفرض على الفرض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إشكال كونه حراماً قبل النذر فقد أجاب عنه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يوجب صرف النذر إلى ما عداه من الأفراد؛ إذ لا يشترط في صحّة النذر المتعلّق بالطبيعة إلّا تمكّن المكلّف من إيقاعها في ضمن فرد سائغ، ومتى انعقد النذر لا يجب عليه إلّا الإتيان بتلك الطبيعة في ضمن أيّ فردٍ أحبّ ممّا لا مانع عنه شرعاً، والمفروض ارتفاع المانع عن هذا الفرد بعد صيرورته مصداقاً للواجب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87" w:name="pg9159_84957"/>
    </w:p>
    <w:p>
      <w:pPr>
        <w:pStyle w:val="Heading5"/>
        <w:numPr>
          <w:ilvl w:val="4"/>
          <w:numId w:val="1"/>
        </w:numPr>
        <w:rPr/>
      </w:pPr>
      <w:bookmarkStart w:id="88" w:name="__RefHeading___Toc3482601_2870459653"/>
      <w:bookmarkStart w:id="89" w:name="_Toc32"/>
      <w:bookmarkEnd w:id="87"/>
      <w:bookmarkEnd w:id="88"/>
      <w:r>
        <w:rPr>
          <w:rtl w:val="true"/>
        </w:rPr>
        <w:t>الصورة الأخرى</w:t>
      </w:r>
      <w:r>
        <w:rPr>
          <w:rtl w:val="true"/>
        </w:rPr>
        <w:t xml:space="preserve">: </w:t>
      </w:r>
      <w:r>
        <w:rPr>
          <w:rtl w:val="true"/>
        </w:rPr>
        <w:t>فيما إذا كان متعلّق النذر مقيّداً بوقت الفريضة</w:t>
      </w:r>
      <w:bookmarkEnd w:id="89"/>
    </w:p>
    <w:p>
      <w:pPr>
        <w:pStyle w:val="Heading6"/>
        <w:numPr>
          <w:ilvl w:val="5"/>
          <w:numId w:val="1"/>
        </w:numPr>
        <w:rPr/>
      </w:pPr>
      <w:bookmarkStart w:id="90" w:name="__RefHeading___Toc3482603_2870459653"/>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وهذا يتصوّر على نحوين</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3482605_2870459653"/>
      <w:bookmarkStart w:id="93" w:name="_Toc34"/>
      <w:bookmarkEnd w:id="92"/>
      <w:r>
        <w:rPr>
          <w:rtl w:val="true"/>
        </w:rPr>
        <w:t>النحو الأوّل</w:t>
      </w:r>
      <w:bookmarkEnd w:id="93"/>
    </w:p>
    <w:p>
      <w:pPr>
        <w:pStyle w:val="BookText"/>
        <w:rPr/>
      </w:pPr>
      <w:r>
        <w:rPr>
          <w:rFonts w:ascii="Amiri" w:hAnsi="Amiri" w:eastAsia="Amiri" w:cs="Amiri"/>
          <w:color w:val="111111"/>
          <w:sz w:val="28"/>
          <w:sz w:val="28"/>
          <w:szCs w:val="28"/>
          <w:rtl w:val="true"/>
          <w:lang w:bidi="ar-SA"/>
        </w:rPr>
        <w:t>أن يكون الوقت الذي قيّد به المنذور أوسع من وقت الفريضة بحيث يتمكّن من الإتيان به في زمان تكون الذمّة فارغة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أن تكون النافلة منذورة في هذه الحالة، وبعد انعقاد النذر والحكم بصحّته ساغ الإتيان بها حتّى قبل تفريغ الذمّة عن الفريضة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الوقت كان متعلّقاً للنذر في هذه الصورة فلا بدّ فيه من الرجحان، ولا رجحان في البين، فانعقاد النذر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كون المتعلّق للنذر هو ذات المقيّد بنحو وحدة المطلوب، والزمان وإن كان من المشخّصات إلّا أنّه إنّما يكون مشخّصاً بعرضه العريض الواقع بين الحدّين الشامل لتمام حدوده وآناته، فيصلح للانطباق على فترتين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 عن التطوّع فيها،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وهي الواقعة بعد أداء الفريضة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 يمكن أن يقال بأنّ هذه الحصّة المنهيّ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النافلة في وقت الفريضة قبل أداء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النذر؛ لمكان النهي، فلا يمكن أن يأتي بها المكلّف أداءً للنذر</w:t>
      </w:r>
      <w:r>
        <w:rPr>
          <w:rFonts w:eastAsia="Amiri" w:cs="Amiri" w:ascii="Amiri" w:hAnsi="Amiri"/>
          <w:color w:val="111111"/>
          <w:sz w:val="28"/>
          <w:szCs w:val="28"/>
          <w:rtl w:val="true"/>
          <w:lang w:bidi="ar-SA"/>
        </w:rPr>
        <w:t xml:space="preserve">. </w:t>
      </w:r>
      <w:bookmarkStart w:id="94" w:name="pg9159_84958"/>
    </w:p>
    <w:p>
      <w:pPr>
        <w:pStyle w:val="BookText"/>
        <w:rPr/>
      </w:pPr>
      <w:bookmarkEnd w:id="94"/>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ظاهرة في العناوين الفعلية للأفعال، فالنهي إنّما تعلّق بما هو تطوّع بالحمل الشائع وبوصفه العنواني بحيث يكون صدوره خارجاً بداعي التطوّع، ومتّصفاً بالاستحباب في ظرف العمل، ولا شبهة في زوال هذا العنوان بعد النذر، وتحول الفعل من الاستحباب إلى الوجوب بالنذر، فيتّصف الفعل بالوجوب بالعرض حينئذ، فيكون الإتيان بالمنذور قبل الفريضة تقديم للفرض على الفرض، فيكون خارجاً عن أدلّة النهي موضوعاً</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482607_2870459653"/>
      <w:bookmarkStart w:id="96" w:name="_Toc35"/>
      <w:bookmarkEnd w:id="95"/>
      <w:r>
        <w:rPr>
          <w:rtl w:val="true"/>
        </w:rPr>
        <w:t>النحو الآخر</w:t>
      </w:r>
      <w:bookmarkEnd w:id="96"/>
    </w:p>
    <w:p>
      <w:pPr>
        <w:pStyle w:val="BookText"/>
        <w:rPr/>
      </w:pPr>
      <w:r>
        <w:rPr>
          <w:rFonts w:ascii="Amiri" w:hAnsi="Amiri" w:eastAsia="Amiri" w:cs="Amiri"/>
          <w:color w:val="111111"/>
          <w:sz w:val="28"/>
          <w:sz w:val="28"/>
          <w:szCs w:val="28"/>
          <w:rtl w:val="true"/>
          <w:lang w:bidi="ar-SA"/>
        </w:rPr>
        <w:t xml:space="preserve">أن يكون المنذور مقيّداً بالوقت المجعول للفريضة بحيث لا يسعه إلّا الإتيان به قبل تفريغ الذمّة عنها، كما إذا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صلاة جعفر في أوّل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اختار بعض الأعلام عدم الانعقاد</w:t>
      </w:r>
      <w:r>
        <w:rPr>
          <w:rStyle w:val="FootnoteAnchor"/>
          <w:rtl w:val="true"/>
        </w:rPr>
        <w:footnoteReference w:id="136"/>
      </w:r>
      <w:r>
        <w:rPr>
          <w:rFonts w:ascii="Amiri" w:hAnsi="Amiri" w:eastAsia="Amiri" w:cs="Amiri"/>
          <w:color w:val="111111"/>
          <w:sz w:val="28"/>
          <w:sz w:val="28"/>
          <w:szCs w:val="28"/>
          <w:rtl w:val="true"/>
          <w:lang w:bidi="ar-SA"/>
        </w:rPr>
        <w:t>مراعاةً لاعتبار الرجحان في متعلّق النذر، وهو مفقود في المقام على القول بالنهي عن التطوّع في وقت الفريضة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هناك من ذهب الى انعقاد النذر، منهم السيّد صاحب العروة</w:t>
      </w:r>
      <w:r>
        <w:rPr>
          <w:rStyle w:val="FootnoteAnchor"/>
          <w:rtl w:val="true"/>
        </w:rPr>
        <w:footnoteReference w:id="137"/>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استدلّ الأخير</w:t>
      </w:r>
      <w:r>
        <w:rPr>
          <w:rStyle w:val="FootnoteAnchor"/>
          <w:rtl w:val="true"/>
        </w:rPr>
        <w:footnoteReference w:id="138"/>
      </w:r>
      <w:r>
        <w:rPr>
          <w:rFonts w:ascii="Amiri" w:hAnsi="Amiri" w:eastAsia="Amiri" w:cs="Amiri"/>
          <w:color w:val="111111"/>
          <w:sz w:val="28"/>
          <w:sz w:val="28"/>
          <w:szCs w:val="28"/>
          <w:rtl w:val="true"/>
          <w:lang w:bidi="ar-SA"/>
        </w:rPr>
        <w:t xml:space="preserve">لقوله بأنّ الصلاة راجحة في حدّ ذاتها، وأنّ المرجوحية إنّما نشأت من أجل تعنونها بعنوان التطوّع في وقت الفريضة، وبما أنّ هذا العنوان متقوّم بالإتيان بما لا إلزام فيه، والمفروض انقلابه بسبب النذر إلى الإلزام المزيل لذلك العنوان، فلا مانع بعد ارتفاع المانع من الالتزام بصحّة النذر، </w:t>
      </w:r>
    </w:p>
    <w:p>
      <w:pPr>
        <w:pStyle w:val="BookText"/>
        <w:rPr/>
      </w:pPr>
      <w:r>
        <w:rPr>
          <w:rFonts w:ascii="Amiri" w:hAnsi="Amiri" w:eastAsia="Amiri" w:cs="Amiri"/>
          <w:color w:val="111111"/>
          <w:sz w:val="28"/>
          <w:sz w:val="28"/>
          <w:szCs w:val="28"/>
          <w:rtl w:val="true"/>
          <w:lang w:bidi="ar-SA"/>
        </w:rPr>
        <w:t>وكونه مشمولاً لإطلاقات أدلّة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غير خفي أنّ أصل انعقاد النذر مرهون برجحان المتعلّق، والعنوان الذي تعلّق به النذر مرجوح بحسب الفرض،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علاجاً في مرحلة الامتثال، فإنّه به يخرج المتعلّق من كونه غير مقدور شرعاً إلى كونه مقدوراً بعد انعقاد النذر، إلّا أنّ الكلام في نفس انعقاد النذر، وقد عرفت عدم انعقاده لو تعلّق بغير المشروع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المعتبر في متعلّق النذر أن يكون راجحاً شرعاً حين العمل لا حين الإنشاء، وهو بعيد؛ لدلالة صحيحة أبي الصباح الكناني 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شيء هو لله طاعة يجعله الرجل عليه إلّا ينبغي له أن يفي به، وليس من رجل جعل لله عليه شيئاً في معصية الله إلّا أنّه ينبغي له أن يتركه إلى طاعة الله</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وقد ادّعى في الشرائع ذهاب المشهور إلى عدم تعلّق النذر بالمحرّم والمكروه، بل ولا بمتساوي الطرفين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يلوح من عبارة المحقّق الخراساني في الكفاية</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يكفي في صحّة النذر كون متعلّقه راجحاً ولو بنفس النذر، كما في نذر الإحرام قبل الميقات، والصوم في السفر؛ فإنّه مع لزومه الدور مخالف لصريح النصوص الواردة في المقام، ففي صحيحة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النذر بشيء حتّى يسمّي شيئاً لله صياماً أو صدقة أو هدياً أو حجّاً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وأمّا ما ذكره من الموردين فقد خرج عن مقتضى القاعدة بالنصّ وقياس المقام به قياس مع الفارق؛ إذ لا نصّ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العهد واليمين بالنذر في هذه الأحكام؟</w:t>
      </w:r>
    </w:p>
    <w:p>
      <w:pPr>
        <w:pStyle w:val="BookText"/>
        <w:rPr/>
      </w:pPr>
      <w:r>
        <w:rPr>
          <w:rFonts w:ascii="Amiri" w:hAnsi="Amiri" w:eastAsia="Amiri" w:cs="Amiri"/>
          <w:color w:val="111111"/>
          <w:sz w:val="28"/>
          <w:sz w:val="28"/>
          <w:szCs w:val="28"/>
          <w:rtl w:val="true"/>
          <w:lang w:bidi="ar-SA"/>
        </w:rPr>
        <w:t>قد يقال بعدم الإلحاق، بمعنى أنّه على القول بالمنع من التطوّع في وقت الفريضة يبقى المنع على حاله من دون تأثير للعهد واليمين في ذلك، أي لو كان متعلّق العهد أو اليمين مطلقاً وغير مقيّد بوقت الفريضة، أو مقيّداً بوقت أوسع من وقت الفريضة بحيث يتمكّن من الإتيان بالمنذور في زمانٍ تكون الذمّة فارغة عنها، فلا مانع من انعقاده، ولكن هل للمكلّف الإتيان بالمتعلّق في وقت الفريضة؟</w:t>
      </w:r>
    </w:p>
    <w:p>
      <w:pPr>
        <w:pStyle w:val="BookText"/>
        <w:rPr/>
      </w:pPr>
      <w:r>
        <w:rPr>
          <w:rFonts w:ascii="Amiri" w:hAnsi="Amiri" w:eastAsia="Amiri" w:cs="Amiri"/>
          <w:color w:val="111111"/>
          <w:sz w:val="28"/>
          <w:sz w:val="28"/>
          <w:szCs w:val="28"/>
          <w:rtl w:val="true"/>
          <w:lang w:bidi="ar-SA"/>
        </w:rPr>
        <w:t>يحتمل الإيجاب؛ لأنّها تخرج بالعهد واليمين من النفل إلى الفرض، فيكون تقديمها على الفريضة من باب تقديم الفرض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السلب؛ للنهي عنها في ذلك الوقت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متعلّق العهد أو اليمين مقيّداً بوقت الفريضة بحيث لا يسعه إلّا الإتيان به قبل تفريغ الذمّة عنها، فلا إشكال هنا في انعقاد العهد أو اليمين، بناءً على عدم اشتراط الرجحان في متعلّقهما؛ لأنّهما يشتركان في أن يجعل الإنسان نفسه ملزمة بشيء غاية الأمر أنّه يجعل الله سبحانه كفيلاً وشاهداً على ما التزم به، فالعهد هو عبارة عن معاهدةٍ وإقرار نفساني فيما بينه وبين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اليمين فهو إنشاء التزام بشيء مربوط بالله تعالى، فهما ليسا كالنذر، فإنّ الناذر يجعل الله سبحانه طرفاً </w:t>
      </w:r>
      <w:bookmarkStart w:id="97" w:name="pg9159_84961"/>
    </w:p>
    <w:p>
      <w:pPr>
        <w:pStyle w:val="BookText"/>
        <w:rPr/>
      </w:pPr>
      <w:bookmarkEnd w:id="97"/>
      <w:r>
        <w:rPr>
          <w:rFonts w:ascii="Amiri" w:hAnsi="Amiri" w:eastAsia="Amiri" w:cs="Amiri"/>
          <w:color w:val="111111"/>
          <w:sz w:val="28"/>
          <w:sz w:val="28"/>
          <w:szCs w:val="28"/>
          <w:rtl w:val="true"/>
          <w:lang w:bidi="ar-SA"/>
        </w:rPr>
        <w:t>لجعله، بأن يجعل الناذر على نفسه شيئاً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بنى على عدم انعقاد اليمين فيما إذا كان متعلّقها مرجوحاً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العهد فالمعتبر فيه أن لا يكون مرجوحاً شرعاً مع كونه راجحاً بحسب الأغراض الدنيوية العقلائية، أو مشتملاً على مصلحة دنيوية شخصية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العهد واليمين ملحقاً بالنذر في الحكم المتقدّم</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482609_2870459653"/>
      <w:bookmarkStart w:id="99" w:name="_Toc36"/>
      <w:bookmarkEnd w:id="98"/>
      <w:r>
        <w:rPr>
          <w:rtl w:val="true"/>
        </w:rPr>
        <w:t>الفرع الآخر</w:t>
      </w:r>
      <w:r>
        <w:rPr>
          <w:rtl w:val="true"/>
        </w:rPr>
        <w:t xml:space="preserve">: </w:t>
      </w:r>
      <w:r>
        <w:rPr>
          <w:rtl w:val="true"/>
        </w:rPr>
        <w:t>في صحّة الإجارة على النافلة في وقت الفريضة</w:t>
      </w:r>
      <w:bookmarkEnd w:id="99"/>
    </w:p>
    <w:p>
      <w:pPr>
        <w:pStyle w:val="BookText"/>
        <w:rPr/>
      </w:pPr>
      <w:r>
        <w:rPr>
          <w:rFonts w:ascii="Amiri" w:hAnsi="Amiri" w:eastAsia="Amiri" w:cs="Amiri"/>
          <w:color w:val="111111"/>
          <w:sz w:val="28"/>
          <w:sz w:val="28"/>
          <w:szCs w:val="28"/>
          <w:rtl w:val="true"/>
          <w:lang w:bidi="ar-SA"/>
        </w:rPr>
        <w:t>والإشكال المطروح في المقام هو أنّه على القول بحرمة التطوّع في وقت الفريضة فلا بدّ من البناء على بطلان الإجارة؛ لوقوعها على أمر محرّم شرعاً، ومعها يخرج هذا الفعل عن سلطنة الأجير، فلا يكون مالكاً له شرعاً، فيكون أكل الثمن في مقابله أكلاً للمال بالباطل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عن ذلك بأنّ الصحيح هو صحّة الإجارة؛ لعدم الحرمة لا على الأجير ولا على المستأجر، أمّا الأجير فإنّه يكون أجيراً على الإتيان بنافلة الغير في وقت فريضته، والنهي إنّما تعلّق بالإتيان بنافلة نفسه في وقت فريضته، وأمّا المستأجر فأيضاً هو منهيّ عن الإتيان بنافلته بنفسه في وقت الفريضة، ولم يتعلّق النهي باستئجار الغير لأن يتنفّل عنه، ولذا ذكر بعض الأعلام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البأس بالتطوّع عند اشتغال الذمّة بصلاة عرض لها الوجوب بإجارة أو نذر وشبهه؛ فإنّ لفظ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نهي عن التطوّع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منصرف عمّا كان وجوبها بالعناوين الطارئة لا بعنوان كونها صلاة، هذا مع خروج مثل الفرض عمّا </w:t>
      </w:r>
    </w:p>
    <w:p>
      <w:pPr>
        <w:pStyle w:val="BookText"/>
        <w:rPr/>
      </w:pPr>
      <w:r>
        <w:rPr>
          <w:rFonts w:ascii="Amiri" w:hAnsi="Amiri" w:eastAsia="Amiri" w:cs="Amiri"/>
          <w:color w:val="111111"/>
          <w:sz w:val="28"/>
          <w:sz w:val="28"/>
          <w:szCs w:val="28"/>
          <w:rtl w:val="true"/>
          <w:lang w:bidi="ar-SA"/>
        </w:rPr>
        <w:t>هو المفروض موضوعاً في معظم تلك الأخبار، كما لا يخفى</w:t>
      </w:r>
      <w:r>
        <w:rPr>
          <w:rFonts w:eastAsia="Amiri" w:cs="Amiri" w:ascii="Amiri" w:hAnsi="Amiri"/>
          <w:color w:val="111111"/>
          <w:sz w:val="28"/>
          <w:szCs w:val="28"/>
          <w:rtl w:val="true"/>
          <w:lang w:bidi="ar-SA"/>
        </w:rPr>
        <w:t>)</w:t>
      </w:r>
      <w:r>
        <w:rPr>
          <w:rStyle w:val="FootnoteAnchor"/>
          <w:rtl w:val="true"/>
        </w:rPr>
        <w:footnoteReference w:id="144"/>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بدّ من الالتفات إلى أنّ من جملة ما تمسّك به القائلون بمنع التطوّع في وقت الفريضة هو الروايات الآمرة بالبدء بالفريضة، والأجير مشمول لها، ويعتبر في صحّة الإجارة تمكّن الأجير من العمل الذي استؤجر عليه، وهو غير حاصل في محلّ الكلام، فالأجير غير متمكّن شرعاً من أداء العمل، فتبطل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بدّ من أن يلتزموا بعدم صحّة الإجارة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نفهم الوجوب من الأمر الوارد فيها، ولا المنع من التطوّع في وقتها فنحن في سعة من هذه الجهة</w:t>
      </w:r>
      <w:r>
        <w:rPr>
          <w:rFonts w:eastAsia="Amiri" w:cs="Amiri" w:ascii="Amiri" w:hAnsi="Amiri"/>
          <w:color w:val="111111"/>
          <w:sz w:val="28"/>
          <w:szCs w:val="28"/>
          <w:rtl w:val="true"/>
          <w:lang w:bidi="ar-SA"/>
        </w:rPr>
        <w:t xml:space="preserve">. </w:t>
      </w:r>
      <w:bookmarkStart w:id="100" w:name="pg9159_84963"/>
    </w:p>
    <w:p>
      <w:pPr>
        <w:pStyle w:val="Heading3"/>
        <w:numPr>
          <w:ilvl w:val="2"/>
          <w:numId w:val="1"/>
        </w:numPr>
        <w:rPr/>
      </w:pPr>
      <w:bookmarkStart w:id="101" w:name="__RefHeading___Toc3482611_2870459653"/>
      <w:bookmarkStart w:id="102" w:name="_Toc37"/>
      <w:bookmarkEnd w:id="100"/>
      <w:bookmarkEnd w:id="101"/>
      <w:r>
        <w:rPr>
          <w:rtl w:val="true"/>
        </w:rPr>
        <w:t>تذنيب</w:t>
      </w:r>
      <w:r>
        <w:rPr>
          <w:rtl w:val="true"/>
        </w:rPr>
        <w:t xml:space="preserve">: </w:t>
      </w:r>
      <w:r>
        <w:rPr>
          <w:rtl w:val="true"/>
        </w:rPr>
        <w:t>حكم التطوّع بالنافلة لمن عليه قضاء صلاة الفريضة</w:t>
      </w:r>
      <w:bookmarkEnd w:id="102"/>
    </w:p>
    <w:p>
      <w:pPr>
        <w:pStyle w:val="BookText"/>
        <w:rPr/>
      </w:pPr>
      <w:r>
        <w:rPr>
          <w:rFonts w:ascii="Amiri" w:hAnsi="Amiri" w:eastAsia="Amiri" w:cs="Amiri"/>
          <w:color w:val="111111"/>
          <w:sz w:val="28"/>
          <w:sz w:val="28"/>
          <w:szCs w:val="28"/>
          <w:rtl w:val="true"/>
          <w:lang w:bidi="ar-SA"/>
        </w:rPr>
        <w:t>ذكروا بأنّ المشهور</w:t>
      </w:r>
      <w:r>
        <w:rPr>
          <w:rStyle w:val="FootnoteAnchor"/>
          <w:rtl w:val="true"/>
        </w:rPr>
        <w:footnoteReference w:id="146"/>
      </w:r>
      <w:r>
        <w:rPr>
          <w:rFonts w:ascii="Amiri" w:hAnsi="Amiri" w:eastAsia="Amiri" w:cs="Amiri"/>
          <w:color w:val="111111"/>
          <w:sz w:val="28"/>
          <w:sz w:val="28"/>
          <w:szCs w:val="28"/>
          <w:rtl w:val="true"/>
          <w:lang w:bidi="ar-SA"/>
        </w:rPr>
        <w:t>هو المنع من التطوّع لمن عليه قضاء فريضة، واستدلّ لذلك بعدّة 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المرسل المتقدّم،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صلاة لمن عليه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ورواية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قربة بالنوافل إذا أضرّت بالفرائض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النقاش في سند النبويّ، وأمّا رواية النهج فتقدّم أنّ الإضرار إنّما يتحقّق في ما إذا كان الإتيان بالنافلة موجباً لفوت الفريضة مطلقاً، ولا يستفاد من الرواية الحرمة في غير هذه الصورة، مع ظهور الروايتين في الصلاة الأدائية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ينام عن الغداة حتّى تبزغ الشمس، أيصلّي حين يستيقظ، أو ينتظر حتّى تنبسط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حين يستيقظ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يوتر أو يصلّي ركعتين؟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يبدأ بالفريضة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الأمر بالبدأة بالفريضة ظاهر في عدم مشروعية النافلة ممّن عليه الفريضة القضائية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فيها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موردها إنّما هو صلاة الغداة، والتعدّي عنها </w:t>
      </w:r>
    </w:p>
    <w:p>
      <w:pPr>
        <w:pStyle w:val="BookText"/>
        <w:rPr/>
      </w:pPr>
      <w:r>
        <w:rPr>
          <w:rFonts w:ascii="Amiri" w:hAnsi="Amiri" w:eastAsia="Amiri" w:cs="Amiri"/>
          <w:color w:val="111111"/>
          <w:sz w:val="28"/>
          <w:sz w:val="28"/>
          <w:szCs w:val="28"/>
          <w:rtl w:val="true"/>
          <w:lang w:bidi="ar-SA"/>
        </w:rPr>
        <w:t>إلى غيرها بعد احتمال الاختصاص بها يحتاج إلى دليل، وإذ لا دليل فلا سبيل إلى الاستدلال بها على عدم المشروعية بقول مطلق، كما هو المدّعى</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الذكرى،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أصلّي نافلة وعليّ فريضة أو في وقت فريضة؟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إنّه لا تصلّى نافلة في وقت فريضة، أرأيت لو كان عليك من شهر رمضان أكان لك أن تتطوّع حتّى تقضيه؟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فكذلك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فقايسني، و ما كان يقايسني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وتقدّمت المناقشة في سندها، وأنّها بحكم المرسلة بالنسبة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سئل عن رجل صلّى بغير طهور، أو نسي صلاة لم يصلّها،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يقضيها إذا ذكرها في أيّة ساعة ذكرها من ليل أو نهار، فإذا دخل وقت الصلاة ولم يتمّ ما قد فاته فليقض ما لم يتخوّف أن يذهب وقت هذه الصلاة التي قد حضرت، وهذه أحقّ بوقتها، فليصلّها فإذا قضاها فليصلّ ما قد فاته ممّا قد مضى، ولا يتطوّع بركعة حتّى يقضي الفريضة كلّها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أهمّ ما استدلّ به في الباب؛ لصحّتها سنداً، وصراحتها دلالةً، إلّا أنّه ذكر بأنّ النهي عن التطوّع لم يكن حكماً مستقلَّاً جديداً، وإنّما هو متفرّع على الأمر بالقضاء وثبوت التضييق فيه، فإنّ من توابعه المنع من التطوّع، فإذا كان الأمر المزبور محمولاً على الاستحباب، كما هو مقتضى القول </w:t>
      </w:r>
    </w:p>
    <w:p>
      <w:pPr>
        <w:pStyle w:val="BookText"/>
        <w:rPr/>
      </w:pPr>
      <w:r>
        <w:rPr>
          <w:rFonts w:ascii="Amiri" w:hAnsi="Amiri" w:eastAsia="Amiri" w:cs="Amiri"/>
          <w:color w:val="111111"/>
          <w:sz w:val="28"/>
          <w:sz w:val="28"/>
          <w:szCs w:val="28"/>
          <w:rtl w:val="true"/>
          <w:lang w:bidi="ar-SA"/>
        </w:rPr>
        <w:t xml:space="preserve">بالمواسعة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كان النهي المذكور محمولاً على التنزيه، فتصحّ النافلة وإن كانت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كذلك حتّى على القول بالمضايقة؛ إذ لا يكاد يستفاد من الصحيحة شرطية الفراغ عن القضاء في صحّة النافلة بوجه، بل غايته المزاحمة بينهما، ولزوم تقديم القضاء، فلو خالف وقدّم النافلة أمكن تصحيحها بالترتّب وإن كان عاصياً في التأخير، فهي إذن مشروعة ومحكومة بالصحّة على كلّ تقدير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من تفرّع النهي عن التطوّع على الأمر بالقضاء ليس ظاهراً من الصحيحة، ومن هنا ذكر بعض الأعلام المعاصرين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النهي إرشاد إلى أنّ صحّة الإتيان بالتطوّعية مشروط بفراغ الذمّة عن القضاء؛ إذ لا يمكن أن يكون النهي نهياً مولوياً، وذلك من باب أنّ العبادة لا يمكن أن تكون محرّمة ذاتاً، والنتيجة أنّه لا بأس بدلالة الصحيحة على المدّعى</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أنّه لا بدّ من رفع اليد عن هذا الظهور، وحمل النهي الوارد فيها على الإرشاد إلى قلّة الثواب في هذه الحالة، بقرينة النصوص الدالّة على مشروعية الإتيان بالنافلة قبل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الخصوصية للصلاة الأدائية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اشتغال الذمّة بها مانعاً عن الإتيان بالنافلة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الصلاة القضائية غير محتمل، بل الأمر بالعكس جزماً، فإذا لم يكن اشتغال الذمّة بالأدائية الواجبة مانعاً عن صحّة الإتيان بالنافلة </w:t>
      </w:r>
    </w:p>
    <w:p>
      <w:pPr>
        <w:pStyle w:val="BookText"/>
        <w:rPr/>
      </w:pPr>
      <w:r>
        <w:rPr>
          <w:rFonts w:ascii="Amiri" w:hAnsi="Amiri" w:eastAsia="Amiri" w:cs="Amiri"/>
          <w:color w:val="111111"/>
          <w:sz w:val="28"/>
          <w:sz w:val="28"/>
          <w:szCs w:val="28"/>
          <w:rtl w:val="true"/>
          <w:lang w:bidi="ar-SA"/>
        </w:rPr>
        <w:t>لم يكن اشتغال الذمّة بالقضاء مانعاً عن صحّة الإتيان بالنافلة بطريق أولى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فقد استدلّ القائل بالجواز بعدّة 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نام عن الغداة حتّى طلعت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 ثمّ يصلّي الغداة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 الدلالة على المطلوب، إلّا أنّ موردها صلاة الغداة، ومن الجائز اختصاص الحكم بها، إلّا أنّه لا قائل بالفرق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موسى 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سلطان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عليه دين من صلاة قام يقضيه فخاف أن يدركه الصبح ولم يصلّ صلاة ليلته تلك؟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يؤخّر القضاء، ويصلّي صلاة ليلته تلك</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إلّا أنّ فيها إشكالاً سندياً؛ إذ لم نعثر على طريق ابن طاووس إلى حريز</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 فغلبته عيناه، فلم يستيقظ حتّى آذاه حرّ الشمس، ثمّ استيقظ، فعاد ناديه ساعة، وركع ركعتين، ثمّ صلّى الصبح،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ما لك؟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أرقدني الذي أرقدك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المقام،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نمتم بوادي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هذا الحديث من حكاية نوم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الفريضة، والتصريح باستناد ذلك إلى الشيطان لا يمكن التمسّك به؛ لمنافاته للعصمة، فإنّ العقيدة لا تثبت بخبر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حمل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الفريضة على صورة انتظار اجتماع الناس لصلاة الجماعة، إلّا أنّه لا إشعار فيه بذلك</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الشهيد في الذكرى،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دخل وقت صلاة مكتوبة فلا صلاة نافلة حتّى يبدأ بالمكتوبة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الكوفة، فأخبرت الحكم بن عتيبة وأصحابه، فقبلوا ذلك منّي، فلمّا كان في القابل لقيت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فحدّثني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في بعض أسفاره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يكلؤنا؟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فنام بلال، وناموا حتّى طلعت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ما أرقدك؟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أخذ بنفسي الذي أخذ بأنفاسكم،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قوموا فتحوّلوا عن مكانكم الذي أصابتكم فيه الغفلة،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أذّن، فأذّن، 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 الفجر، وأمر أصحابه فصلّوا ركعتي الفجر، ثمّ قام فصلّى بهم الصبح،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شيئاً من الصلاة فليصلّها إذا ذكرها، فإنّ الله عزّ 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الحديث إلى الحكم وأصحابه،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حديثك الأوّل، فقدمت على أبي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فأخبرته بما قال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ألا أخبرتهم أنّه قد فات الوقتان جميعاً، وأنّ ذلك كان قضاء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تصلح محملاً للجمع بين الروايات؛ فإنّها قد فصّلت بين الأداء والقضاء، ففي صورة الأداء تنهى الرواية عن النافلة في وقت الفريضة، بينما هي تنقل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للنافلة قبل الفريضة في الصلاة القضائية، وهو يدلّ على جواز تقديمها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أنّه لا قائل بالفرق بين المسألتين، كما صرّح به في الرياض</w:t>
      </w:r>
      <w:r>
        <w:rPr>
          <w:rStyle w:val="FootnoteAnchor"/>
          <w:rtl w:val="true"/>
        </w:rPr>
        <w:footnoteReference w:id="157"/>
      </w:r>
      <w:r>
        <w:rPr>
          <w:rFonts w:ascii="Amiri" w:hAnsi="Amiri" w:eastAsia="Amiri" w:cs="Amiri"/>
          <w:color w:val="111111"/>
          <w:sz w:val="28"/>
          <w:sz w:val="28"/>
          <w:szCs w:val="28"/>
          <w:rtl w:val="true"/>
          <w:lang w:bidi="ar-SA"/>
        </w:rPr>
        <w:t>، كما أنّ هذا الجمع لا يحلّ المشكلة مع صحيحة يعقوب بن شعيب؛ فإنّها ظاهرة في من يصلّي منفرداً، بل لا يبعد أن يكون موردها ذلك، وهي ظاهرة في عدم مشروعية النافلة ممّن عليه الفريضة القضائية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 ذكر يمكن المناقشة فيه بأنّ الثابت أنّ كلّ من قال بالجواز في المسألة الأولى قال بالجواز في المسألة الثانية، والرواية أثبتت القول بالمنع في المسألة الأولى دون الثانية، وأمّا صحيحة يعقوب بن شعيب فإنّها مبتلاة بالمعارض في موردها، فهي معارضة بموثّقة أبي بصير، ولا بدّ من حمل الصحيحة على كراهة التنفّل لمن عليه قضاء فريضة، فالأمر بالبدأة بالفريضة فيها محمول على استحباب المبادرة والمسارعة إلى الخروج عن عهدة الواجب؛ فإنّ الموثّقة نصّ في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سبيل الجمع بين الروايات المتعارضة، وعلى هذا لا بدّ من حمل التفصيل 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تقديم النافلة على الفريضة الأدائية أشدّ كراهةً من تقديمها على الفريضة القضائية، ولعلّ هذا لأجل تفويت وقت الفضيلة في الأوّل دون الثاني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 بحقائق الأمور، وله الحمد أوّلاً وآخراً</w:t>
      </w:r>
      <w:r>
        <w:rPr>
          <w:rFonts w:eastAsia="IRNazanin" w:cs="IRNazanin"/>
          <w:color w:val="111111"/>
          <w:sz w:val="28"/>
          <w:szCs w:val="28"/>
          <w:rtl w:val="true"/>
          <w:lang w:bidi="fa-IR"/>
        </w:rPr>
        <w:t>.</w:t>
      </w:r>
      <w:bookmarkStart w:id="103" w:name="pg9159_84970"/>
    </w:p>
    <w:p>
      <w:pPr>
        <w:pStyle w:val="Heading3"/>
        <w:numPr>
          <w:ilvl w:val="2"/>
          <w:numId w:val="1"/>
        </w:numPr>
        <w:rPr/>
      </w:pPr>
      <w:bookmarkStart w:id="104" w:name="__RefHeading___Toc3482613_2870459653"/>
      <w:bookmarkStart w:id="105" w:name="_Toc38"/>
      <w:bookmarkEnd w:id="103"/>
      <w:bookmarkEnd w:id="104"/>
      <w:r>
        <w:rPr>
          <w:rtl w:val="true"/>
        </w:rPr>
        <w:t>مصادر البحث</w:t>
      </w:r>
      <w:bookmarkEnd w:id="105"/>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الأئمّة الأطهار،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للطباعة والنشر،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ق،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 الشرعية في فقه الإمامية، الشيخ محمّد مكّي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في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الشيعة في أحكام الشريعة، الشهيد الأوّل محمّد بن جمال الدين مكّي العاملي الجزيني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الشيخ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 في شرح إرشاد الأذهان، الشيخ زين الدين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الفقيه، الشيخ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الشيخ عليّ پناه الاشتهاردي، السيّد فضل الله الطباطبائي،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كوشانبور الإسلامية الثقافية،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تحقيق الأحكام بالدلائل،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الحاوي لتحرير الفتاوي، الشيخ محمّد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 جعفر بن الحسن بن سعيد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تبصرة المتعلّمين، 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الشيخ 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موسى 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شيخ الطائفة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السيّد جمال الدين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 أبحاث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هاشم،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في شرح المختصر، الشيخ المحقّق أبو القاسم نجم الدين جعفر بن الحسن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الشيخ أبو عبد الله محمّد بن محمّد بن النعمان العكبري البغدادي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محمّد بن عليّ ابن بابويه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مشير الدين أبو عبد الله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انتشارات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الإحكام في معرفة الأحكام، الشيخ الحسن بن يوسف بن المطهّر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الشريف محمّد بن الحسين الموسوي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الصالح،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اللبناني،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إلى تحصيل مسائل الشريعة،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bookmarkStart w:id="106" w:name="pg9159_84975"/>
    </w:p>
    <w:p>
      <w:pPr>
        <w:pStyle w:val="Heading2"/>
        <w:numPr>
          <w:ilvl w:val="1"/>
          <w:numId w:val="1"/>
        </w:numPr>
        <w:rPr/>
      </w:pPr>
      <w:bookmarkStart w:id="107" w:name="__RefHeading___Toc3482615_2870459653"/>
      <w:bookmarkStart w:id="108" w:name="_Toc39"/>
      <w:bookmarkEnd w:id="106"/>
      <w:bookmarkEnd w:id="107"/>
      <w:r>
        <w:rPr>
          <w:rtl w:val="true"/>
        </w:rPr>
        <w:t xml:space="preserve">سنّ البلوغ في الأنثى </w:t>
      </w:r>
      <w:r>
        <w:rPr>
          <w:rtl w:val="true"/>
        </w:rPr>
        <w:t>(</w:t>
      </w:r>
      <w:r>
        <w:rPr>
          <w:rtl w:val="true"/>
        </w:rPr>
        <w:t>الحلقة الثانیة</w:t>
      </w:r>
      <w:r>
        <w:rPr>
          <w:rtl w:val="true"/>
        </w:rPr>
        <w:t xml:space="preserve">) - </w:t>
      </w:r>
      <w:r>
        <w:rPr>
          <w:rtl w:val="true"/>
        </w:rPr>
        <w:t xml:space="preserve">الشّيخ وسام عبد الرّسول </w:t>
      </w:r>
      <w:r>
        <w:rPr>
          <w:rtl w:val="true"/>
        </w:rPr>
        <w:t>(</w:t>
      </w:r>
      <w:r>
        <w:rPr>
          <w:rtl w:val="true"/>
        </w:rPr>
        <w:t>دام عزه</w:t>
      </w:r>
      <w:r>
        <w:rPr>
          <w:rtl w:val="true"/>
        </w:rPr>
        <w:t>)</w:t>
      </w:r>
      <w:bookmarkEnd w:id="108"/>
    </w:p>
    <w:p>
      <w:pPr>
        <w:pStyle w:val="Heading3"/>
        <w:numPr>
          <w:ilvl w:val="2"/>
          <w:numId w:val="1"/>
        </w:numPr>
        <w:rPr/>
      </w:pPr>
      <w:bookmarkStart w:id="109" w:name="__RefHeading___Toc3482617_2870459653"/>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إنّ البلوغ هو بداية تحمّل الإنسان مسؤوليّة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تشريف من الله جلّ علاه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يبلغ يكون غير ملزم بفعل أو ترك، ولا يستحقّ أيّ عقوبة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والبلوغ أيضاً مبدأ زوال الحجر عن الإنسان في تصرّفاته المعامليّة فغير البالغ محجور عليه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شرعنا في تحرير بحث سنّ البلوغ في الأنثى لأهمّيته؛ لأنّ السنّ هو العلامة الأبرز في تحديد البلوغ، وأيضاً للاختلاف الواقع فيه بين الفريقين، بل حتّى داخل الفريق الواحد خصوصاً في العصور المتأخّرة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9159_84977"/>
      <w:bookmarkStart w:id="112" w:name="pg9159_84977"/>
      <w:bookmarkEnd w:id="112"/>
    </w:p>
    <w:p>
      <w:pPr>
        <w:pStyle w:val="BookText"/>
        <w:rPr/>
      </w:pPr>
      <w:bookmarkStart w:id="113" w:name="pg9159_84977"/>
      <w:bookmarkEnd w:id="113"/>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تقدّم الكلام في الحلقة الأولى من بحث سنّ البلوغ في الأنثى في المحاور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عرض بعض ما يتناوله هذا المحور من الأدلّة، وهو الإجماع والروايات الخاصّة، وكانت على طوائف سبع، ووصل الكلام إلى</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482619_2870459653"/>
      <w:bookmarkStart w:id="115" w:name="_Toc41"/>
      <w:bookmarkEnd w:id="114"/>
      <w:r>
        <w:rPr>
          <w:rtl w:val="true"/>
        </w:rPr>
        <w:t>كيفيّة الجمع بين الروايات</w:t>
      </w:r>
      <w:bookmarkEnd w:id="115"/>
    </w:p>
    <w:p>
      <w:pPr>
        <w:pStyle w:val="Heading4"/>
        <w:numPr>
          <w:ilvl w:val="3"/>
          <w:numId w:val="1"/>
        </w:numPr>
        <w:rPr/>
      </w:pPr>
      <w:bookmarkStart w:id="116" w:name="__RefHeading___Toc3482621_2870459653"/>
      <w:bookmarkStart w:id="117" w:name="_Toc42"/>
      <w:bookmarkEnd w:id="116"/>
      <w:r>
        <w:rPr>
          <w:rtl w:val="true"/>
        </w:rPr>
        <w:t>الجمع الأوّل</w:t>
      </w:r>
      <w:r>
        <w:rPr>
          <w:rtl w:val="true"/>
        </w:rPr>
        <w:t xml:space="preserve">: </w:t>
      </w:r>
      <w:r>
        <w:rPr>
          <w:rtl w:val="true"/>
        </w:rPr>
        <w:t>اختلاف مراتب البلوغ حسب اختلاف نوع التكليف</w:t>
      </w:r>
      <w:bookmarkEnd w:id="117"/>
    </w:p>
    <w:p>
      <w:pPr>
        <w:pStyle w:val="Heading5"/>
        <w:numPr>
          <w:ilvl w:val="4"/>
          <w:numId w:val="1"/>
        </w:numPr>
        <w:rPr/>
      </w:pPr>
      <w:bookmarkStart w:id="118" w:name="__RefHeading___Toc3482623_2870459653"/>
      <w:bookmarkStart w:id="119" w:name="_Toc43"/>
      <w:bookmarkEnd w:id="118"/>
      <w:r>
        <w:rPr>
          <w:rtl w:val="true"/>
        </w:rPr>
        <w:t>اشارة</w:t>
      </w:r>
      <w:bookmarkEnd w:id="11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والتوفيق بين الأخبار يقتضي اختلاف معنى البلوغ بحسب السنّ بالإضافة إلى أنواع التكاليف، كما يظهر ممّا روي في باب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على الأنثى قبل إكمالها الثلاث عشرة سنة إلّا إذا حاضت قبل ذلك، وما روي في </w:t>
      </w:r>
      <w:bookmarkStart w:id="120" w:name="pg9159_84978"/>
    </w:p>
    <w:p>
      <w:pPr>
        <w:pStyle w:val="BookText"/>
        <w:rPr/>
      </w:pPr>
      <w:bookmarkEnd w:id="120"/>
      <w:r>
        <w:rPr>
          <w:rFonts w:ascii="Amiri" w:hAnsi="Amiri" w:eastAsia="Amiri" w:cs="Amiri"/>
          <w:color w:val="111111"/>
          <w:sz w:val="28"/>
          <w:sz w:val="28"/>
          <w:szCs w:val="28"/>
          <w:rtl w:val="true"/>
          <w:lang w:bidi="ar-SA"/>
        </w:rPr>
        <w:t>باب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الأنثى تؤاخذ بها، وهي تؤخذ لها تامّة إذا أكملت تسع سنين، إلى غير ذلك ممّا ورد في الوصيّة والعتق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تصحّ من ذي العشر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يحصل على ثلاث مراحل</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482625_2870459653"/>
      <w:bookmarkStart w:id="122" w:name="_Toc44"/>
      <w:bookmarkEnd w:id="121"/>
      <w:r>
        <w:rPr>
          <w:rtl w:val="true"/>
        </w:rPr>
        <w:t>المرحلة الأولى</w:t>
      </w:r>
      <w:bookmarkEnd w:id="122"/>
    </w:p>
    <w:p>
      <w:pPr>
        <w:pStyle w:val="BookText"/>
        <w:rPr/>
      </w:pPr>
      <w:r>
        <w:rPr>
          <w:rFonts w:ascii="Amiri" w:hAnsi="Amiri" w:eastAsia="Amiri" w:cs="Amiri"/>
          <w:color w:val="111111"/>
          <w:sz w:val="28"/>
          <w:sz w:val="28"/>
          <w:szCs w:val="28"/>
          <w:rtl w:val="true"/>
          <w:lang w:bidi="ar-SA"/>
        </w:rPr>
        <w:t xml:space="preserve">إذا بلغت تسع سنين تطبّق عليها الحدود والقصاص وما شابه ذلك من الأحكام، فهي تعامل معاملة البالغة من هذه الجهة اعتماداً على روايتي حمران أو حمزة بن حمران، وبريد أو يزيد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المتقدّمتين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3482627_2870459653"/>
      <w:bookmarkStart w:id="124" w:name="_Toc45"/>
      <w:bookmarkEnd w:id="123"/>
      <w:r>
        <w:rPr>
          <w:rtl w:val="true"/>
        </w:rPr>
        <w:t>المرحلة الثانية</w:t>
      </w:r>
      <w:bookmarkEnd w:id="124"/>
    </w:p>
    <w:p>
      <w:pPr>
        <w:pStyle w:val="BookText"/>
        <w:rPr/>
      </w:pPr>
      <w:r>
        <w:rPr>
          <w:rFonts w:ascii="Amiri" w:hAnsi="Amiri" w:eastAsia="Amiri" w:cs="Amiri"/>
          <w:color w:val="111111"/>
          <w:sz w:val="28"/>
          <w:sz w:val="28"/>
          <w:szCs w:val="28"/>
          <w:rtl w:val="true"/>
          <w:lang w:bidi="ar-SA"/>
        </w:rPr>
        <w:t>إذا بلغت عشر سنين تثبت لها الحقوق المالية من الوصيّة والعتق وغيرهما، اعتماداً على روايات عديدة في الوصيّة والعتق، منها معتبرة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أو تصدّق أو أوصى على وجه معروف وحقّ، فهو جائز</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وغيرها من الأخبار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3482629_2870459653"/>
      <w:bookmarkStart w:id="126" w:name="_Toc46"/>
      <w:bookmarkEnd w:id="125"/>
      <w:r>
        <w:rPr>
          <w:rtl w:val="true"/>
        </w:rPr>
        <w:t>المرحلة الثالثة</w:t>
      </w:r>
      <w:bookmarkEnd w:id="1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بلغت ثلاث عشرة سنة تجب عليها التكاليف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والصلاة والحجّ وما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موثّقة عمّار الساباطي المتقدّمة في الطائفة الرابعة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على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حمران أو حمزة بن حمران، ورواية بريد أو يزيد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حمران أو حمزة بن حمران تثبت بها الحقوق المالية أيضاً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ودفع إليها مالها، وجاز أمرها في الشراء والبيع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رواية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عنها اليتم ودفع إليها 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لو عملنا بالروايتين أن تثبت عليها الحدود التامّة، وتثبت لها كافّة الحقوق المالية، وليس التفصيل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الدالّة على جواز العتق والوصيّة من ذي عشر سنين خاصّة بالغلام كما هو مصرّح به في الروايات، مع أنّه لا يمكن التعدّي منه إلى غيره، ولو تمّت لا يمكن التعدّي من الوصيّة والعتق إلى كلّ المعاملات الماليّة، لعدم نفوذ تصرّفات الصبيّ في ماله بنحو الاستقلال ما لم يبلغ، كما ذكر في محلّه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الجمع 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عبد الله بن سنان المتقدّمة في الطائفة الثالثة من أنّ الجارية إذا بلغت تسعاً تكتب لها الحسنة وتكتب عليها السيئة، والظاهر منها كون ذلك في جميع التكاليف، ولو كان الحكم هو التفصيل بين أنواع التكاليف لكان على الإمام أن يبيّن ذلك؛ لأنّه في مقام بيان سنّ التكليف لدى الذكر والأنثى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لمعتبرة الحسن بن راشد المتقدّمة في الطائفة الخامسة، حيث المستفاد منها </w:t>
      </w:r>
      <w:bookmarkStart w:id="127" w:name="pg9159_84980"/>
    </w:p>
    <w:p>
      <w:pPr>
        <w:pStyle w:val="BookText"/>
        <w:rPr/>
      </w:pPr>
      <w:bookmarkEnd w:id="127"/>
      <w:r>
        <w:rPr>
          <w:rFonts w:ascii="Amiri" w:hAnsi="Amiri" w:eastAsia="Amiri" w:cs="Amiri"/>
          <w:color w:val="111111"/>
          <w:sz w:val="28"/>
          <w:sz w:val="28"/>
          <w:szCs w:val="28"/>
          <w:rtl w:val="true"/>
          <w:lang w:bidi="ar-SA"/>
        </w:rPr>
        <w:t xml:space="preserve">ثبوت الفرائض في سنّ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الوارد فيها تسعٌ، 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الاستدلال بها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482631_2870459653"/>
      <w:bookmarkStart w:id="129" w:name="_Toc47"/>
      <w:bookmarkEnd w:id="128"/>
      <w:r>
        <w:rPr>
          <w:rtl w:val="true"/>
        </w:rPr>
        <w:t>الجمع الثاني</w:t>
      </w:r>
      <w:r>
        <w:rPr>
          <w:rtl w:val="true"/>
        </w:rPr>
        <w:t xml:space="preserve">: </w:t>
      </w:r>
      <w:r>
        <w:rPr>
          <w:rtl w:val="true"/>
        </w:rPr>
        <w:t>هو أنّ الأنثى إذا بلغت ثلاث عشرة سنة فقد بلغت</w:t>
      </w:r>
      <w:bookmarkEnd w:id="129"/>
    </w:p>
    <w:p>
      <w:pPr>
        <w:pStyle w:val="Heading5"/>
        <w:numPr>
          <w:ilvl w:val="4"/>
          <w:numId w:val="1"/>
        </w:numPr>
        <w:rPr/>
      </w:pPr>
      <w:bookmarkStart w:id="130" w:name="__RefHeading___Toc3482633_2870459653"/>
      <w:bookmarkStart w:id="131" w:name="_Toc4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إلّا إذا حاضت قبل ذلك وبعد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الدم قبل التاسعة لا يكون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تزوّجت ودخل بها بعد سنّ التاسعة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الجمع يعتمد على نقطتين أساسيتين</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482635_2870459653"/>
      <w:bookmarkStart w:id="133" w:name="_Toc49"/>
      <w:bookmarkEnd w:id="132"/>
      <w:r>
        <w:rPr>
          <w:rtl w:val="true"/>
        </w:rPr>
        <w:t>النقطة الأولى</w:t>
      </w:r>
      <w:bookmarkEnd w:id="133"/>
    </w:p>
    <w:p>
      <w:pPr>
        <w:pStyle w:val="BookText"/>
        <w:rPr/>
      </w:pPr>
      <w:r>
        <w:rPr>
          <w:rFonts w:ascii="Amiri" w:hAnsi="Amiri" w:eastAsia="Amiri" w:cs="Amiri"/>
          <w:color w:val="111111"/>
          <w:sz w:val="28"/>
          <w:sz w:val="28"/>
          <w:szCs w:val="28"/>
          <w:rtl w:val="true"/>
          <w:lang w:bidi="ar-SA"/>
        </w:rPr>
        <w:t>أنّ موثّقة عمّار تدلّ على حصول البلوغ بثلاث عشرة سنة، إلّا إذا حاضت قبل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فقه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يؤيّد أيضاً عدم بلوغ البنت بمجرّد وصول سنّها إلى تسع سنين ما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الجارية الّتي لم تدرك، متى ينبغي لها أن تغطّي رأسها ممّن ليس بينها وبينه محرم؟ ومتى يجب عليها أن تقنّع رأسها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تغطّي رأسها حتّى تحرم عليها الصلاة</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بناءً على الملازمة بين تغطية الرأس وباقي التكاليف، ولا يقبل الحديث التقييد بما قبل تسع سنين؛ لأنّ البنت لا تحيض قبل تسع سنين، ولا التقييد بمن شكّت في مبلغ عمرها فلا تدري هل أكملت التسع سنين أو لا؟ ثُمَّ حاضت، فنجعل الحيض علامة على إكمال التسع سنين، فإنّ هذا تقييد بفرض نادر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34" w:name="pg9159_84981"/>
    </w:p>
    <w:p>
      <w:pPr>
        <w:pStyle w:val="Heading5"/>
        <w:numPr>
          <w:ilvl w:val="4"/>
          <w:numId w:val="1"/>
        </w:numPr>
        <w:rPr/>
      </w:pPr>
      <w:bookmarkStart w:id="135" w:name="__RefHeading___Toc3482637_2870459653"/>
      <w:bookmarkStart w:id="136" w:name="_Toc50"/>
      <w:bookmarkEnd w:id="134"/>
      <w:bookmarkEnd w:id="135"/>
      <w:r>
        <w:rPr>
          <w:rtl w:val="true"/>
        </w:rPr>
        <w:t>النقطة الأخرى</w:t>
      </w:r>
      <w:bookmarkEnd w:id="136"/>
    </w:p>
    <w:p>
      <w:pPr>
        <w:pStyle w:val="Heading6"/>
        <w:numPr>
          <w:ilvl w:val="5"/>
          <w:numId w:val="1"/>
        </w:numPr>
        <w:rPr/>
      </w:pPr>
      <w:bookmarkStart w:id="137" w:name="__RefHeading___Toc3482639_2870459653"/>
      <w:bookmarkStart w:id="138" w:name="_Toc51"/>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إذا تزوّجت ودخل بها بعد التاسعة قبل الثلاث عشرة سنة، تكون بالغة كما يظهر من رواية حمران أو حمزة بن حمران المؤيّدة برواية الكناسيّ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بسند تامّ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سنين يحجّ؟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حجّة الإسلام إذا احتلم، وكذلك الجارية عليها الحجّ إذا طمثت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 بل لعلّ هذا الحديث صريح في عدم كفاية إكمال تسع سنين في بلوغ البنت؛ لأنّ سؤال السائل كان عن ابن عشر سنين،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عليه في الجواب الجارية، وهذا يعني الجارية بنت عشر سنين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يناقش في هذا الجمع بمناقشتين</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482641_2870459653"/>
      <w:bookmarkStart w:id="140" w:name="_Toc52"/>
      <w:bookmarkEnd w:id="139"/>
      <w:r>
        <w:rPr>
          <w:rtl w:val="true"/>
        </w:rPr>
        <w:t>المناقشة الأولى</w:t>
      </w:r>
      <w:bookmarkEnd w:id="140"/>
    </w:p>
    <w:p>
      <w:pPr>
        <w:pStyle w:val="BookText"/>
        <w:rPr/>
      </w:pPr>
      <w:r>
        <w:rPr>
          <w:rFonts w:ascii="Amiri" w:hAnsi="Amiri" w:eastAsia="Amiri" w:cs="Amiri"/>
          <w:color w:val="111111"/>
          <w:sz w:val="28"/>
          <w:sz w:val="28"/>
          <w:szCs w:val="28"/>
          <w:rtl w:val="true"/>
          <w:lang w:bidi="ar-SA"/>
        </w:rPr>
        <w:t>أنّ روايات الطائفة الثانية الدالّة على التقييد بالدخول والزواج، قد تقدّم الكلام فيها، أمّا رواية الكناسيّ ففي بعض نسخ الرواية المنقولة جعل الزواج والدخول شرطاً، وفي بعض النسخ أثر من آثار البلوغ، يضاف إلى ذلك أنّها غير تامّة السند</w:t>
      </w:r>
      <w:r>
        <w:rPr>
          <w:rStyle w:val="FootnoteAnchor"/>
          <w:rtl w:val="true"/>
        </w:rPr>
        <w:footnoteReference w:id="170"/>
      </w:r>
      <w:r>
        <w:rPr>
          <w:rFonts w:ascii="Amiri" w:hAnsi="Amiri" w:eastAsia="Amiri" w:cs="Amiri"/>
          <w:color w:val="111111"/>
          <w:sz w:val="28"/>
          <w:sz w:val="28"/>
          <w:szCs w:val="28"/>
          <w:rtl w:val="true"/>
          <w:lang w:bidi="ar-SA"/>
        </w:rPr>
        <w:t>، وأمّا رواية حمران أو حمزة بن حمران فقد تقدّم الكلام في سندها أيضاً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3482643_2870459653"/>
      <w:bookmarkStart w:id="142" w:name="_Toc53"/>
      <w:bookmarkEnd w:id="141"/>
      <w:r>
        <w:rPr>
          <w:rtl w:val="true"/>
        </w:rPr>
        <w:t>المناقشة الأخرى</w:t>
      </w:r>
      <w:bookmarkEnd w:id="1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تقييد روايات التسع بحصول الحيض استناداً إلى موثّقة عمّار الساباطي يلزم منه تخصيص الأكثر؛ لأنّ الغالب من النساء لا يحصل الحيض لها </w:t>
      </w:r>
      <w:bookmarkStart w:id="143" w:name="pg9159_84982"/>
    </w:p>
    <w:p>
      <w:pPr>
        <w:pStyle w:val="BookText"/>
        <w:rPr/>
      </w:pPr>
      <w:bookmarkEnd w:id="143"/>
      <w:r>
        <w:rPr>
          <w:rFonts w:ascii="IRNazanin" w:hAnsi="IRNazanin" w:eastAsia="IRNazanin"/>
          <w:color w:val="111111"/>
          <w:sz w:val="28"/>
          <w:sz w:val="28"/>
          <w:szCs w:val="28"/>
          <w:rtl w:val="true"/>
          <w:lang w:bidi="fa-IR"/>
        </w:rPr>
        <w:t>في سنّ التاسعة، فالأكثر والغالب عند النساء يحصل لها الحيض بعد ذلك، كما تقدّمت الإشارة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التقييد بالحيض أو الزواج والدخول، لم يلزم تخصيص الأكثر خصوصاً في أزمنة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يكون فيها الزواج مبكّراً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بعض روايات التسع تأبى التخصيص، كمعتبرة ابن أبي عمير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 من الطائفة الأولى</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482645_2870459653"/>
      <w:bookmarkStart w:id="145" w:name="_Toc54"/>
      <w:bookmarkEnd w:id="144"/>
      <w:r>
        <w:rPr>
          <w:rtl w:val="true"/>
        </w:rPr>
        <w:t>الجمع الثالث</w:t>
      </w:r>
      <w:r>
        <w:rPr>
          <w:rtl w:val="true"/>
        </w:rPr>
        <w:t xml:space="preserve">: </w:t>
      </w:r>
      <w:r>
        <w:rPr>
          <w:rtl w:val="true"/>
        </w:rPr>
        <w:t>الحمل على استحباب ترتيب آثار البلوغ في سنّ التاسعة وحصول البلوغ فعلاً بثلاث عشرة سنة</w:t>
      </w:r>
      <w:bookmarkEnd w:id="145"/>
    </w:p>
    <w:p>
      <w:pPr>
        <w:pStyle w:val="BookText"/>
        <w:rPr/>
      </w:pPr>
      <w:r>
        <w:rPr>
          <w:rFonts w:ascii="Amiri" w:hAnsi="Amiri" w:eastAsia="Amiri" w:cs="Amiri"/>
          <w:color w:val="111111"/>
          <w:sz w:val="28"/>
          <w:sz w:val="28"/>
          <w:szCs w:val="28"/>
          <w:rtl w:val="true"/>
          <w:lang w:bidi="ar-SA"/>
        </w:rPr>
        <w:t xml:space="preserve">قال الشيخ آصف محسني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ومقتضى 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معتبرة ابن أبي عمير الثانية وموثّقة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الحديث الأوّل على الاستحباب</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استحباب البلوغ، هل يستحبّ ترتيب آثار البلوغ جميعها الّتي منها أنّها تملك التصرّف في مالها، وعليها الحدود؟</w:t>
      </w:r>
    </w:p>
    <w:p>
      <w:pPr>
        <w:pStyle w:val="BookText"/>
        <w:rPr/>
      </w:pPr>
      <w:r>
        <w:rPr>
          <w:rFonts w:ascii="Amiri" w:hAnsi="Amiri" w:eastAsia="Amiri" w:cs="Amiri"/>
          <w:color w:val="111111"/>
          <w:sz w:val="28"/>
          <w:sz w:val="28"/>
          <w:szCs w:val="28"/>
          <w:rtl w:val="true"/>
          <w:lang w:bidi="ar-SA"/>
        </w:rPr>
        <w:t>ولكن لا معنى لاستحباب البلوغ في هذه الأمور، فهي إمّا أن تثبت وإمّا أن 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الأمور العبادية على من بلغت تسع سنين دون بقية الأمور المرتبطة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معتبرة ابن أبي عمير مطلقة شاملة لجميع الآثار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معتبرة ابن أبي عمير تأبى الحمل على الاستحباب، بل هي في مقام بيان الحدّ الّذي يحصل به البلوغ، الّذي هو موضوع لتمام التكليف</w:t>
      </w:r>
      <w:r>
        <w:rPr>
          <w:rFonts w:eastAsia="Amiri" w:cs="Amiri" w:ascii="Amiri" w:hAnsi="Amiri"/>
          <w:color w:val="111111"/>
          <w:sz w:val="28"/>
          <w:szCs w:val="28"/>
          <w:rtl w:val="true"/>
          <w:lang w:bidi="ar-SA"/>
        </w:rPr>
        <w:t xml:space="preserve">. </w:t>
      </w:r>
      <w:bookmarkStart w:id="146" w:name="pg9159_84983"/>
    </w:p>
    <w:p>
      <w:pPr>
        <w:pStyle w:val="Heading3"/>
        <w:numPr>
          <w:ilvl w:val="2"/>
          <w:numId w:val="1"/>
        </w:numPr>
        <w:rPr/>
      </w:pPr>
      <w:bookmarkStart w:id="147" w:name="__RefHeading___Toc3482647_2870459653"/>
      <w:bookmarkStart w:id="148" w:name="_Toc55"/>
      <w:bookmarkEnd w:id="146"/>
      <w:bookmarkEnd w:id="147"/>
      <w:r>
        <w:rPr>
          <w:rtl w:val="true"/>
        </w:rPr>
        <w:t>المرجّحات</w:t>
      </w:r>
      <w:bookmarkEnd w:id="148"/>
    </w:p>
    <w:p>
      <w:pPr>
        <w:pStyle w:val="Heading4"/>
        <w:numPr>
          <w:ilvl w:val="3"/>
          <w:numId w:val="1"/>
        </w:numPr>
        <w:rPr/>
      </w:pPr>
      <w:bookmarkStart w:id="149" w:name="__RefHeading___Toc3482649_2870459653"/>
      <w:bookmarkStart w:id="150" w:name="_Toc56"/>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بعد عدم تماميّة وجوه الجمع لا بُدَّ من الرجوع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المرجّحات ثلاثة فقط،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وموافقة الكتاب ومخالفة العامّة، ولا ترجيح بالأحدثية وبصفات الراوي استناداً إلى مقبولة عمر بن حنظلة على ما ذهب إليه بعض الفقهاء</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482651_2870459653"/>
      <w:bookmarkStart w:id="152" w:name="_Toc57"/>
      <w:bookmarkEnd w:id="151"/>
      <w:r>
        <w:rPr>
          <w:rtl w:val="true"/>
        </w:rPr>
        <w:t>المرجّح الأوّل</w:t>
      </w:r>
      <w:r>
        <w:rPr>
          <w:rtl w:val="true"/>
        </w:rPr>
        <w:t xml:space="preserve">: </w:t>
      </w:r>
      <w:r>
        <w:rPr>
          <w:rtl w:val="true"/>
        </w:rPr>
        <w:t>الشهرة</w:t>
      </w:r>
      <w:bookmarkEnd w:id="152"/>
    </w:p>
    <w:p>
      <w:pPr>
        <w:pStyle w:val="BookText"/>
        <w:rPr/>
      </w:pPr>
      <w:r>
        <w:rPr>
          <w:rFonts w:ascii="Amiri" w:hAnsi="Amiri" w:eastAsia="Amiri" w:cs="Amiri"/>
          <w:color w:val="111111"/>
          <w:sz w:val="28"/>
          <w:sz w:val="28"/>
          <w:szCs w:val="28"/>
          <w:rtl w:val="true"/>
          <w:lang w:bidi="ar-SA"/>
        </w:rPr>
        <w:t xml:space="preserve">إنْ كانت الشهرة المرجّحة في باب التعارض هي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بعض الأعلام</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 روايات التسعة كما تقدّم، وإن كانت الشهرة المرجّحة في باب التعارض هي الشهرة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مقبولة عمر بن حنظلة</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فروايات التسعة هي الأكثر والأشهر من رواية الثلاث عشرة سنة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الطائفة الأولى والثانية والثالثة ومعتبرة 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الطائفة الخامسة بناءً على نسخة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الدالّة على جواز الدخول بتسع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بين جواز الدخول والبلوغ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في الجملة على البلوغ بتسعٍ وإن كان بعضها ضعيفاً</w:t>
      </w:r>
      <w:r>
        <w:rPr>
          <w:rFonts w:eastAsia="Amiri" w:cs="Amiri" w:ascii="Amiri" w:hAnsi="Amiri"/>
          <w:color w:val="111111"/>
          <w:sz w:val="28"/>
          <w:szCs w:val="28"/>
          <w:rtl w:val="true"/>
          <w:lang w:bidi="ar-SA"/>
        </w:rPr>
        <w:t xml:space="preserve">. </w:t>
      </w:r>
      <w:bookmarkStart w:id="153" w:name="pg9159_84984"/>
    </w:p>
    <w:p>
      <w:pPr>
        <w:pStyle w:val="Heading4"/>
        <w:numPr>
          <w:ilvl w:val="3"/>
          <w:numId w:val="1"/>
        </w:numPr>
        <w:rPr/>
      </w:pPr>
      <w:bookmarkStart w:id="154" w:name="__RefHeading___Toc3482653_2870459653"/>
      <w:bookmarkStart w:id="155" w:name="_Toc58"/>
      <w:bookmarkEnd w:id="153"/>
      <w:bookmarkEnd w:id="154"/>
      <w:r>
        <w:rPr>
          <w:rtl w:val="true"/>
        </w:rPr>
        <w:t>المرجّح الثاني</w:t>
      </w:r>
      <w:r>
        <w:rPr>
          <w:rtl w:val="true"/>
        </w:rPr>
        <w:t xml:space="preserve">: </w:t>
      </w:r>
      <w:r>
        <w:rPr>
          <w:rtl w:val="true"/>
        </w:rPr>
        <w:t>موافقة الكتاب</w:t>
      </w:r>
      <w:bookmarkEnd w:id="15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الموثّقة موافقة للكتاب بخلاف روايات التسعة، فهي غير موافقة له؛ ولذا ترجّح موثّقة عمّار الساباطي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آيات قد يستظهر منها أنّ الموثّقة موافقة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حَتَّى إِذَا بَلَغُوا النِّكَاحَ</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مِنْكُمُ الْحُلُمَ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يصدق غالباً على البنت البالغ عمرها تسع سنين أنّها بلغت الحلم أو بلغت النكاح إلّا إذا تزوّجت ودخل بها، فعندئذ يصدق ذلك إمّا حقيقة، أو بمسامحة مقبولة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بالحلم هو خروج ماء الشهوة بشروط مذكورة في محلّها سواء كان في يقظة، أو نوم في الذكر أو الأنثى</w:t>
      </w:r>
      <w:r>
        <w:rPr>
          <w:rStyle w:val="FootnoteAnchor"/>
          <w:rtl w:val="true"/>
        </w:rPr>
        <w:footnoteReference w:id="178"/>
      </w:r>
      <w:r>
        <w:rPr>
          <w:rFonts w:ascii="Amiri" w:hAnsi="Amiri" w:eastAsia="Amiri" w:cs="Amiri"/>
          <w:color w:val="111111"/>
          <w:sz w:val="28"/>
          <w:sz w:val="28"/>
          <w:szCs w:val="28"/>
          <w:rtl w:val="true"/>
          <w:lang w:bidi="ar-SA"/>
        </w:rPr>
        <w:t>، وهذا المعنى لا يكون مرجّحاً لروايات التسع، أو لرواية العشر، أو لروايات الثلاث عشرة كما هو واضح، ولا يفرّق فيه بين المتزوّجة وغيرها، فصدقه على الجميع بنحو واحد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على الاستدلال بالآية الأولى بأنّ بلوغ النكاح في النساء معناه قابليتها لأنْ تُنْكَح، ولا شكّ أنّ المرأة لها قابلية ذلك إذا بلغت تسع سنين</w:t>
      </w:r>
      <w:r>
        <w:rPr>
          <w:rStyle w:val="FootnoteAnchor"/>
          <w:rtl w:val="true"/>
        </w:rPr>
        <w:footnoteReference w:id="179"/>
      </w:r>
      <w:r>
        <w:rPr>
          <w:rFonts w:ascii="Amiri" w:hAnsi="Amiri" w:eastAsia="Amiri" w:cs="Amiri"/>
          <w:color w:val="111111"/>
          <w:sz w:val="28"/>
          <w:sz w:val="28"/>
          <w:szCs w:val="28"/>
          <w:rtl w:val="true"/>
          <w:lang w:bidi="ar-SA"/>
        </w:rPr>
        <w:t xml:space="preserve">، وتدلّ عليها </w:t>
      </w:r>
      <w:bookmarkStart w:id="156" w:name="pg9159_84985"/>
    </w:p>
    <w:p>
      <w:pPr>
        <w:pStyle w:val="BookText"/>
        <w:rPr/>
      </w:pPr>
      <w:bookmarkEnd w:id="156"/>
      <w:r>
        <w:rPr>
          <w:rFonts w:ascii="Amiri" w:hAnsi="Amiri" w:eastAsia="Amiri" w:cs="Amiri"/>
          <w:color w:val="111111"/>
          <w:sz w:val="28"/>
          <w:sz w:val="28"/>
          <w:szCs w:val="28"/>
          <w:rtl w:val="true"/>
          <w:lang w:bidi="ar-SA"/>
        </w:rPr>
        <w:t>أخبار كثيرة قد تقدّم بعضها، فتكون الآية مرجّحاً لروايات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عن ذلك في الملازمة بين جواز الدخول والبلوغ</w:t>
      </w:r>
      <w:r>
        <w:rPr>
          <w:rStyle w:val="FootnoteAnchor"/>
          <w:rtl w:val="true"/>
        </w:rPr>
        <w:footnoteReference w:id="180"/>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482655_2870459653"/>
      <w:bookmarkStart w:id="158" w:name="_Toc59"/>
      <w:bookmarkEnd w:id="157"/>
      <w:r>
        <w:rPr>
          <w:rtl w:val="true"/>
        </w:rPr>
        <w:t>المرجّح الثالث</w:t>
      </w:r>
      <w:r>
        <w:rPr>
          <w:rtl w:val="true"/>
        </w:rPr>
        <w:t xml:space="preserve">: </w:t>
      </w:r>
      <w:r>
        <w:rPr>
          <w:rtl w:val="true"/>
        </w:rPr>
        <w:t>مخالفة العامّة</w:t>
      </w:r>
      <w:bookmarkEnd w:id="158"/>
    </w:p>
    <w:p>
      <w:pPr>
        <w:pStyle w:val="BookText"/>
        <w:rPr/>
      </w:pPr>
      <w:r>
        <w:rPr>
          <w:rFonts w:ascii="Amiri" w:hAnsi="Amiri" w:eastAsia="Amiri" w:cs="Amiri"/>
          <w:color w:val="111111"/>
          <w:sz w:val="28"/>
          <w:sz w:val="28"/>
          <w:szCs w:val="28"/>
          <w:rtl w:val="true"/>
          <w:lang w:bidi="ar-SA"/>
        </w:rPr>
        <w:t xml:space="preserve">والظاهر أنّ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وثلاث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للعامّة، ولم يلتزم أحد من فقهاء العامّة بأحد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موثّقة عمّار الساباطي الّتي تدلّ على حصول البلوغ ببلوغ الأنثى ثلاث عشرة سنة أو حاضت قبل ذلك، وروايات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روايتا حمران أو حمزة بن حمران وبريد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حصول البلوغ بتسع سنين بشرط الزواج والدخول أقرب إلى العامّة من روايات التسع، ولذا تطرح الموثَّقة وروايات الطائفة الثانية؛ لأنّ فيها ميلاً واقتراباً إلى أقوال العامّة، إذ يبدو أنّ العامّة لا يفتون بالبلوغ في البنت بإكمال التسع سنين، بل يتراوح سنّ البلوغ في البنت عندهم بين الخمس عشرة سنة إلى سبع عشرة أو تسع عشرة سنة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الطرح استناداً إلى ما ورد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المرجّح لا يتمّ إلّا بعد فقدان تمام المرجّحات بناءً على الترتيب بينها؛ ولذا لو تمّ مرجّح شهرة الرواية لا نصل إلى هذا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المقبولة أنّ الخبرين المختلفين إذا كان كلاهما موافقاً للعامّة، وكان أحد الخبرين موافقاً لحكّام العامّة وقضاتهم يطرح الخبر الموافق للحكّام دون الخبر الآخر الّذي هو أيضاً موافق لبعض فقهاء العامّة من غير الحكّام وقضاتهم، فيكون معنى الميل في الرواية هو الموافقة في القول، وليس أن يكون أحد الخبرين فيه قرب إلى فقهاء العامّة، ومفروض الكلام أنّ كلتا الطائفتين مخالفة للعامّة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الطائفة الثانية غير تامّة سنداً كما تقدّم</w:t>
      </w:r>
      <w:r>
        <w:rPr>
          <w:rStyle w:val="FootnoteAnchor"/>
          <w:rtl w:val="true"/>
        </w:rPr>
        <w:footnoteReference w:id="183"/>
      </w:r>
      <w:r>
        <w:rPr>
          <w:rFonts w:ascii="Amiri" w:hAnsi="Amiri" w:eastAsia="Amiri" w:cs="Amiri"/>
          <w:color w:val="111111"/>
          <w:sz w:val="28"/>
          <w:sz w:val="28"/>
          <w:szCs w:val="28"/>
          <w:rtl w:val="true"/>
          <w:lang w:bidi="ar-SA"/>
        </w:rPr>
        <w:t>، ورواية الكناسيّ مختلف في نقلها، ففي نقل الشيخ الزواج والدخول شرط، وفي نقل الكليني أثر من آثار البلوغ كما تقدّم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59" w:name="pg9159_84987"/>
    </w:p>
    <w:p>
      <w:pPr>
        <w:pStyle w:val="Heading3"/>
        <w:numPr>
          <w:ilvl w:val="2"/>
          <w:numId w:val="1"/>
        </w:numPr>
        <w:rPr/>
      </w:pPr>
      <w:bookmarkStart w:id="160" w:name="__RefHeading___Toc3482657_2870459653"/>
      <w:bookmarkStart w:id="161" w:name="_Toc60"/>
      <w:bookmarkEnd w:id="159"/>
      <w:bookmarkEnd w:id="160"/>
      <w:r>
        <w:rPr>
          <w:rtl w:val="true"/>
        </w:rPr>
        <w:t>العمومات الفوقانية</w:t>
      </w:r>
      <w:bookmarkEnd w:id="161"/>
    </w:p>
    <w:p>
      <w:pPr>
        <w:pStyle w:val="Heading4"/>
        <w:numPr>
          <w:ilvl w:val="3"/>
          <w:numId w:val="1"/>
        </w:numPr>
        <w:rPr/>
      </w:pPr>
      <w:bookmarkStart w:id="162" w:name="__RefHeading___Toc3482659_2870459653"/>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لو فرض عدم وجود جمع عرفي وعدم وجود مرجّح فلا بُدَّ من الرجوع إلى العمومات الفوقانية، وما يمكن أن يستدلّ به عدّة وجوه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482661_2870459653"/>
      <w:bookmarkStart w:id="165" w:name="_Toc62"/>
      <w:bookmarkEnd w:id="164"/>
      <w:r>
        <w:rPr>
          <w:rtl w:val="true"/>
        </w:rPr>
        <w:t>الوجه الأوّل</w:t>
      </w:r>
      <w:bookmarkEnd w:id="165"/>
    </w:p>
    <w:p>
      <w:pPr>
        <w:pStyle w:val="BookText"/>
        <w:rPr/>
      </w:pPr>
      <w:r>
        <w:rPr>
          <w:rFonts w:ascii="Amiri" w:hAnsi="Amiri" w:eastAsia="Amiri" w:cs="Amiri"/>
          <w:color w:val="111111"/>
          <w:sz w:val="28"/>
          <w:sz w:val="28"/>
          <w:szCs w:val="28"/>
          <w:rtl w:val="true"/>
          <w:lang w:bidi="ar-SA"/>
        </w:rPr>
        <w:t>عمومات الخطابات القرآنية الّتي توجّه التكليف إلى الناس،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185"/>
      </w:r>
      <w:r>
        <w:rPr>
          <w:rFonts w:ascii="Amiri" w:hAnsi="Amiri" w:eastAsia="Amiri" w:cs="Amiri"/>
          <w:color w:val="111111"/>
          <w:sz w:val="28"/>
          <w:sz w:val="28"/>
          <w:szCs w:val="28"/>
          <w:rtl w:val="true"/>
          <w:lang w:bidi="ar-SA"/>
        </w:rPr>
        <w:t xml:space="preserve">، ولا شكّ أنّ عنوان الناس يشمل الجميع، والخارج من هذا الحكم غير المميّز 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شموله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والصبيّ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الأدلّة الدالّة على البلوغ بخمس عشرة سنة 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الصبيّة المميّزة فيمكن توجيه الخطاب لها، وحديث الرفع لا يشملها إلّا بنفي الخصوصية عن الصبيّ، وهو أمر يحتاج إلى جزم، فيحتمل أنّ اهتمام الشارع بالأعراض أوجب عليها أموراً لا تجب على مَن كان في سنّها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التعميم إلى بقية العبادات من جهة نفي الخصوصية عن الحجّ، فيستبعد وجوب الحجّ دون غيره من العبادات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يمكن المناقشة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الآية الكريمة لها مخصّص من غير الروايات المتعارضة، وهي الرواية الدالّة على عدم وجوب الحجّ على الجارية ما لم تطمث، كمعتبرة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سنين يحجّ؟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حجّة الإسلام إذا احتلم، وكذلك الجارية عليها الحجّ إذا طمثت</w:t>
      </w:r>
      <w:r>
        <w:rPr>
          <w:rFonts w:eastAsia="IRNazanin" w:cs="IRNazanin"/>
          <w:color w:val="111111"/>
          <w:sz w:val="28"/>
          <w:szCs w:val="28"/>
          <w:rtl w:val="true"/>
          <w:lang w:bidi="fa-IR"/>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bookmarkStart w:id="166" w:name="pg9159_84988"/>
    </w:p>
    <w:p>
      <w:pPr>
        <w:pStyle w:val="BookText"/>
        <w:rPr/>
      </w:pPr>
      <w:bookmarkEnd w:id="166"/>
      <w:r>
        <w:rPr>
          <w:rFonts w:ascii="IRNazanin" w:hAnsi="IRNazanin" w:eastAsia="IRNazanin"/>
          <w:color w:val="111111"/>
          <w:sz w:val="28"/>
          <w:sz w:val="28"/>
          <w:szCs w:val="28"/>
          <w:rtl w:val="true"/>
          <w:lang w:bidi="fa-IR"/>
        </w:rPr>
        <w:t>تدلّ بالمفهوم على عدم وجوب الحجّ ما لم تطمث</w:t>
      </w:r>
      <w:r>
        <w:rPr>
          <w:rFonts w:eastAsia="IRNazanin" w:cs="IRNazanin"/>
          <w:color w:val="111111"/>
          <w:sz w:val="28"/>
          <w:szCs w:val="28"/>
          <w:rtl w:val="true"/>
          <w:lang w:bidi="fa-IR"/>
        </w:rPr>
        <w:t>.</w:t>
      </w:r>
    </w:p>
    <w:p>
      <w:pPr>
        <w:pStyle w:val="Heading4"/>
        <w:numPr>
          <w:ilvl w:val="3"/>
          <w:numId w:val="1"/>
        </w:numPr>
        <w:rPr/>
      </w:pPr>
      <w:bookmarkStart w:id="167" w:name="__RefHeading___Toc3482663_2870459653"/>
      <w:bookmarkStart w:id="168" w:name="_Toc63"/>
      <w:bookmarkEnd w:id="167"/>
      <w:r>
        <w:rPr>
          <w:rtl w:val="true"/>
        </w:rPr>
        <w:t>الوجه الثاني</w:t>
      </w:r>
      <w:bookmarkEnd w:id="168"/>
    </w:p>
    <w:p>
      <w:pPr>
        <w:pStyle w:val="BookText"/>
        <w:rPr/>
      </w:pP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الآية فتشمل البالغ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تحت الإطلاق كلّ ما تقدّم غير المميِّز ذكراً أو أنثى، والصبيّ المميِّز، وتبقى الصبيّة المميِّزة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الكريمة ليست في مقام البيان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شمولها حتّى للصغيرة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بعض الآيات في مقام بيان تأسيس أصل وجوب الصلاة، وبعضها من باب الحثّ والتأكيد على الصلاة فلا إطلاق فيها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482665_2870459653"/>
      <w:bookmarkStart w:id="170" w:name="_Toc64"/>
      <w:bookmarkEnd w:id="169"/>
      <w:r>
        <w:rPr>
          <w:rtl w:val="true"/>
        </w:rPr>
        <w:t>الوجه الثالث</w:t>
      </w:r>
      <w:bookmarkEnd w:id="170"/>
    </w:p>
    <w:p>
      <w:pPr>
        <w:pStyle w:val="BookText"/>
        <w:rPr/>
      </w:pPr>
      <w:r>
        <w:rPr>
          <w:rFonts w:ascii="IRNazanin" w:hAnsi="IRNazanin" w:eastAsia="IRNazanin"/>
          <w:color w:val="111111"/>
          <w:sz w:val="28"/>
          <w:sz w:val="28"/>
          <w:szCs w:val="28"/>
          <w:rtl w:val="true"/>
          <w:lang w:bidi="fa-IR"/>
        </w:rPr>
        <w:t>الاستدلال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188"/>
      </w:r>
      <w:r>
        <w:rPr>
          <w:rFonts w:ascii="Amiri" w:hAnsi="Amiri" w:eastAsia="Amiri" w:cs="Amiri"/>
          <w:color w:val="111111"/>
          <w:sz w:val="28"/>
          <w:sz w:val="28"/>
          <w:szCs w:val="28"/>
          <w:rtl w:val="true"/>
          <w:lang w:bidi="ar-SA"/>
        </w:rPr>
        <w:t xml:space="preserve">، فلا خصوصية للمؤمنين في الآية الكريمة، فتشمل المؤمنات، ولا شكّ في صدق المؤمنة على مَن كانت صبيّة مميِّزة، ولو تمّ الاستدلال بها لأمكن تعميم الوجوب إلى الصلاة من جهة استبعاد وجوب الصوم عليها دون الصلاة، ولكن التعميم إلى بقيّة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لأنّ احتمال الخصوصية موجود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482667_2870459653"/>
      <w:bookmarkStart w:id="172" w:name="_Toc65"/>
      <w:bookmarkEnd w:id="171"/>
      <w:r>
        <w:rPr>
          <w:rtl w:val="true"/>
        </w:rPr>
        <w:t>الوجه الرابع</w:t>
      </w:r>
      <w:bookmarkEnd w:id="1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أَوْفُوا بِالْعُقُودِ</w:t>
      </w:r>
      <w:r>
        <w:rPr>
          <w:rStyle w:val="FootnoteAnchor"/>
          <w:rtl w:val="true"/>
        </w:rPr>
        <w:footnoteReference w:id="189"/>
      </w:r>
      <w:r>
        <w:rPr>
          <w:rFonts w:ascii="Amiri" w:hAnsi="Amiri" w:eastAsia="Amiri" w:cs="Amiri"/>
          <w:color w:val="111111"/>
          <w:sz w:val="28"/>
          <w:sz w:val="28"/>
          <w:szCs w:val="28"/>
          <w:rtl w:val="true"/>
          <w:lang w:bidi="ar-SA"/>
        </w:rPr>
        <w:t xml:space="preserve">بالبيان المتقدّم في الوجه الثالث، ولكن لا يمكن التعميم إلى غيرها من الحدود </w:t>
      </w:r>
    </w:p>
    <w:p>
      <w:pPr>
        <w:pStyle w:val="BookText"/>
        <w:rPr/>
      </w:pPr>
      <w:r>
        <w:rPr>
          <w:rFonts w:ascii="IRNazanin" w:hAnsi="IRNazanin" w:eastAsia="IRNazanin"/>
          <w:color w:val="111111"/>
          <w:sz w:val="28"/>
          <w:sz w:val="28"/>
          <w:szCs w:val="28"/>
          <w:rtl w:val="true"/>
          <w:lang w:bidi="fa-IR"/>
        </w:rPr>
        <w:t>والقصاص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المالي يتوقّف على أمرين هما البلوغ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المشهور</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الرشد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بعض الأعلام</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إمضاء عقوده وتصرّفاته المالية ما لم يعلم حصول البلوغ والرشد، أو الرشد؛ لأنّه تمسّك بالعامّ في الشبهة المصداقية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فالوجوه الأربعة تثبت التكليف، ولكن ما تمّ منها إنّما يتمّ في بعض موارد التكليف، وهي الصلاة أو الصيام، وأمّا باقي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يرتبط بالمعاملات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تحت الأصل النافي للتكليف، وهو استصحاب عدم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يتيقّن عدم وجوب الحجّ قبل ذلك، ويشكّ في التكليف بعد حصول التمييز، فيستصحب عدم وجوب الحجّ حتّى يحصل يقين بوجوب الحجّ</w:t>
      </w:r>
      <w:r>
        <w:rPr>
          <w:rFonts w:eastAsia="Amiri" w:cs="Amiri" w:ascii="Amiri" w:hAnsi="Amiri"/>
          <w:color w:val="111111"/>
          <w:sz w:val="28"/>
          <w:szCs w:val="28"/>
          <w:rtl w:val="true"/>
          <w:lang w:bidi="ar-SA"/>
        </w:rPr>
        <w:t xml:space="preserve">. </w:t>
      </w:r>
      <w:bookmarkStart w:id="173" w:name="pg9159_84990"/>
    </w:p>
    <w:p>
      <w:pPr>
        <w:pStyle w:val="Heading3"/>
        <w:numPr>
          <w:ilvl w:val="2"/>
          <w:numId w:val="1"/>
        </w:numPr>
        <w:rPr/>
      </w:pPr>
      <w:bookmarkStart w:id="174" w:name="__RefHeading___Toc3482669_2870459653"/>
      <w:bookmarkStart w:id="175" w:name="_Toc66"/>
      <w:bookmarkEnd w:id="173"/>
      <w:bookmarkEnd w:id="174"/>
      <w:r>
        <w:rPr>
          <w:rtl w:val="true"/>
        </w:rPr>
        <w:t>إشكال عامّ على روايات البلوغ بالسنّ</w:t>
      </w:r>
      <w:bookmarkEnd w:id="175"/>
    </w:p>
    <w:p>
      <w:pPr>
        <w:pStyle w:val="Heading4"/>
        <w:numPr>
          <w:ilvl w:val="3"/>
          <w:numId w:val="1"/>
        </w:numPr>
        <w:rPr/>
      </w:pPr>
      <w:bookmarkStart w:id="176" w:name="__RefHeading___Toc3482671_2870459653"/>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إنّ روايات علامية الحيض على البلوغ لو تمّت في نفسها</w:t>
      </w:r>
      <w:r>
        <w:rPr>
          <w:rStyle w:val="FootnoteAnchor"/>
          <w:rtl w:val="true"/>
        </w:rPr>
        <w:footnoteReference w:id="193"/>
      </w:r>
      <w:r>
        <w:rPr>
          <w:rFonts w:ascii="Amiri" w:hAnsi="Amiri" w:eastAsia="Amiri" w:cs="Amiri"/>
          <w:color w:val="111111"/>
          <w:sz w:val="28"/>
          <w:sz w:val="28"/>
          <w:szCs w:val="28"/>
          <w:rtl w:val="true"/>
          <w:lang w:bidi="ar-SA"/>
        </w:rPr>
        <w:t>فقد يقال إنّها تعارض روايات البلوغ بعد إكمال سنّ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بتقريبين</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482673_2870459653"/>
      <w:bookmarkStart w:id="179" w:name="_Toc68"/>
      <w:bookmarkEnd w:id="178"/>
      <w:r>
        <w:rPr>
          <w:rtl w:val="true"/>
        </w:rPr>
        <w:t>التقريب الأوّل</w:t>
      </w:r>
      <w:bookmarkEnd w:id="179"/>
    </w:p>
    <w:p>
      <w:pPr>
        <w:pStyle w:val="Heading5"/>
        <w:numPr>
          <w:ilvl w:val="4"/>
          <w:numId w:val="1"/>
        </w:numPr>
        <w:rPr/>
      </w:pPr>
      <w:bookmarkStart w:id="180" w:name="__RefHeading___Toc3482675_2870459653"/>
      <w:bookmarkStart w:id="181" w:name="_Toc69"/>
      <w:bookmarkEnd w:id="180"/>
      <w:r>
        <w:rPr>
          <w:rtl w:val="true"/>
        </w:rPr>
        <w:t>اشارة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البلوغ بالسنّ المذكور يعني لغوية جعله بالحيض؛ لتأخّره عنه، كما أنّ جعله بالحيض يعني عدم العبرة بالسنّ وعدم كونه سبباً للبلوغ، وإلّا لكان الجعل المذكور لغواً أيضاً؛ لتقدّم السنّ المذكور على الحيض</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دفع اللغوية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علامة لمن تجهل سنّها أو تشكّ فيه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إشكالان على هذا الجواب</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482677_2870459653"/>
      <w:bookmarkStart w:id="183" w:name="_Toc70"/>
      <w:bookmarkEnd w:id="182"/>
      <w:r>
        <w:rPr>
          <w:rtl w:val="true"/>
        </w:rPr>
        <w:t>الإشكال الأوّل</w:t>
      </w:r>
      <w:bookmarkEnd w:id="183"/>
    </w:p>
    <w:p>
      <w:pPr>
        <w:pStyle w:val="BookText"/>
        <w:rPr/>
      </w:pPr>
      <w:r>
        <w:rPr>
          <w:rFonts w:ascii="Amiri" w:hAnsi="Amiri" w:eastAsia="Amiri" w:cs="Amiri"/>
          <w:color w:val="111111"/>
          <w:sz w:val="28"/>
          <w:sz w:val="28"/>
          <w:szCs w:val="28"/>
          <w:rtl w:val="true"/>
          <w:lang w:bidi="ar-SA"/>
        </w:rPr>
        <w:t>أنّ تقييد روايات الحيض بمن شكّت أو جهلت سنّها تقييد بالفرد النادر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السنين المتأخّرة من النادر أن تجهل أو تشكّ المرأة في سنّها، أمّا في الأزمنة السابقة فلا يعلم ذلك، بل شهدنا بعض كبار السنّ في عصرنا </w:t>
      </w:r>
      <w:bookmarkStart w:id="184" w:name="pg9159_84991"/>
    </w:p>
    <w:p>
      <w:pPr>
        <w:pStyle w:val="BookText"/>
        <w:rPr/>
      </w:pPr>
      <w:bookmarkEnd w:id="184"/>
      <w:r>
        <w:rPr>
          <w:rFonts w:ascii="Amiri" w:hAnsi="Amiri" w:eastAsia="Amiri" w:cs="Amiri"/>
          <w:color w:val="111111"/>
          <w:sz w:val="28"/>
          <w:sz w:val="28"/>
          <w:szCs w:val="28"/>
          <w:rtl w:val="true"/>
          <w:lang w:bidi="ar-SA"/>
        </w:rPr>
        <w:t>لا يعلم سنّه، وإنّما قدّر له عُمر وكتب في السجلات الرسمية على أساس التقدير، مع أنّ المراد ليس تقييد علامية الحيض بذلك، بل المراد بيان الثمرة المحتملة من جعل الحيض علامة</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3482679_2870459653"/>
      <w:bookmarkStart w:id="186" w:name="_Toc71"/>
      <w:bookmarkEnd w:id="185"/>
      <w:r>
        <w:rPr>
          <w:rtl w:val="true"/>
        </w:rPr>
        <w:t>الإشكال الآخر</w:t>
      </w:r>
      <w:bookmarkEnd w:id="186"/>
    </w:p>
    <w:p>
      <w:pPr>
        <w:pStyle w:val="Heading6"/>
        <w:numPr>
          <w:ilvl w:val="5"/>
          <w:numId w:val="1"/>
        </w:numPr>
        <w:rPr/>
      </w:pPr>
      <w:bookmarkStart w:id="187" w:name="__RefHeading___Toc3482681_2870459653"/>
      <w:bookmarkStart w:id="188" w:name="_Toc72"/>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الجهل بالسنّ لا يعلم بحصول الحيض شرعاً، فما قبل التسع ليس حيضاً حتّى إذا جهل تاريخه بالنسبة لعمر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بروايات الحيض في مجهولة السنّ تمسّك بالعامّ في الشبهة المصداقية، وهو غير صحيح</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 هذا الإشكال بجوابين</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482683_2870459653"/>
      <w:bookmarkStart w:id="190" w:name="_Toc73"/>
      <w:bookmarkEnd w:id="189"/>
      <w:r>
        <w:rPr>
          <w:rtl w:val="true"/>
        </w:rPr>
        <w:t>الجواب الأوّل</w:t>
      </w:r>
      <w:bookmarkEnd w:id="190"/>
    </w:p>
    <w:p>
      <w:pPr>
        <w:pStyle w:val="BookText"/>
        <w:rPr/>
      </w:pPr>
      <w:r>
        <w:rPr>
          <w:rFonts w:ascii="Amiri" w:hAnsi="Amiri" w:eastAsia="Amiri" w:cs="Amiri"/>
          <w:color w:val="111111"/>
          <w:sz w:val="28"/>
          <w:sz w:val="28"/>
          <w:szCs w:val="28"/>
          <w:rtl w:val="true"/>
          <w:lang w:bidi="ar-SA"/>
        </w:rPr>
        <w:t xml:space="preserve">أنّ حصول الحيض في الغالب يكون في سنّ متأخّر عن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الدم بصفات الحيض قد يوجب حصول اليقين ولو عند أكثر النساء ببلوغها سنّ التاسعة؛ ولذا قال الشيخ محمّد حسين آل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حصول العلم أو الاطمئنان، أمّا بدونه فالحكم بالحيضيّة مشكل، وعدّ الحيض من علائم البلوغ إنّما هو بهذا الاعتبار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3482685_2870459653"/>
      <w:bookmarkStart w:id="192" w:name="_Toc74"/>
      <w:bookmarkEnd w:id="191"/>
      <w:r>
        <w:rPr>
          <w:rtl w:val="true"/>
        </w:rPr>
        <w:t>الجواب الآخر</w:t>
      </w:r>
      <w:bookmarkEnd w:id="192"/>
    </w:p>
    <w:p>
      <w:pPr>
        <w:pStyle w:val="Heading6"/>
        <w:numPr>
          <w:ilvl w:val="5"/>
          <w:numId w:val="1"/>
        </w:numPr>
        <w:rPr/>
      </w:pPr>
      <w:bookmarkStart w:id="193" w:name="__RefHeading___Toc3482687_2870459653"/>
      <w:bookmarkStart w:id="194" w:name="_Toc75"/>
      <w:bookmarkEnd w:id="193"/>
      <w:r>
        <w:rPr>
          <w:rtl w:val="true"/>
        </w:rPr>
        <w:t>اشارة</w:t>
      </w:r>
      <w:bookmarkEnd w:id="1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أنَّه ينبغي النظر إلى الروايات النافية للحيض عمّن لم تبلغ </w:t>
      </w:r>
      <w:bookmarkStart w:id="195" w:name="pg9159_84992"/>
    </w:p>
    <w:p>
      <w:pPr>
        <w:pStyle w:val="BookText"/>
        <w:rPr/>
      </w:pPr>
      <w:bookmarkEnd w:id="195"/>
      <w:r>
        <w:rPr>
          <w:rFonts w:ascii="Amiri" w:hAnsi="Amiri" w:eastAsia="Amiri" w:cs="Amiri"/>
          <w:color w:val="111111"/>
          <w:sz w:val="28"/>
          <w:sz w:val="28"/>
          <w:szCs w:val="28"/>
          <w:rtl w:val="true"/>
          <w:lang w:bidi="ar-SA"/>
        </w:rPr>
        <w:t>تسع سنين، هل نفي الحيض فيها نفي واقعي؟ فتكون الرواية إخباراً عن أمر واقعي، وهو أنّ الأنثى لا ترى الحيض واقعاً قبل التسع، فيكون حصول الحيض لها كاشفاً عن بلوغها هذا السنّ، أم هو نفي الحيض شرعاً، بمعنى عدم ترتيب آثار الحيض شرعاً لو وقع لها الحيض قبل التاسعة، فيكون حصول الحيض طبّيّاً</w:t>
      </w:r>
      <w:r>
        <w:rPr>
          <w:rStyle w:val="FootnoteAnchor"/>
          <w:rtl w:val="true"/>
        </w:rPr>
        <w:footnoteReference w:id="199"/>
      </w:r>
      <w:r>
        <w:rPr>
          <w:rFonts w:ascii="Amiri" w:hAnsi="Amiri" w:eastAsia="Amiri" w:cs="Amiri"/>
          <w:color w:val="111111"/>
          <w:sz w:val="28"/>
          <w:sz w:val="28"/>
          <w:szCs w:val="28"/>
          <w:rtl w:val="true"/>
          <w:lang w:bidi="ar-SA"/>
        </w:rPr>
        <w:t>في مشكوكة السنّ لا يكشف عن حصول السنّ المذكور</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المقام ذكر الأعلام روايتين</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482689_2870459653"/>
      <w:bookmarkStart w:id="197" w:name="_Toc76"/>
      <w:bookmarkEnd w:id="196"/>
      <w:r>
        <w:rPr>
          <w:rtl w:val="true"/>
        </w:rPr>
        <w:t>الرواية الأولى</w:t>
      </w:r>
      <w:bookmarkEnd w:id="197"/>
    </w:p>
    <w:p>
      <w:pPr>
        <w:pStyle w:val="BookText"/>
        <w:rPr/>
      </w:pP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يتزوّجن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تحض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لها أقلّ من تسع سنين، والّتي لم يدخل بها، والّتي قد يئست من المحيض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لها خمسون سنة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طريقها سهل بن زياد، وهو ممّن لم تثبت وثاقته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482691_2870459653"/>
      <w:bookmarkStart w:id="199" w:name="_Toc77"/>
      <w:bookmarkEnd w:id="198"/>
      <w:r>
        <w:rPr>
          <w:rtl w:val="true"/>
        </w:rPr>
        <w:t>الرواية الأخرى</w:t>
      </w:r>
      <w:bookmarkEnd w:id="1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الغلام ثلاث عشرة سنة كتبت له الحسنة، وكتبت عليه السيئة وعوقب، وإذا بلغت </w:t>
      </w:r>
    </w:p>
    <w:p>
      <w:pPr>
        <w:pStyle w:val="BookText"/>
        <w:rPr/>
      </w:pPr>
      <w:r>
        <w:rPr>
          <w:rFonts w:ascii="Amiri" w:hAnsi="Amiri" w:eastAsia="Amiri" w:cs="Amiri"/>
          <w:color w:val="111111"/>
          <w:sz w:val="28"/>
          <w:sz w:val="28"/>
          <w:szCs w:val="28"/>
          <w:rtl w:val="true"/>
          <w:lang w:bidi="ar-SA"/>
        </w:rPr>
        <w:t>الجارية تسع سنين فكذلك، وذلك أنّها تحيض لتسع سنين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في هذه الرواية</w:t>
      </w:r>
      <w:r>
        <w:rPr>
          <w:rStyle w:val="FootnoteAnchor"/>
          <w:rtl w:val="true"/>
        </w:rPr>
        <w:footnoteReference w:id="203"/>
      </w:r>
      <w:r>
        <w:rPr>
          <w:rFonts w:ascii="Amiri" w:hAnsi="Amiri" w:eastAsia="Amiri" w:cs="Amiri"/>
          <w:color w:val="111111"/>
          <w:sz w:val="28"/>
          <w:sz w:val="28"/>
          <w:szCs w:val="28"/>
          <w:rtl w:val="true"/>
          <w:lang w:bidi="ar-SA"/>
        </w:rPr>
        <w:t>، وتقدّم أنّ المقصود بها إمكان الحيض، لا الحيض الفعليّ</w:t>
      </w:r>
      <w:r>
        <w:rPr>
          <w:rStyle w:val="FootnoteAnchor"/>
          <w:rtl w:val="true"/>
        </w:rPr>
        <w:footnoteReference w:id="204"/>
      </w:r>
      <w:r>
        <w:rPr>
          <w:rFonts w:ascii="Amiri" w:hAnsi="Amiri" w:eastAsia="Amiri" w:cs="Amiri"/>
          <w:color w:val="111111"/>
          <w:sz w:val="28"/>
          <w:sz w:val="28"/>
          <w:szCs w:val="28"/>
          <w:rtl w:val="true"/>
          <w:lang w:bidi="ar-SA"/>
        </w:rPr>
        <w:t>لأنّ حصول الحيض في سنّ التاسعة أمر نادر أو قليل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كلتا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وقوع الحيض قبل التاسعة واقعي، فتدلّان على عدم وقوع الحيض قبل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الطبّيّ قد وقع فعلاً قبل التاسعة، فلا يمكن الإخبار عن عدم وقوعه؛ لأنّه خبر مخالف للواقع، فتكون قرينة على أنّ المراد هو نفي الحيض الشرعيّ بلسان نفي موضوعه وعدم ترتيب آثاره الشرعيّة لو وقع قبل التاسعة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حالة نادرة لا يضرّ ذلك، فالرواية ناظرة إلى الأفراد المتعارفة، وتخبر عنها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يفتح عينه ويرى بعد الساعة الفلانية من الولادة، فهو إخبار عن الحالة المتعارفة، فلا يرد عليه أنّ البعض لا يستطيع الرؤية أصلاً؛ لأنّ المتكلّم كان نظره إلى غالب الأفراد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بما أنّ الحيض الطبّيّ يمكن أن يقع لبعض النساء قبل بلوغ تسع سنين ولو </w:t>
      </w:r>
      <w:bookmarkStart w:id="200" w:name="pg9159_84994"/>
    </w:p>
    <w:p>
      <w:pPr>
        <w:pStyle w:val="BookText"/>
        <w:rPr/>
      </w:pPr>
      <w:bookmarkEnd w:id="200"/>
      <w:r>
        <w:rPr>
          <w:rFonts w:ascii="Amiri" w:hAnsi="Amiri" w:eastAsia="Amiri" w:cs="Amiri"/>
          <w:color w:val="111111"/>
          <w:sz w:val="28"/>
          <w:sz w:val="28"/>
          <w:szCs w:val="28"/>
          <w:rtl w:val="true"/>
          <w:lang w:bidi="ar-SA"/>
        </w:rPr>
        <w:t>كان نادراً، فلو حصل الحيض الطبّيّ عند من تجهل عمرها أو تشكّ فيه فلا يكون كاشفاً عن بلوغها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الاطمئنان ببلوغها تسعاً بسبب حصول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لندرة وقوع الحيض الطبّيّ قبل بلوغ الأنثى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يكفي؛ لحجّية الاطمئنان، إلّا أنّ هذا هو الجواب الأوّل المتقدّم وليس غيره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482693_2870459653"/>
      <w:bookmarkStart w:id="202" w:name="_Toc78"/>
      <w:bookmarkEnd w:id="201"/>
      <w:r>
        <w:rPr>
          <w:rtl w:val="true"/>
        </w:rPr>
        <w:t>التقريب الآخر</w:t>
      </w:r>
      <w:bookmarkEnd w:id="202"/>
    </w:p>
    <w:p>
      <w:pPr>
        <w:pStyle w:val="BookText"/>
        <w:rPr/>
      </w:pPr>
      <w:r>
        <w:rPr>
          <w:rFonts w:ascii="Amiri" w:hAnsi="Amiri" w:eastAsia="Amiri" w:cs="Amiri"/>
          <w:color w:val="111111"/>
          <w:sz w:val="28"/>
          <w:sz w:val="28"/>
          <w:szCs w:val="28"/>
          <w:rtl w:val="true"/>
          <w:lang w:bidi="ar-SA"/>
        </w:rPr>
        <w:t>أنّ روايات الحيض لها مفهوم يدلّ على عدم حصول التكليف قبله، فيعارض إطلاق روايات البلوغ بالسنّ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سنين يحجّ؟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حجّة الإسلام إذا احتلم، وكذلك الجارية عليها الحجّ إذا طمثت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يستدلّ على نفي وجوب الحجّ ما لم تطمث الجارية من مفهوم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البحث الأصولي المعروف، وهو التعارض بين إطلاق المنطوق وإطلاق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مفهوم المعتبرة يدلّ على عدم بلوغ الأنثى ما لم تطمث سواء بلغت تسع سنين أم لا، وأدلّة البلوغ بسنّ التاسعة تدلّ على حصول البلوغ بتسع سنين سواء حاضت في سنّ التاسعة أم لم تحض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إطلاق الدليلين عموم وخصوص من وجه، ومادّة الاجتماع والتعارض هي من بلغت تسع سنين ولم تطمث، فدليل علامية الحيض يدلّ على عدم البلوغ، ودليل البلوغ بالسنّ يدلّ على حصول البلوغ، ومادّة افتراقهما موردان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تطمث </w:t>
      </w:r>
      <w:bookmarkStart w:id="203" w:name="pg9159_84995"/>
    </w:p>
    <w:p>
      <w:pPr>
        <w:pStyle w:val="BookText"/>
        <w:rPr/>
      </w:pPr>
      <w:bookmarkEnd w:id="203"/>
      <w:r>
        <w:rPr>
          <w:rFonts w:ascii="Amiri" w:hAnsi="Amiri" w:eastAsia="Amiri" w:cs="Amiri"/>
          <w:color w:val="111111"/>
          <w:sz w:val="28"/>
          <w:sz w:val="28"/>
          <w:szCs w:val="28"/>
          <w:rtl w:val="true"/>
          <w:lang w:bidi="ar-SA"/>
        </w:rPr>
        <w:t>وهي دون التاسعة فإنّه لا شكّ في عدم بلوغها، ومَن طمثت وهي بلغت تسع سنين أو أكثر فلا شكّ في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مفهوم كلٍّ من الشرطيتين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تسع سنين فقد بلغت، وإذا حاضت فقد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محلّه</w:t>
      </w:r>
      <w:r>
        <w:rPr>
          <w:rStyle w:val="FootnoteAnchor"/>
          <w:rtl w:val="true"/>
        </w:rPr>
        <w:footnoteReference w:id="210"/>
      </w:r>
      <w:r>
        <w:rPr>
          <w:rFonts w:ascii="Amiri" w:hAnsi="Amiri" w:eastAsia="Amiri" w:cs="Amiri"/>
          <w:color w:val="111111"/>
          <w:sz w:val="28"/>
          <w:sz w:val="28"/>
          <w:szCs w:val="28"/>
          <w:rtl w:val="true"/>
          <w:lang w:bidi="ar-SA"/>
        </w:rPr>
        <w:t xml:space="preserve">فيكون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تسع سنين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مستقلّا ً لحصول البلوغ</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212"/>
      </w:r>
      <w:r>
        <w:rPr>
          <w:rFonts w:ascii="Amiri" w:hAnsi="Amiri" w:eastAsia="Amiri" w:cs="Amiri"/>
          <w:color w:val="111111"/>
          <w:sz w:val="28"/>
          <w:sz w:val="28"/>
          <w:szCs w:val="28"/>
          <w:rtl w:val="true"/>
          <w:lang w:bidi="ar-SA"/>
        </w:rPr>
        <w:t>في الجواب عن هذا الوجه من أنّ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متأخّر عن التسع أو مقارن فيستحيل جعل الحيض علامة على البلوغ لأنّه لغو، تقدّم الجواب عنه في التقريب الأوّل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يتمّ التقييد المذكور يحصل التعارض بين إطلاق المنطوق وإطلاق المفهوم ويصل الأمر إلى التساقط، والمرجع بعد ذلك العمومات الفوقانية على مبنى السيّد الخوئي</w:t>
      </w:r>
      <w:r>
        <w:rPr>
          <w:rStyle w:val="FootnoteAnchor"/>
          <w:rtl w:val="true"/>
        </w:rPr>
        <w:footnoteReference w:id="214"/>
      </w:r>
      <w:r>
        <w:rPr>
          <w:rFonts w:ascii="Amiri" w:hAnsi="Amiri" w:eastAsia="Amiri" w:cs="Amiri"/>
          <w:color w:val="111111"/>
          <w:sz w:val="28"/>
          <w:sz w:val="28"/>
          <w:szCs w:val="28"/>
          <w:rtl w:val="true"/>
          <w:lang w:bidi="ar-SA"/>
        </w:rPr>
        <w:t>لأنّ الإطلاق يثبت بحكم العقل بعد تمامية مقدّمات الحكمة، وهو خارج مدلول اللفظ، فلا يرجع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المسلك المشهور فيرجع إلى مرجّحات باب التعارض</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482695_2870459653"/>
      <w:bookmarkStart w:id="205" w:name="_Toc79"/>
      <w:bookmarkEnd w:id="204"/>
      <w:r>
        <w:rPr>
          <w:rtl w:val="true"/>
        </w:rPr>
        <w:t>المرجّح الأوّل</w:t>
      </w:r>
      <w:r>
        <w:rPr>
          <w:rtl w:val="true"/>
        </w:rPr>
        <w:t xml:space="preserve">: </w:t>
      </w:r>
      <w:r>
        <w:rPr>
          <w:rtl w:val="true"/>
        </w:rPr>
        <w:t>الشهرة الروائية</w:t>
      </w:r>
      <w:bookmarkEnd w:id="20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كلتا الطائفتين مشهورة، فلا يمكن الترجيح بالشهرة</w:t>
      </w:r>
      <w:r>
        <w:rPr>
          <w:rFonts w:eastAsia="Amiri" w:cs="Amiri" w:ascii="Amiri" w:hAnsi="Amiri"/>
          <w:color w:val="111111"/>
          <w:sz w:val="28"/>
          <w:szCs w:val="28"/>
          <w:rtl w:val="true"/>
          <w:lang w:bidi="ar-SA"/>
        </w:rPr>
        <w:t xml:space="preserve">. </w:t>
      </w:r>
      <w:bookmarkStart w:id="206" w:name="pg9159_84996"/>
    </w:p>
    <w:p>
      <w:pPr>
        <w:pStyle w:val="Heading4"/>
        <w:numPr>
          <w:ilvl w:val="3"/>
          <w:numId w:val="1"/>
        </w:numPr>
        <w:rPr/>
      </w:pPr>
      <w:bookmarkStart w:id="207" w:name="__RefHeading___Toc3482697_2870459653"/>
      <w:bookmarkStart w:id="208" w:name="_Toc80"/>
      <w:bookmarkEnd w:id="206"/>
      <w:bookmarkEnd w:id="207"/>
      <w:r>
        <w:rPr>
          <w:rtl w:val="true"/>
        </w:rPr>
        <w:t>المرجّح الثاني</w:t>
      </w:r>
      <w:r>
        <w:rPr>
          <w:rtl w:val="true"/>
        </w:rPr>
        <w:t xml:space="preserve">: </w:t>
      </w:r>
      <w:r>
        <w:rPr>
          <w:rtl w:val="true"/>
        </w:rPr>
        <w:t>موافقة الكتاب</w:t>
      </w:r>
      <w:bookmarkEnd w:id="208"/>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البلوغ بالتسع موافق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حَتَّى إِذَا بَلَغُوا النِّكَاحَ</w:t>
      </w:r>
      <w:r>
        <w:rPr>
          <w:rStyle w:val="FootnoteAnchor"/>
          <w:rtl w:val="true"/>
        </w:rPr>
        <w:footnoteReference w:id="215"/>
      </w:r>
      <w:r>
        <w:rPr>
          <w:rFonts w:ascii="Amiri" w:hAnsi="Amiri" w:eastAsia="Amiri" w:cs="Amiri"/>
          <w:color w:val="111111"/>
          <w:sz w:val="28"/>
          <w:sz w:val="28"/>
          <w:szCs w:val="28"/>
          <w:rtl w:val="true"/>
          <w:lang w:bidi="ar-SA"/>
        </w:rPr>
        <w:t>بالبيان المتقدّم في بحث الملازمة بين جواز الدخول والبلوغ</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كان المراد ببلوغ النكاح في الآية الكريمة النكاح الّذي يكون منه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 بعض الأعلام</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مرجّحة لروايات الحيض؛ لأنّ النكاح الّذي يكون منه الولد في الأنثى لا يكون إلّا بعد الحيض، والحيض غالباً متأخّر عن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التقييد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الشهيد الثاني في المسالك</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ليس فيها إلّا بلوغ النكاح، فهي مطلقة، وصلاح المرأة للنكاح بعد إكمال سنّ التاسعة كما دلّت عليه الأخبار، فتكون مرجّحة لروايات التسع على روايات الحيض</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482699_2870459653"/>
      <w:bookmarkStart w:id="210" w:name="_Toc81"/>
      <w:bookmarkEnd w:id="209"/>
      <w:r>
        <w:rPr>
          <w:rtl w:val="true"/>
        </w:rPr>
        <w:t>المرجّح الثالث</w:t>
      </w:r>
      <w:r>
        <w:rPr>
          <w:rtl w:val="true"/>
        </w:rPr>
        <w:t xml:space="preserve">: </w:t>
      </w:r>
      <w:r>
        <w:rPr>
          <w:rtl w:val="true"/>
        </w:rPr>
        <w:t>طرح الموافق للعامّة والتمسّك بالمخالف لهم</w:t>
      </w:r>
      <w:bookmarkEnd w:id="210"/>
    </w:p>
    <w:p>
      <w:pPr>
        <w:pStyle w:val="BookText"/>
        <w:rPr/>
      </w:pPr>
      <w:r>
        <w:rPr>
          <w:rFonts w:ascii="Amiri" w:hAnsi="Amiri" w:eastAsia="Amiri" w:cs="Amiri"/>
          <w:color w:val="111111"/>
          <w:sz w:val="28"/>
          <w:sz w:val="28"/>
          <w:szCs w:val="28"/>
          <w:rtl w:val="true"/>
          <w:lang w:bidi="ar-SA"/>
        </w:rPr>
        <w:t>إنّ روايات البلوغ بالحيض موافقة للعامّة، وروايات البلوغ بتسع سنين مخالفة للعامّة، فلا بُدَّ من طرح الموافق، فترجّح روايات البلوغ بتسع سنين على روايات البلوغ بالحيض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موافقة روايات الحيض للعامّة فيتّضح ذلك من قول ابن قدامة في المغني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والحيض علم على البلوغ في حقّ الجارية لا نعلم فيه خلافاً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الحيض فهو بلوغ</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وقال ابن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والجارية بالاحتلام والحيض والحبل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مخالفة العامّة لروايات البلوغ بالسنّ فقد تقدّم الكلام فيه في المحور الأوَّل من البحث</w:t>
      </w:r>
      <w:r>
        <w:rPr>
          <w:rFonts w:eastAsia="Amiri" w:cs="Amiri" w:ascii="Amiri" w:hAnsi="Amiri"/>
          <w:color w:val="111111"/>
          <w:sz w:val="28"/>
          <w:szCs w:val="28"/>
          <w:rtl w:val="true"/>
          <w:lang w:bidi="ar-SA"/>
        </w:rPr>
        <w:t xml:space="preserve">. </w:t>
      </w:r>
      <w:bookmarkStart w:id="211" w:name="pg9159_84998"/>
    </w:p>
    <w:p>
      <w:pPr>
        <w:pStyle w:val="Heading3"/>
        <w:numPr>
          <w:ilvl w:val="2"/>
          <w:numId w:val="1"/>
        </w:numPr>
        <w:rPr/>
      </w:pPr>
      <w:bookmarkStart w:id="212" w:name="__RefHeading___Toc3482701_2870459653"/>
      <w:bookmarkStart w:id="213" w:name="_Toc82"/>
      <w:bookmarkEnd w:id="211"/>
      <w:bookmarkEnd w:id="212"/>
      <w:r>
        <w:rPr>
          <w:rtl w:val="true"/>
        </w:rPr>
        <w:t>المحور الثالث</w:t>
      </w:r>
      <w:r>
        <w:rPr>
          <w:rtl w:val="true"/>
        </w:rPr>
        <w:t xml:space="preserve">: </w:t>
      </w:r>
      <w:r>
        <w:rPr>
          <w:rtl w:val="true"/>
        </w:rPr>
        <w:t>التنبيهات</w:t>
      </w:r>
      <w:bookmarkEnd w:id="213"/>
    </w:p>
    <w:p>
      <w:pPr>
        <w:pStyle w:val="Heading4"/>
        <w:numPr>
          <w:ilvl w:val="3"/>
          <w:numId w:val="1"/>
        </w:numPr>
        <w:rPr/>
      </w:pPr>
      <w:bookmarkStart w:id="214" w:name="__RefHeading___Toc3482703_2870459653"/>
      <w:bookmarkStart w:id="215" w:name="_Toc83"/>
      <w:bookmarkEnd w:id="214"/>
      <w:r>
        <w:rPr>
          <w:rtl w:val="true"/>
        </w:rPr>
        <w:t>التنبيه الأوّل</w:t>
      </w:r>
      <w:bookmarkEnd w:id="215"/>
    </w:p>
    <w:p>
      <w:pPr>
        <w:pStyle w:val="Heading5"/>
        <w:numPr>
          <w:ilvl w:val="4"/>
          <w:numId w:val="1"/>
        </w:numPr>
        <w:rPr/>
      </w:pPr>
      <w:bookmarkStart w:id="216" w:name="__RefHeading___Toc3482705_2870459653"/>
      <w:bookmarkStart w:id="217" w:name="_Toc84"/>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هل البلوغ يحصل بإكمال تسع سنين أو يكفي الدخول فيها؟</w:t>
      </w:r>
    </w:p>
    <w:p>
      <w:pPr>
        <w:pStyle w:val="BookText"/>
        <w:rPr/>
      </w:pPr>
      <w:r>
        <w:rPr>
          <w:rFonts w:ascii="Amiri" w:hAnsi="Amiri" w:eastAsia="Amiri" w:cs="Amiri"/>
          <w:color w:val="111111"/>
          <w:sz w:val="28"/>
          <w:sz w:val="28"/>
          <w:szCs w:val="28"/>
          <w:rtl w:val="true"/>
          <w:lang w:bidi="ar-SA"/>
        </w:rPr>
        <w:t>ذهب المشهور بل ادّعي عليه الإجماع بإكمال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إكمال السنة الخامسة عشرة، والتاسعة في الأنثى، فلا يكفي الطعن فيها، عملاً بالاستصحاب، وفتوى الأصحاب</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مقتضى الأصول المتقدّمة وظاهر النصوص والعبارات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بالتسع والخمس عشرة سنة بحكم التبادر والصدق عرفاً وعادة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السنتان كاملة، فلا يكفي الطعن فيهما بالبديهة، وبه صرّح جماعة، كالمسالك وغيره،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مذهب الأصحاب كافّة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وخالف البعض وقال بكفاية الدخول، ولم نعلم من هو القائل، فقد نسب إلى البعض، أو إلى بعض الأجلّة، قال صاحب الرياض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فمناقشة بعض الأجلّة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إکمال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واحتماله الاكتفاء بالطعن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الدخول بالتسع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الكمال، واهية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التسع الّذي هو سنّ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فيهما كما عن بعض، أو لا بل يعتبر كمالهما، الأقرب الثاني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18" w:name="pg9159_84999"/>
    </w:p>
    <w:p>
      <w:pPr>
        <w:pStyle w:val="BookText"/>
        <w:rPr/>
      </w:pPr>
      <w:bookmarkEnd w:id="218"/>
      <w:r>
        <w:rPr>
          <w:rFonts w:ascii="Amiri" w:hAnsi="Amiri" w:eastAsia="Amiri" w:cs="Amiri"/>
          <w:color w:val="111111"/>
          <w:sz w:val="28"/>
          <w:sz w:val="28"/>
          <w:szCs w:val="28"/>
          <w:rtl w:val="true"/>
          <w:lang w:bidi="ar-SA"/>
        </w:rPr>
        <w:t>والمهمّ هو التعرّض إلى الأدلّة والوقوف عليها</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482707_2870459653"/>
      <w:bookmarkStart w:id="220" w:name="_Toc85"/>
      <w:bookmarkEnd w:id="219"/>
      <w:r>
        <w:rPr>
          <w:rtl w:val="true"/>
        </w:rPr>
        <w:t>الدليل الأوّل</w:t>
      </w:r>
      <w:bookmarkEnd w:id="220"/>
    </w:p>
    <w:p>
      <w:pPr>
        <w:pStyle w:val="BookText"/>
        <w:rPr/>
      </w:pPr>
      <w:r>
        <w:rPr>
          <w:rFonts w:ascii="Amiri" w:hAnsi="Amiri" w:eastAsia="Amiri" w:cs="Amiri"/>
          <w:color w:val="111111"/>
          <w:sz w:val="28"/>
          <w:sz w:val="28"/>
          <w:szCs w:val="28"/>
          <w:rtl w:val="true"/>
          <w:lang w:bidi="ar-SA"/>
        </w:rPr>
        <w:t>استصحاب عدم البلوغ الثابت قبل الدخول في التاسعة عند الشكّ فيه بعد الدخول في التاسعة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3482709_2870459653"/>
      <w:bookmarkStart w:id="222" w:name="_Toc86"/>
      <w:bookmarkEnd w:id="221"/>
      <w:r>
        <w:rPr>
          <w:rtl w:val="true"/>
        </w:rPr>
        <w:t>الدليل الثاني</w:t>
      </w:r>
      <w:bookmarkEnd w:id="222"/>
    </w:p>
    <w:p>
      <w:pPr>
        <w:pStyle w:val="BookText"/>
        <w:rPr/>
      </w:pPr>
      <w:r>
        <w:rPr>
          <w:rFonts w:ascii="Amiri" w:hAnsi="Amiri" w:eastAsia="Amiri" w:cs="Amiri"/>
          <w:color w:val="111111"/>
          <w:sz w:val="28"/>
          <w:sz w:val="28"/>
          <w:szCs w:val="28"/>
          <w:rtl w:val="true"/>
          <w:lang w:bidi="ar-SA"/>
        </w:rPr>
        <w:t>لا يصدق البلوغ إلّا لمن أكملت التسع كما في معتبرة أبي بصير</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تماميّة الملازمة بين جواز الدخول والبلوغ، وكذلك الروايات الدالّة على عدم جواز الدخول بأقلّ من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بها حتّى يأتي لها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صحيحة الحلبي</w:t>
      </w:r>
      <w:r>
        <w:rPr>
          <w:rStyle w:val="FootnoteAnchor"/>
          <w:rtl w:val="true"/>
        </w:rPr>
        <w:footnoteReference w:id="228"/>
      </w:r>
      <w:r>
        <w:rPr>
          <w:rFonts w:ascii="Amiri" w:hAnsi="Amiri" w:eastAsia="Amiri" w:cs="Amiri"/>
          <w:color w:val="111111"/>
          <w:sz w:val="28"/>
          <w:sz w:val="28"/>
          <w:szCs w:val="28"/>
          <w:rtl w:val="true"/>
          <w:lang w:bidi="ar-SA"/>
        </w:rPr>
        <w:t>بناءً على الملازمة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482711_2870459653"/>
      <w:bookmarkStart w:id="224" w:name="_Toc87"/>
      <w:bookmarkEnd w:id="223"/>
      <w:r>
        <w:rPr>
          <w:rtl w:val="true"/>
        </w:rPr>
        <w:t>الدليل الثالث</w:t>
      </w:r>
      <w:bookmarkEnd w:id="224"/>
    </w:p>
    <w:p>
      <w:pPr>
        <w:pStyle w:val="Heading6"/>
        <w:numPr>
          <w:ilvl w:val="5"/>
          <w:numId w:val="1"/>
        </w:numPr>
        <w:rPr/>
      </w:pPr>
      <w:bookmarkStart w:id="225" w:name="__RefHeading___Toc3482713_2870459653"/>
      <w:bookmarkStart w:id="226" w:name="_Toc88"/>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أنّ ظاهر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الشيء الّذي جعل غاية، نعم لو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معناه الوصول إليه، فيكفي الدخول في التاسعة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بعد مراجعة مصادر اللغة واستعمال القرآن الكريم لهذه الكلمة، نجد أنّ لها ثلاثة معان</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3482715_2870459653"/>
      <w:bookmarkStart w:id="228" w:name="_Toc89"/>
      <w:bookmarkEnd w:id="227"/>
      <w:r>
        <w:rPr>
          <w:rtl w:val="true"/>
        </w:rPr>
        <w:t>المعنى الأوّل</w:t>
      </w:r>
      <w:bookmarkEnd w:id="22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الوصول إلى الشيء،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بلغت المكان بلوغاً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إليه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واللام والغين أصل واحد، </w:t>
      </w:r>
      <w:bookmarkStart w:id="229" w:name="pg9159_85000"/>
    </w:p>
    <w:p>
      <w:pPr>
        <w:pStyle w:val="BookText"/>
        <w:rPr/>
      </w:pPr>
      <w:bookmarkEnd w:id="229"/>
      <w:r>
        <w:rPr>
          <w:rFonts w:ascii="Amiri" w:hAnsi="Amiri" w:eastAsia="Amiri" w:cs="Amiri"/>
          <w:color w:val="111111"/>
          <w:sz w:val="28"/>
          <w:sz w:val="28"/>
          <w:szCs w:val="28"/>
          <w:rtl w:val="true"/>
          <w:lang w:bidi="ar-SA"/>
        </w:rPr>
        <w:t>وهو الوصول إلى الشيء،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المكان، إذا وصلت إليه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ويتوصّل إلى الشي‌ء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وبلغت المكان بلوغاً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إليه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الاستعمالات القرآنية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الْكَعْبَةِ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3482717_2870459653"/>
      <w:bookmarkStart w:id="231" w:name="_Toc90"/>
      <w:bookmarkEnd w:id="230"/>
      <w:r>
        <w:rPr>
          <w:rtl w:val="true"/>
        </w:rPr>
        <w:t>المعنى الثاني</w:t>
      </w:r>
      <w:bookmarkEnd w:id="231"/>
    </w:p>
    <w:p>
      <w:pPr>
        <w:pStyle w:val="BookText"/>
        <w:rPr/>
      </w:pPr>
      <w:r>
        <w:rPr>
          <w:rFonts w:ascii="Amiri" w:hAnsi="Amiri" w:eastAsia="Amiri" w:cs="Amiri"/>
          <w:color w:val="111111"/>
          <w:sz w:val="28"/>
          <w:sz w:val="28"/>
          <w:szCs w:val="28"/>
          <w:rtl w:val="true"/>
          <w:lang w:bidi="ar-SA"/>
        </w:rPr>
        <w:t>هو المشارفة بمعنى قريب إلى الوصول،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شارفت عليه،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قاربنه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يعبّر به عن المشارفة عليه، وإن لم ينته إليه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وغيرهما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الاستعمال القرآني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3482719_2870459653"/>
      <w:bookmarkStart w:id="233" w:name="_Toc91"/>
      <w:bookmarkEnd w:id="232"/>
      <w:r>
        <w:rPr>
          <w:rtl w:val="true"/>
        </w:rPr>
        <w:t>المعنى الثالث</w:t>
      </w:r>
      <w:bookmarkEnd w:id="2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الوصول إلى الحدّ الأعلى والمرتبة المنتهى</w:t>
      </w:r>
      <w:r>
        <w:rPr>
          <w:rStyle w:val="FootnoteAnchor"/>
          <w:rtl w:val="true"/>
        </w:rPr>
        <w:footnoteReference w:id="238"/>
      </w:r>
      <w:r>
        <w:rPr>
          <w:rFonts w:ascii="Amiri" w:hAnsi="Amiri" w:eastAsia="Amiri" w:cs="Amiri"/>
          <w:color w:val="111111"/>
          <w:sz w:val="28"/>
          <w:sz w:val="28"/>
          <w:szCs w:val="28"/>
          <w:rtl w:val="true"/>
          <w:lang w:bidi="ar-SA"/>
        </w:rPr>
        <w:t>،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أقصى المقصد والمنتهى، مكاناً كان أو زماناً، أو أمراً من الأمور المقدّرة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وقال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المكان، بلوغاً،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إليه </w:t>
      </w:r>
      <w:bookmarkStart w:id="234" w:name="pg9159_85001"/>
    </w:p>
    <w:p>
      <w:pPr>
        <w:pStyle w:val="BookText"/>
        <w:rPr/>
      </w:pPr>
      <w:bookmarkEnd w:id="234"/>
      <w:r>
        <w:rPr>
          <w:rFonts w:ascii="IRNazanin" w:hAnsi="IRNazanin" w:eastAsia="IRNazanin"/>
          <w:color w:val="111111"/>
          <w:sz w:val="28"/>
          <w:sz w:val="28"/>
          <w:szCs w:val="28"/>
          <w:rtl w:val="true"/>
          <w:lang w:bidi="fa-IR"/>
        </w:rPr>
        <w:t>وانتهى</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وفي الاستعمال القرآني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 أَنْفُسِهِنَّ بِالْمَعْرُوفِ وَاللَّهُ بِمَا تَعْمَلُونَ خَبِيرٌ</w:t>
      </w:r>
      <w:r>
        <w:rPr>
          <w:rStyle w:val="FootnoteAnchor"/>
          <w:rtl w:val="true"/>
        </w:rPr>
        <w:footnoteReference w:id="241"/>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المعنى الأوّل والثاني فيناسب الدخول في التاسعة، وأمّا المعنى الثالث فيناسب إكمال التاسعة والدخول في العاشرة، ومع الإجمال لا يمكن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الدليل الأوّل والثاني</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482721_2870459653"/>
      <w:bookmarkStart w:id="236" w:name="_Toc92"/>
      <w:bookmarkEnd w:id="235"/>
      <w:r>
        <w:rPr>
          <w:rtl w:val="true"/>
        </w:rPr>
        <w:t>التنبيه الثاني</w:t>
      </w:r>
      <w:bookmarkEnd w:id="236"/>
    </w:p>
    <w:p>
      <w:pPr>
        <w:pStyle w:val="BookText"/>
        <w:rPr/>
      </w:pPr>
      <w:r>
        <w:rPr>
          <w:rFonts w:ascii="Amiri" w:hAnsi="Amiri" w:eastAsia="Amiri" w:cs="Amiri"/>
          <w:color w:val="111111"/>
          <w:sz w:val="28"/>
          <w:sz w:val="28"/>
          <w:szCs w:val="28"/>
          <w:rtl w:val="true"/>
          <w:lang w:bidi="ar-SA"/>
        </w:rPr>
        <w:t>لا شكّ أنّ المراد من السنين هو السنين الهلالية كما عليه فقهاء الإسلام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3482723_2870459653"/>
      <w:bookmarkStart w:id="238" w:name="_Toc93"/>
      <w:bookmarkEnd w:id="237"/>
      <w:r>
        <w:rPr>
          <w:rtl w:val="true"/>
        </w:rPr>
        <w:t>التنبيه الثالث</w:t>
      </w:r>
      <w:bookmarkEnd w:id="238"/>
    </w:p>
    <w:p>
      <w:pPr>
        <w:pStyle w:val="Heading5"/>
        <w:numPr>
          <w:ilvl w:val="4"/>
          <w:numId w:val="1"/>
        </w:numPr>
        <w:rPr/>
      </w:pPr>
      <w:bookmarkStart w:id="239" w:name="__RefHeading___Toc3482725_2870459653"/>
      <w:bookmarkStart w:id="240" w:name="_Toc94"/>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التكليف على مَن بلغت تسع سنين هو جعل للتكليف على القاصر، وهو مخالف للقانون المدني ولحقوق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تنبيه المستشكل على أمور عديدة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482727_2870459653"/>
      <w:bookmarkStart w:id="242" w:name="_Toc95"/>
      <w:bookmarkEnd w:id="241"/>
      <w:r>
        <w:rPr>
          <w:rtl w:val="true"/>
        </w:rPr>
        <w:t>الأمر الأوَّل</w:t>
      </w:r>
      <w:bookmarkEnd w:id="24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القانون يجعل عقوبة قانونية بالحبس على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أتمّ السابعة من عمره ولم يتمّ الثامنة عشرة من عمره</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جناية أو جنحة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43" w:name="pg9159_85002"/>
    </w:p>
    <w:p>
      <w:pPr>
        <w:pStyle w:val="BookText"/>
        <w:rPr/>
      </w:pPr>
      <w:bookmarkEnd w:id="243"/>
      <w:r>
        <w:rPr>
          <w:rFonts w:ascii="Amiri" w:hAnsi="Amiri" w:eastAsia="Amiri" w:cs="Amiri"/>
          <w:color w:val="111111"/>
          <w:sz w:val="28"/>
          <w:sz w:val="28"/>
          <w:szCs w:val="28"/>
          <w:rtl w:val="true"/>
          <w:lang w:bidi="ar-SA"/>
        </w:rPr>
        <w:t>وليس ذلك إلّا لأنّ المشرّع القانوني يرى أنّ التمييز يبدأ من سنّ السابعة ثُمَّ يزداد بشكل تدريجي حتّى يصل إلى مرحلة الرشد</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482729_2870459653"/>
      <w:bookmarkStart w:id="245" w:name="_Toc96"/>
      <w:bookmarkEnd w:id="244"/>
      <w:r>
        <w:rPr>
          <w:rtl w:val="true"/>
        </w:rPr>
        <w:t>الأمر الثاني</w:t>
      </w:r>
      <w:bookmarkEnd w:id="245"/>
    </w:p>
    <w:p>
      <w:pPr>
        <w:pStyle w:val="BookText"/>
        <w:rPr/>
      </w:pPr>
      <w:r>
        <w:rPr>
          <w:rFonts w:ascii="Amiri" w:hAnsi="Amiri" w:eastAsia="Amiri" w:cs="Amiri"/>
          <w:color w:val="111111"/>
          <w:sz w:val="28"/>
          <w:sz w:val="28"/>
          <w:szCs w:val="28"/>
          <w:rtl w:val="true"/>
          <w:lang w:bidi="ar-SA"/>
        </w:rPr>
        <w:t>أنّ تكليف البالغ شرعاً مقيّد بعدم حصول الضرر والحرج، فكلّ حكم شرعي ضرري أو حرجي منفيّ، فلو كان الصوم أو الحجّ ضررياً أو حرجياً فهو منفيّ عن البالغ</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482731_2870459653"/>
      <w:bookmarkStart w:id="247" w:name="_Toc97"/>
      <w:bookmarkEnd w:id="246"/>
      <w:r>
        <w:rPr>
          <w:rtl w:val="true"/>
        </w:rPr>
        <w:t>الأمر الثالث</w:t>
      </w:r>
      <w:bookmarkEnd w:id="247"/>
    </w:p>
    <w:p>
      <w:pPr>
        <w:pStyle w:val="Heading6"/>
        <w:numPr>
          <w:ilvl w:val="5"/>
          <w:numId w:val="1"/>
        </w:numPr>
        <w:rPr/>
      </w:pPr>
      <w:bookmarkStart w:id="248" w:name="__RefHeading___Toc3482733_2870459653"/>
      <w:bookmarkStart w:id="249" w:name="_Toc98"/>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الّذي لعلّه هو منشأ الإشكال هو ما يعبّر عنه حسب القانون ومنظمة الصحّة العالمية بزواج القاصرات، وهذا يمكن الجواب عنه بعدّة أجوبة</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482735_2870459653"/>
      <w:bookmarkStart w:id="251" w:name="_Toc99"/>
      <w:bookmarkEnd w:id="250"/>
      <w:r>
        <w:rPr>
          <w:rtl w:val="true"/>
        </w:rPr>
        <w:t>الجواب الأوَّل</w:t>
      </w:r>
      <w:bookmarkEnd w:id="2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نقضي، وهو أنَّ أكثر دول العالم تسمح بالزواج المبكّر وفقاً لدراسة أجراها صندوق الأمم المتّحدة للسكان، ففي 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ذَكَرت دراسة أجريت في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بلداً أنّ ثمانية عشر عاماً هو الحدّ الأدنى للسنّ القانونية لزواج النساء دون موافقة الوالدين أو موافقة من السلطة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يسمح قانون الدولة أو القانون العرفي في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بلداً للفتيات الّلاتي تقلّ أعمارهن عن ثمانية عشر عاماً بالزواج بموافقة الوالدين أو السلطات الأُخر، وفي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بلداً يمكن للفتيات تحت سنّ خمسة عشر عاماً الزواج بموافقة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فإنَّ ثماني عشرة سنة هو السنّ القانوني للزواج دون موافقة بالنسبة للذكور في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بلداً يمكن للذكور دون هذا السنّ الزواج بموافقة أحد الوالدين أو السلطة المختصّة، وفي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يمكن للفتيان تحت سنّ خمس عشرة سنة الزواج بموافقة الوالدين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بالرغم من أنّ السنّ القانوني للزواج في معظم الدول هو ثمانية عشر عاماً، إلّا أنّ أغلب السلطات القضائية تسمح باستثناءات للشباب القاصر مع موافقة قضائية للآباء، ومثل تلك القوانين يتمّ سنّها أيضاً في الدول النامية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 الزواج في الولايات المتّحدة على عكس معظم الدول الغربية، ورغم تحديد الولايات الاثنين والثلاثين حدّاً أدنى منصوصاً عليه للزواج يتراوح ما بين أربعة عشر وثمانية عشر عاماً، لم تحدّد الولايات المتّحدة الأمريكية الثمانية عشر عاماً حدّاً أدنى قانونياً، إلّا إذا تمّ استيفاء شروط قانونية أُخر حيث يمكن للأفراد الّذين تصل أعمارهم ثماني عشرة سنة الزواج في الولايات الأمريكية باستثناء ولايتي نبراسكا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ومسيسيبي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تسمح جميع الولايات باستثناء ولايتي ديلاوير ونيوجيرسي للقاصرين بالزواج في ظروف معينة، بناءً على موافقة الوالدين أو الموافقة القضائية، أو الحمل، أو مزيج من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تسمح معظم الولايات للأفراد البالغين ستّ عشرة سنة وسبع عشرة سنة بالزواج بموافقة الوالدين فقط، كما يمكن في معظم الولايات زواج الأطفال تحت سنّ ستّة عشر عاماً أيضاً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غياب تشريع قانوني للحدّ الأدنى لسنّ الزواج، فإنّ عرف القانون العامّ حدّد الحدّ الأدنى التقليدي في هذه الولايات بأربع عشرة سنة للبنين واثنتي عشرة سنة للبنات، والّذي تمّ تأكيده من قبل السوابق القضائية في بعض الولايات</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52" w:name="pg9159_85004"/>
    </w:p>
    <w:p>
      <w:pPr>
        <w:pStyle w:val="Heading6"/>
        <w:numPr>
          <w:ilvl w:val="5"/>
          <w:numId w:val="1"/>
        </w:numPr>
        <w:rPr/>
      </w:pPr>
      <w:bookmarkStart w:id="253" w:name="__RefHeading___Toc3482737_2870459653"/>
      <w:bookmarkStart w:id="254" w:name="_Toc100"/>
      <w:bookmarkEnd w:id="252"/>
      <w:bookmarkEnd w:id="253"/>
      <w:r>
        <w:rPr>
          <w:rtl w:val="true"/>
        </w:rPr>
        <w:t>الجواب الثاني</w:t>
      </w:r>
      <w:bookmarkEnd w:id="254"/>
    </w:p>
    <w:p>
      <w:pPr>
        <w:pStyle w:val="BookText"/>
        <w:rPr/>
      </w:pPr>
      <w:r>
        <w:rPr>
          <w:rFonts w:ascii="Amiri" w:hAnsi="Amiri" w:eastAsia="Amiri" w:cs="Amiri"/>
          <w:color w:val="111111"/>
          <w:sz w:val="28"/>
          <w:sz w:val="28"/>
          <w:szCs w:val="28"/>
          <w:rtl w:val="true"/>
          <w:lang w:bidi="ar-SA"/>
        </w:rPr>
        <w:t xml:space="preserve">أنّ الديانات السماوية تسمح بالزواج المبكّر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الاختلاف في 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المسلمون فواضح، إذ هو محلّ اتّفاق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اليهود فالأب له أن يزوّج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البلوغ، بل حتّى قبل سنّ التمييز</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الذكر ثلاث عشرة سنة والأنثى اثنتي عشرة سنة ونصف تكون لهما الولاية على نفسيهما في التزويج عند اليهود الربّانيين، أمّا اليهود القرائين فالولاية تحصل للذكر والأنثى إذا حصلت علامات البلوغ الطبيعية الّتي تحصل بالتغيّرات الجسمانية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المسيحيون فالأب له أن يزوّج ولده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مميّزاً، ولو كان غير مميّز يقع الزواج باطلاً حتّى لو كان بموافقة ولي الصغير والصغيرة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وقع خلاف بينهم في سنّ ولاية الولد على نفسه بالتزويج بدون حاجة إلى رضا الولي، فذهب الكاثوليك إلى أنَّ هذه الولاية تكون عند سنّ ستّة عشر عاماً في الذكر وأربعة عشر عاماً في الأنثى، وذهب الإنجيليون إلى أنّها ثمانية عشر عاماً في الذكر وستّة عشر عاماً في الأنثى، وذهب الأرثوذكس إلى أنّها تكون في سنّ الواحد والعشرين في كليهما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 w:name="__RefHeading___Toc3482739_2870459653"/>
      <w:bookmarkStart w:id="256" w:name="_Toc101"/>
      <w:bookmarkEnd w:id="255"/>
      <w:r>
        <w:rPr>
          <w:rtl w:val="true"/>
        </w:rPr>
        <w:t>الجواب الثالث</w:t>
      </w:r>
      <w:bookmarkEnd w:id="256"/>
    </w:p>
    <w:p>
      <w:pPr>
        <w:pStyle w:val="Heading6"/>
        <w:numPr>
          <w:ilvl w:val="5"/>
          <w:numId w:val="1"/>
        </w:numPr>
        <w:rPr/>
      </w:pPr>
      <w:bookmarkStart w:id="257" w:name="__RefHeading___Toc3482741_2870459653"/>
      <w:bookmarkStart w:id="258" w:name="_Toc102"/>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انتفاء الدواعي والأسباب الّتي منعت من زواج القاصرات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منظمة الصحّة العالمية أسباباً عديدة للمنع من زواج القاصرات</w:t>
      </w:r>
      <w:r>
        <w:rPr>
          <w:rFonts w:eastAsia="Amiri" w:cs="Amiri" w:ascii="Amiri" w:hAnsi="Amiri"/>
          <w:color w:val="111111"/>
          <w:sz w:val="28"/>
          <w:szCs w:val="28"/>
          <w:rtl w:val="true"/>
          <w:lang w:bidi="ar-SA"/>
        </w:rPr>
        <w:t xml:space="preserve">: </w:t>
      </w:r>
      <w:bookmarkStart w:id="259" w:name="pg9159_85005"/>
    </w:p>
    <w:p>
      <w:pPr>
        <w:pStyle w:val="Heading6"/>
        <w:numPr>
          <w:ilvl w:val="5"/>
          <w:numId w:val="1"/>
        </w:numPr>
        <w:rPr/>
      </w:pPr>
      <w:bookmarkStart w:id="260" w:name="__RefHeading___Toc3482743_2870459653"/>
      <w:bookmarkStart w:id="261" w:name="_Toc103"/>
      <w:bookmarkEnd w:id="259"/>
      <w:bookmarkEnd w:id="260"/>
      <w:r>
        <w:rPr>
          <w:rtl w:val="true"/>
        </w:rPr>
        <w:t>السبب الأوَّل</w:t>
      </w:r>
      <w:bookmarkEnd w:id="261"/>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 الأطفال يجعل الفتيات أكثر عرضة بشكل كبير للمخاطر الصحّية الشديدة للحمل والولادة المبكّرين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لأطفالهن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فيكوننّ أكثر عرضة للمضاعفات المرتبطة بالمخاض الباكر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نسبة وفاة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صغيرة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الدول المتقدّمة تمثّل واحد بالمائة من معدلات وفيات الحوامل، وأنّ نسبة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وفيات الحوامل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صغيرة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 غير المتقدّمة بسبب ضعف الإمكانيات والموارد الطبّية والفقر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الشارع المقدّس لا يرضى بالضرر الّذي يقع على الفتيات، وهذا يختلف حسب جسم المرأة ووضعها الصحّي، ولا يحقّ للزوج إجبار زوجته على الإنجاب مع احتمال الضرر العقلائي</w:t>
      </w:r>
      <w:r>
        <w:rPr>
          <w:rStyle w:val="FootnoteAnchor"/>
          <w:rtl w:val="true"/>
        </w:rPr>
        <w:footnoteReference w:id="255"/>
      </w:r>
      <w:r>
        <w:rPr>
          <w:rFonts w:ascii="Amiri" w:hAnsi="Amiri" w:eastAsia="Amiri" w:cs="Amiri"/>
          <w:color w:val="111111"/>
          <w:sz w:val="28"/>
          <w:sz w:val="28"/>
          <w:szCs w:val="28"/>
          <w:rtl w:val="true"/>
          <w:lang w:bidi="ar-SA"/>
        </w:rPr>
        <w:t>، فلها أن تستخدم موانع الحمل، وما ذكرته منظمة الصحّة هو يبيِّن خطورة الولادة في سنين مبكّرة، وليس خطورة الزواج، فيمكن للإنسان أن يتزوّج بدون حصول حمل في السنين الأولى للزواج لو كان الحمل يشكّل خطراً على حياة الزوجة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نُقل في المقال نفسه في موقع منظمة الصحّة العالمية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مضاعفات الحمل والولادة هي السبب الرئيسي للوفاة بين الفتيات في الفئة العمرية خمس عشرة سنة إلى 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والفتيات اللائي يتزوّجن في وقت لاحق ويؤخرن الحمل إلى ما بعد سنّ المراهقة تتاح لهنّ فرصة أكبر للتمتّع بصحّة أوفر، وتحصيل تعليم أعلى، وبناء </w:t>
      </w:r>
      <w:bookmarkStart w:id="262" w:name="pg9159_85006"/>
    </w:p>
    <w:p>
      <w:pPr>
        <w:pStyle w:val="BookText"/>
        <w:rPr/>
      </w:pPr>
      <w:bookmarkEnd w:id="262"/>
      <w:r>
        <w:rPr>
          <w:rFonts w:ascii="Amiri" w:hAnsi="Amiri" w:eastAsia="Amiri" w:cs="Amiri"/>
          <w:color w:val="111111"/>
          <w:sz w:val="28"/>
          <w:sz w:val="28"/>
          <w:szCs w:val="28"/>
          <w:rtl w:val="true"/>
          <w:lang w:bidi="ar-SA"/>
        </w:rPr>
        <w:t>حياة أفضل لأنفسهنّ ولأسرهنّ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3482745_2870459653"/>
      <w:bookmarkStart w:id="264" w:name="_Toc104"/>
      <w:bookmarkEnd w:id="263"/>
      <w:r>
        <w:rPr>
          <w:rtl w:val="true"/>
        </w:rPr>
        <w:t>السبب الثاني</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الفتيات الصغيرات اللائي يتزوّجن قبل الثمانية عشر عاماً هنّ الأكثر عرضة للوقوع ضحايا لعنف الشريك الحميم مقارنة باللائي يتزوّجن في سنّ أكبر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ليس بسبب الزواج، بل بسبب قلّة الوعي، وثقافة العنف، والشارع المقدّس يحرّم العنف وضرب الزوجة، وهذا ممّا لا شكّ فيه</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3482747_2870459653"/>
      <w:bookmarkStart w:id="266" w:name="_Toc105"/>
      <w:bookmarkEnd w:id="265"/>
      <w:r>
        <w:rPr>
          <w:rtl w:val="true"/>
        </w:rPr>
        <w:t>السبب الثالث</w:t>
      </w:r>
      <w:bookmarkEnd w:id="266"/>
    </w:p>
    <w:p>
      <w:pPr>
        <w:pStyle w:val="BookText"/>
        <w:rPr/>
      </w:pPr>
      <w:r>
        <w:rPr>
          <w:rFonts w:ascii="Amiri" w:hAnsi="Amiri" w:eastAsia="Amiri" w:cs="Amiri"/>
          <w:color w:val="111111"/>
          <w:sz w:val="28"/>
          <w:sz w:val="28"/>
          <w:szCs w:val="28"/>
          <w:rtl w:val="true"/>
          <w:lang w:bidi="ar-SA"/>
        </w:rPr>
        <w:t>تأثير الزواج المبكّر على ترك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الزواج لا يؤثّر على التعليم، إذ يمكن للمرأة أن تتعلّم وتقرأ وتدرس وهي متزوّجة، ويمكن أن تشترط الزوجة أو وليها في العقد أن لا يمنعها الزوج من التعليم والدراسة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المقدّس لا يوجب الزواج أو التزويج على البنت البالغة تسعاً أو أزيد، وإنّما يترك الأمر للمرأة ووليها بما يريانه من المصلحة، فللأب أن لا يزوّج ابنته لظروف يراها مناسبة كما لو كانت بُنيتها الجسدية ضعيفة، أو يراها غير قادرة على تحمّل مسؤولية الزواج وتكوين أسرة في مثل هذا السنّ، وكذلك المرأة هي أيضاً لها حقّ عدم القبول بالزواج، إذ لا زواج إلّا برضاها، إذن فهناك فسحة في التشريع وهو يوافق العقل والفطرة</w:t>
      </w:r>
      <w:r>
        <w:rPr>
          <w:rFonts w:eastAsia="Amiri" w:cs="Amiri" w:ascii="Amiri" w:hAnsi="Amiri"/>
          <w:color w:val="111111"/>
          <w:sz w:val="28"/>
          <w:szCs w:val="28"/>
          <w:rtl w:val="true"/>
          <w:lang w:bidi="ar-SA"/>
        </w:rPr>
        <w:t xml:space="preserve">. </w:t>
      </w:r>
      <w:bookmarkStart w:id="267" w:name="pg9159_85007"/>
    </w:p>
    <w:p>
      <w:pPr>
        <w:pStyle w:val="Heading3"/>
        <w:numPr>
          <w:ilvl w:val="2"/>
          <w:numId w:val="1"/>
        </w:numPr>
        <w:rPr/>
      </w:pPr>
      <w:bookmarkStart w:id="268" w:name="__RefHeading___Toc3482749_2870459653"/>
      <w:bookmarkStart w:id="269" w:name="_Toc106"/>
      <w:bookmarkEnd w:id="267"/>
      <w:bookmarkEnd w:id="268"/>
      <w:r>
        <w:rPr>
          <w:rtl w:val="true"/>
        </w:rPr>
        <w:t>المحور الرابع</w:t>
      </w:r>
      <w:r>
        <w:rPr>
          <w:rtl w:val="true"/>
        </w:rPr>
        <w:t xml:space="preserve">: </w:t>
      </w:r>
      <w:r>
        <w:rPr>
          <w:rtl w:val="true"/>
        </w:rPr>
        <w:t>نتائج البحث</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السائد والمشهور لدى الإمامية هو بلوغ الأنثى بسنّ التاسعة، ولم يخالف إلّا الشيخ في المبسوط، وابن حمزة في الوسيلة والفيض الكاشاني وبعض المعاصرين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أدلّة البلوغ بسنّ التاسعة تعارض موثّقة عمّار الساباطي الدالّة على البلوغ بسنّ ثلاث عشرة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جمع عرفي بين الروايات، ولكن تتقدّم أدلّة البلوغ بتسع سنين بسبب المرجّحات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روايات علامية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روايات البلوغ بتسع سنين، ولكن تتقدّم الثانية على الأولى بسبب المرجّحات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البلوغ يحصل بإكمال تسع سنين هلاليّة، ولا يكفي الدخول في سنّ التاسعة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w:t>
      </w:r>
      <w:bookmarkStart w:id="270" w:name="pg9159_85008"/>
    </w:p>
    <w:p>
      <w:pPr>
        <w:pStyle w:val="Heading3"/>
        <w:numPr>
          <w:ilvl w:val="2"/>
          <w:numId w:val="1"/>
        </w:numPr>
        <w:rPr/>
      </w:pPr>
      <w:bookmarkStart w:id="271" w:name="__RefHeading___Toc3482751_2870459653"/>
      <w:bookmarkStart w:id="272" w:name="_Toc107"/>
      <w:bookmarkEnd w:id="270"/>
      <w:bookmarkEnd w:id="271"/>
      <w:r>
        <w:rPr>
          <w:rtl w:val="true"/>
        </w:rPr>
        <w:t>مصادر البحث</w:t>
      </w:r>
      <w:bookmarkEnd w:id="27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علم الرجال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الشيخ مسلم الداوري، بقلم الشيخ محمّد عليّ صالح المعلّم،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المحبّين للطباعة والنشر،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علاء الدين أبو بكر بن مسعود الكاساني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حقيقته علامته وأحكامه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 مطبوع مع رسالة في تأثير الزمان والمكان على استنباط الأحكام،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محمّد بن محمّد بن عبد الرزاق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كلمات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المصطفوي،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الكتاب للترجمة والنشر،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منصور الحسن بن يوسف بن المطهّر الأسدي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لإحياء التراث،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مقنعة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فرهنك سبز،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قم، ط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الإيرواني والسيّد عبد الرزاق المقرّم،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ابن بابويه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مطبعة مؤسّسة النشر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طهران،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المحتار على الدرّ المختار شرح تنوير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أمين الشهير بابن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المولى محمّد تقي المجلسي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الكرماني، السيّد فضل الله الطباطبائي، الشيخ عليّ بناه اشتهاردي،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كوشانبور،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 في بيان أحكام الشرع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بهره مند، الشيخ محسن قديري، الشيخ كريم الأنصاري، الشيخ عليّ مرواريد،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منصور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متاعب المرأة الشهرية وطرق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الأطباء </w:t>
      </w:r>
    </w:p>
    <w:p>
      <w:pPr>
        <w:pStyle w:val="BookText"/>
        <w:rPr/>
      </w:pPr>
      <w:r>
        <w:rPr>
          <w:rFonts w:ascii="Amiri" w:hAnsi="Amiri" w:eastAsia="Amiri" w:cs="Amiri"/>
          <w:color w:val="111111"/>
          <w:sz w:val="28"/>
          <w:sz w:val="28"/>
          <w:szCs w:val="28"/>
          <w:rtl w:val="true"/>
          <w:lang w:bidi="ar-SA"/>
        </w:rPr>
        <w:t>الاختصاصيين،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الدولية للنشر والتوزيع،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فدك، ط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وجواب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الشفتي،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التحقيقات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 ودواء كلام العرب من 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نشوان بن سعيد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المعاصر،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 المحشّاة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محسني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 الأيّام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بن محمّد حسن الشفتي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التبليغات الإسلامية للحوزة العلمية، في 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حمزة بن عليّ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زهرة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الفتاوى الواضحة وفقاً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الشهيد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الحسيني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ومسائل 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آصف محسني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بن أحمد بن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سماحة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السيستاني،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السيّد محمّد رضا السيستاني، جمعها ونظمها السيّد محمّد البكّاء، دار المؤرّخ العربي،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آثار الإمام الخميني،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بن عيسى الأشعري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فارس صاحب الجوائب،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دار صادر،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الاجتهاد والتجديد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 تصدر من مركز الدراسات الفقهية المعاصرة في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الثالث،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الحادي والثلاثين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محيي الدين أبو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الحسن بن يوسف بن المطهّر الأسدي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الأحكام في شرح عبادات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الشيخ محمّد تقي المجلسي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رسولي،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في النجف الأشرف،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غلام عرفانيان اليزدي،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الظلام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أكمل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المجدِّد الوحيد البهبهاني،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الطباطبائي الحكيم،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الثقافة الإسلامية،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فارس بن زكريا القزويني الرازي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 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الدعاية الإسلامية للحوزة العلمية في 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على مختصر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موفق الدين أبو محمّد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محمّد بن مرتضى بن محمود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الشامية،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في فهم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تقي المجلسي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ابن بابويه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المجاهد الطباطبائي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المؤرّخ العربي،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الموسوي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إعداد مؤسّسة سيّد الشهداء،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لأبحاث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العربية العالمية،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أعمال الموسوعة للنشر والتوزيع،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الزواج في الشرائع 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الدكتور محمّد شكري سرور، الأستاذ في جامعة القاهرة، دار الفكر العربي،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مرتضى بن محمود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p>
    <w:p>
      <w:pPr>
        <w:pStyle w:val="BookText"/>
        <w:rPr/>
      </w:pP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الطوسي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المواقع الإلكترونية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منظمة الصحّة العالمية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ويكيبيديا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الحرّة</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9159_85019"/>
      <w:bookmarkStart w:id="274" w:name="pg9159_85019"/>
      <w:bookmarkEnd w:id="274"/>
    </w:p>
    <w:p>
      <w:pPr>
        <w:pStyle w:val="Heading2"/>
        <w:numPr>
          <w:ilvl w:val="1"/>
          <w:numId w:val="1"/>
        </w:numPr>
        <w:rPr/>
      </w:pPr>
      <w:bookmarkStart w:id="275" w:name="pg9159_85019"/>
      <w:bookmarkStart w:id="276" w:name="__RefHeading___Toc3482753_2870459653"/>
      <w:bookmarkStart w:id="277" w:name="_Toc108"/>
      <w:bookmarkEnd w:id="275"/>
      <w:bookmarkEnd w:id="276"/>
      <w:r>
        <w:rPr>
          <w:rtl w:val="true"/>
        </w:rPr>
        <w:t xml:space="preserve">استثناء الواقف المنافع لنفسه </w:t>
      </w:r>
      <w:r>
        <w:rPr>
          <w:rtl w:val="true"/>
        </w:rPr>
        <w:t>(</w:t>
      </w:r>
      <w:r>
        <w:rPr>
          <w:rtl w:val="true"/>
        </w:rPr>
        <w:t>الحلقة الثانیة</w:t>
      </w:r>
      <w:r>
        <w:rPr>
          <w:rtl w:val="true"/>
        </w:rPr>
        <w:t xml:space="preserve">) - </w:t>
      </w:r>
      <w:r>
        <w:rPr>
          <w:rtl w:val="true"/>
        </w:rPr>
        <w:t xml:space="preserve">الشّيخ أمجد رياض </w:t>
      </w:r>
      <w:r>
        <w:rPr>
          <w:rtl w:val="true"/>
        </w:rPr>
        <w:t>(</w:t>
      </w:r>
      <w:r>
        <w:rPr>
          <w:rtl w:val="true"/>
        </w:rPr>
        <w:t>دام عزه</w:t>
      </w:r>
      <w:r>
        <w:rPr>
          <w:rtl w:val="true"/>
        </w:rPr>
        <w:t>)</w:t>
      </w:r>
      <w:bookmarkEnd w:id="277"/>
    </w:p>
    <w:p>
      <w:pPr>
        <w:pStyle w:val="Heading3"/>
        <w:numPr>
          <w:ilvl w:val="2"/>
          <w:numId w:val="1"/>
        </w:numPr>
        <w:rPr/>
      </w:pPr>
      <w:bookmarkStart w:id="278" w:name="__RefHeading___Toc3482755_2870459653"/>
      <w:bookmarkStart w:id="279" w:name="_Toc109"/>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إنّ من المؤمنين من يريد أن يقف بعض أملاكه ولكن لا يرغب أن يستغني عن منافعه في حياته، فلديه رغبة شديدة في أن يكون له صدقة جارية تبقى له ذخراً لآخرته، ولكن يريد أن ينتفع بما يروم وقفه طوال حياته أو في جزء منها، هل يجوز ذلك أو 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سنتناول البحث عنه من جميع جوانبه، بدءاً بتاريخ الوقف وحقيقته، والأقوال في هذه المسألة بالخصوص، ثمّ نستعرض الأدلّة والمناقشة فيها، وخاتمة في الحدود المتعلّقة بهذه المسألة</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9159_85021"/>
      <w:bookmarkStart w:id="281" w:name="pg9159_85021"/>
      <w:bookmarkEnd w:id="281"/>
    </w:p>
    <w:p>
      <w:pPr>
        <w:pStyle w:val="BookText"/>
        <w:rPr/>
      </w:pPr>
      <w:bookmarkStart w:id="282" w:name="pg9159_85021"/>
      <w:bookmarkEnd w:id="282"/>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تعرّضنا في الحلقة السّابقة لأدلّة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استثناء منافع الوقف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 الكلام إلى أدلّة القول الثاني، فنقول</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482757_2870459653"/>
      <w:bookmarkStart w:id="284" w:name="_Toc110"/>
      <w:bookmarkEnd w:id="283"/>
      <w:r>
        <w:rPr>
          <w:rtl w:val="true"/>
        </w:rPr>
        <w:t>ما يستدلّ به على عدم صحّة الوقف مع استثناء الواقف للمنفعة</w:t>
      </w:r>
      <w:bookmarkEnd w:id="284"/>
    </w:p>
    <w:p>
      <w:pPr>
        <w:pStyle w:val="Heading4"/>
        <w:numPr>
          <w:ilvl w:val="3"/>
          <w:numId w:val="1"/>
        </w:numPr>
        <w:rPr/>
      </w:pPr>
      <w:bookmarkStart w:id="285" w:name="__RefHeading___Toc3482759_2870459653"/>
      <w:bookmarkStart w:id="286" w:name="_Toc111"/>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وأمّا ما يستدلّ به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صحّة الوقف مع استثناء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المقام من قبيل الوقف على النفس وهو ممنوع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اقتضاء الوقف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عليّ بن سليمان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طلحة بن 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الوجه الأوّل فقد عوّل جمع عليه، ولعلّ 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 بأنّه إذا لم يجعل الواقف نفسه من ضمن الموقوف عليهم فهو ليس من الوقف على النفس في شيء وإن اشترط استثناء بعض المنافع لنفسه، بل هو إخراج لتلك المنافع من دائرة الوقف، فكيف يكون من الوقف على النفس؟</w:t>
      </w:r>
    </w:p>
    <w:p>
      <w:pPr>
        <w:pStyle w:val="BookText"/>
        <w:rPr/>
      </w:pPr>
      <w:r>
        <w:rPr>
          <w:rFonts w:ascii="Amiri" w:hAnsi="Amiri" w:eastAsia="Amiri" w:cs="Amiri"/>
          <w:color w:val="111111"/>
          <w:sz w:val="28"/>
          <w:sz w:val="28"/>
          <w:szCs w:val="28"/>
          <w:rtl w:val="true"/>
          <w:lang w:bidi="ar-SA"/>
        </w:rPr>
        <w:t>وسيأتي بعض الكلام في الوقف على النفس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قد استدلّوا بقاعدة أنّ الوقف يقتضي نقل الملك والمنافع عن نفسه، فإذا شرط بقاء المنافع لنفسه أو نحوه فقد اشترط ما ينافي مقتضى الوقف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الأصحاب اشتراط إخراج الوقف عن نفسه بحيث لا يبقى له استحقاق فيه من حيث إنّ الوقف يقتضي نقل الملك والمنافع عن نفسه، فإذا شرط الواقف قضاء ديونه أو إدرار مؤنته أو نحو ذلك فقد شرط ما ينافي مقتضاه، فيبطل الشرط والوقف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يشترط قضاء دين معيّن وعدمه، ولا بين اشتراط إدرار مؤنته مدّة معيّنة ومدّة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شرط الانتفاع به مدّة حياته أو مدّة معلومة، وسواء قدّر ما يؤخذ منه أو أطلقه، لوجود المقتضي في الجميع</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اتّفاق الأصحاب على عدم انتفاع الواقف من الوقف، بل عبّر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قطع الأصحاب كما في المسالك، </w:t>
      </w:r>
    </w:p>
    <w:p>
      <w:pPr>
        <w:pStyle w:val="BookText"/>
        <w:rPr/>
      </w:pPr>
      <w:r>
        <w:rPr>
          <w:rFonts w:ascii="Amiri" w:hAnsi="Amiri" w:eastAsia="Amiri" w:cs="Amiri"/>
          <w:color w:val="111111"/>
          <w:sz w:val="28"/>
          <w:sz w:val="28"/>
          <w:szCs w:val="28"/>
          <w:rtl w:val="true"/>
          <w:lang w:bidi="ar-SA"/>
        </w:rPr>
        <w:t>مؤذناً بدعوى الإجماع عليه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أن يناقش في ما ذكروه من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لم يثبت الإجماع على ذلك، ولو ثبت فلن يكون حجّة بنفسه بعد أن لم يكن كاشفاً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ولا كاشفاً عن موقف الأصحاب في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كذلك فيقتصر فيه على القدر المتيقّن، وهو مورد الوقف على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منافاة بين الوقف وبين اشتراط استثناء بعض المنافع أو كلّها للواقف لمدّة معيّنة أو غير معيّنة بعد ما تقدّم من أنّ الوقف ليس إلّا تحبيس الأصل أو تحريره، فإنّ نفس الوقف لا يقتضي نقل المنافع كما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لو قيل بأنّ الوقف هو تحبيس الأصل وتسبيل المنفعة فإنّه لا يقتضي نقل تمام المنفعة، فهو نظير البيع مع استثناء المنافع لمدّة معيّنة، حيث إنّ البيع ليس إلّا النقل والانتقال، وأمّا المنافع فهي من اللوازم التي تثبت للمبيع في حال الإطلاق وعدم الاستثناء والاشتراط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غرابة في حصول الوقف من دون منافع لمدّة من الزمن كما في محلّ كلامنا، ونظيره وقف العين التي ليست لها منافع فعلية، كوقف الشجرة قبل أن تثمر أو الدابّة الصغيرة قبل أن تقوى للركوب أو الحمل عليها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بل يكفي الانتفاع المتوقّع كالفلو والعبد الصغيرين، والزمن الذي يرجى زوال زمانته ونحو ذلك، ولم نجد مخالفاً ولا متأمّلاً في ذلك</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ولا يوجد خلاف </w:t>
      </w:r>
    </w:p>
    <w:p>
      <w:pPr>
        <w:pStyle w:val="BookText"/>
        <w:rPr/>
      </w:pPr>
      <w:r>
        <w:rPr>
          <w:rFonts w:ascii="Amiri" w:hAnsi="Amiri" w:eastAsia="Amiri" w:cs="Amiri"/>
          <w:color w:val="111111"/>
          <w:sz w:val="28"/>
          <w:sz w:val="28"/>
          <w:szCs w:val="28"/>
          <w:rtl w:val="true"/>
          <w:lang w:bidi="ar-SA"/>
        </w:rPr>
        <w:t>عند المتأخّرين في ذلك</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الوقف مع الاستثناء المذكور ينافي إطلاق الوقف، وهذا لا محذور فيه بعد أن لم يطلق الواقف، فإطلاق الوقف يقتضي تسبيل تمام المنفعة، فاشتراط الواقف استثناء المنافع لا ينافي مقتضى الوقف وإن كان ينافي مقتضى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إذا كان الوقف على خصوص غيره وكان الشرط سبباً لبقاء مقدار أداء ديونه من المنفعة على ملكه فلم يعلم منافاته لمقتضاه بذاته؛ لقوّة احتمال أن يكون الوقف إنّما كان مقتضياً لذلك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على هذا لا يكون منافياً إلّا لمقتضى إطلاقه أيضاً، وإنّ اشتراط ذلك على جهة الاستثناء له من التسبيل الذي قصده بالوقف لا ينافي ما هو قضيته؛ ضرورة أنّه تعلّق حينئذٍ بغير ما شرطه لنفسه من المنفعة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اشتراط ذلك ينافي إلّا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أنّ تملّك الموقوف عليه تمام المنفعة إنّما هو قضية إطلاقه لا قضيته بذاته، فليس تسبيل تمام الثمرة من قوامه ولا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لتوهّم لزوم إخراج النفس عن الثمرة بالمرّة كالعين الموقوفة إلّا لزوم تسبيل كلّها ابتداءً أو بتبع وقف العين، وقد عرفت عدم لزومه أصلاً، وإنّه لازم إطلاق الوقف لا قضية ذاته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لا منافاة بين القاعدة المذكورة وبين اشتراط الانتفاع، وإنّما المنافاة بين إطلاق الوقف وبين الاشتراط، وهذا لا محذور فيه بعد أن لم يكن الواقف يريد هذا الإطلاق، أي أنّ مفهوم الوقف ليس إلّا حبس العين وتسبيل الثمرة، والواقف إنّما أنشأ هذا المفهوم، وهو أعمّ من أن يكون مشروطاً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 الوقف يقتضي تسبيل تمام المنفعة، فاشتراط الواقف لا ينافي مقتضى الوقف وإن كان ينافي مقتضى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فمحلّ الكلام خارج عن مقتضى هذه القاعدة كما 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عليه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القاعدة أنّ الوقف المطلق التامّ من غير اشتراط يقتضي قطع العلقة بين الواقف وبين الموقوف، وأمّا محلّ كلامنا فهو الوقف الذي تستثنى منه بعض منافعه، فيكون محلّ القاعدة في خصوص ما لم يستثن من الوقف، وأمّا ما استثني فلم يقع تحت ما وقف أصلاً ليكون محلَّاً لجريان القاعدة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استثنى في ضمن إجراء الصيغة من منافع الوقف مقدار مؤنته ما دام حيّاً أو استثنى نحو ذلك ممّا يعود إليه نفعه، فالظاهر عدم الإشكال فيه؛ إذ على هذا يكون خارجاً عن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الواقف بالعين الموقوفة على الفقراء أو غيرهم بنحو الاستثناء ليس وقفاً على نفسه، ولا انتفاعاً بالوقف بما هو 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الكلام في ما لو شكّ في منافاة الشرط لمقتضى الوقف، فراجع</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وقد ذكر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أن يجعل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القاعدة لاستثناء الواقف المنافع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 للنصّ، والعلّة الحقيقية إنّما هي النصّ، وهذا الكلام ممّا يصلح توجيهاً له وبياناً للحكمة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ظاهر عبارة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المنع هو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عدل أستاذنا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الاستدلال بالقاعدة المذكورة إلى الاستدلال بالنصوص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مقتضى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أكلت منها لم تنفذ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لظهور أنّه يصدق الأكل ممّا تصدّق به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 المذكور هو ما رواه الكليني</w:t>
      </w:r>
      <w:r>
        <w:rPr>
          <w:rStyle w:val="FootnoteAnchor"/>
          <w:rtl w:val="true"/>
        </w:rPr>
        <w:footnoteReference w:id="269"/>
      </w:r>
      <w:r>
        <w:rPr>
          <w:rFonts w:ascii="IRNazanin" w:hAnsi="IRNazanin" w:eastAsia="IRNazanin"/>
          <w:color w:val="111111"/>
          <w:sz w:val="28"/>
          <w:sz w:val="28"/>
          <w:szCs w:val="28"/>
          <w:rtl w:val="true"/>
          <w:lang w:bidi="fa-IR"/>
        </w:rPr>
        <w:t>عن محمّد بن جعفر الرزّاز، عن محمّد بن عيسى، عن عليّ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ليس لي ولد ولي ضياع ورثتها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وبعضها استفدتها، ولا آمن الحدثان، فإن لم يكن لي ولد وحدث بي حدث فما ترى 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على فقراء إخواني والمستضعفين، أو أبيعها وأتصدّق بثمنها في حياتي عليهم؟ فإنّي أتخوّف أن لا ينفذ الوقف بعد موتي، فإن أوقفتها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حياتي فلي أن آكل منها أيّام حياتي أم لا؟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فهمت </w:t>
      </w:r>
      <w:bookmarkStart w:id="287" w:name="pg9159_85027"/>
    </w:p>
    <w:p>
      <w:pPr>
        <w:pStyle w:val="BookText"/>
        <w:rPr/>
      </w:pPr>
      <w:bookmarkEnd w:id="287"/>
      <w:r>
        <w:rPr>
          <w:rFonts w:ascii="Amiri" w:hAnsi="Amiri" w:eastAsia="Amiri" w:cs="Amiri"/>
          <w:color w:val="111111"/>
          <w:sz w:val="28"/>
          <w:sz w:val="28"/>
          <w:szCs w:val="28"/>
          <w:rtl w:val="true"/>
          <w:lang w:bidi="ar-SA"/>
        </w:rPr>
        <w:t xml:space="preserve">كتابك في أمر ضياعك،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الصدقة، فإن أنت أكلت منها لم ينفذ</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لك ورثة فبع وتصدّق ببعض ثمنها في حياتك،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أمسكت لنفسك ما يقوتك مثل ما صنع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ورواها الصدوق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 عن العبيدي، عن عليّ بن سليمان ابن رشيد</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الشيخ</w:t>
      </w:r>
      <w:r>
        <w:rPr>
          <w:rStyle w:val="FootnoteAnchor"/>
          <w:rtl w:val="true"/>
        </w:rPr>
        <w:footnoteReference w:id="272"/>
      </w:r>
      <w:r>
        <w:rPr>
          <w:rFonts w:ascii="Amiri" w:hAnsi="Amiri" w:eastAsia="Amiri" w:cs="Amiri"/>
          <w:color w:val="111111"/>
          <w:sz w:val="28"/>
          <w:sz w:val="28"/>
          <w:szCs w:val="28"/>
          <w:rtl w:val="true"/>
          <w:lang w:bidi="ar-SA"/>
        </w:rPr>
        <w:t>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بها في الجملة</w:t>
      </w:r>
      <w:r>
        <w:rPr>
          <w:rStyle w:val="FootnoteAnchor"/>
          <w:rtl w:val="true"/>
        </w:rPr>
        <w:footnoteReference w:id="273"/>
      </w:r>
      <w:r>
        <w:rPr>
          <w:rFonts w:ascii="Amiri" w:hAnsi="Amiri" w:eastAsia="Amiri" w:cs="Amiri"/>
          <w:color w:val="111111"/>
          <w:sz w:val="28"/>
          <w:sz w:val="28"/>
          <w:szCs w:val="28"/>
          <w:rtl w:val="true"/>
          <w:lang w:bidi="ar-SA"/>
        </w:rPr>
        <w:t>، وذلك في مقطعين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أكلت منها لم ينفذ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تصدّقت أمسكت لنفسك ما يقوتك مثل ما صنع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المقطع الأوّل ففيه تقريبان</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482761_2870459653"/>
      <w:bookmarkStart w:id="289" w:name="_Toc112"/>
      <w:bookmarkEnd w:id="288"/>
      <w:r>
        <w:rPr>
          <w:rtl w:val="true"/>
        </w:rPr>
        <w:t>التقريب الأوّل</w:t>
      </w:r>
      <w:bookmarkEnd w:id="2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الاول</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بإطلاقه على عدم جواز استثناء المنافع لنفسه، إذ يصدق على استثناء المنافع أنّه أكل ممّا تصدّق به، كما لو وقف على نفسه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الفرق بينهما ممّا يغفل عنه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الواقف في محلّ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استثناء بعض المنافع أو كلّها 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 تصدّق بالأصل فهي صدقة، وعندما يستثني المنافع منها فهو يأكل ممّا تصدّق به، ولا فرق في ذلك بين أن يتصدّق بالأصل والمنفعة أو يتصدّق بخصوص الأصل ويستثني المنفعة، إذ الأكل من الصدقة يشمل أكل المنفعة المستثناة من الأصل الذي تصدّق به، أو الأكل من المنفعة المتصدّق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يقوّي هذا الإطلاق والشمول لصورة استثناء المنافع أنّه يغفل عرفاً عن الفرق بين الوقف على النفس وبين استثناء المنافع، إذ لا فرق يظهر عرفاً بينهما في حياة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غير واحد</w:t>
      </w:r>
      <w:r>
        <w:rPr>
          <w:rStyle w:val="FootnoteAnchor"/>
          <w:rtl w:val="true"/>
        </w:rPr>
        <w:footnoteReference w:id="275"/>
      </w:r>
      <w:r>
        <w:rPr>
          <w:rFonts w:ascii="Amiri" w:hAnsi="Amiri" w:eastAsia="Amiri" w:cs="Amiri"/>
          <w:color w:val="111111"/>
          <w:sz w:val="28"/>
          <w:sz w:val="28"/>
          <w:szCs w:val="28"/>
          <w:rtl w:val="true"/>
          <w:lang w:bidi="ar-SA"/>
        </w:rPr>
        <w:t>عن الاستدلال بهذا المقطع بأنّه لا يشمل محلّ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المنساق من سؤال عليّ بن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أوقفتها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حياتي فلي أن آكل منها أيّام حياتي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مورده خصوص ما إذا أوقف ضياعه من دون أن يتعرّض لاستثناء منافعها لنفسه أيّام حياته، فيسأل هل له في هذه الحالة أن يأكل من واردها ما دام حيّاً أو لا؟ وعلى هذا لا يستفاد من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ذلك في صورة استثناء المنافع كما هو محلّ الكلام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بصدد بيان عدم صحّة انتفاع المالك ممّا يتصدّق به أو يوقفه، لأنّه ليس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محلّ الكلام فهو في خصوص الانتفاع من المنفعة الباقية على ملكه دون أصل العين التي هي موقوفة، فلا محلّ للاستناد إلى الرواية في ما نحن فيه</w:t>
      </w:r>
      <w:r>
        <w:rPr>
          <w:rFonts w:eastAsia="IRNazanin" w:cs="IRNazanin"/>
          <w:color w:val="111111"/>
          <w:sz w:val="28"/>
          <w:szCs w:val="28"/>
          <w:rtl w:val="true"/>
          <w:lang w:bidi="fa-IR"/>
        </w:rPr>
        <w:t xml:space="preserve">. </w:t>
      </w:r>
      <w:bookmarkStart w:id="290" w:name="pg9159_85029"/>
    </w:p>
    <w:p>
      <w:pPr>
        <w:pStyle w:val="BookText"/>
        <w:rPr/>
      </w:pPr>
      <w:bookmarkEnd w:id="290"/>
      <w:r>
        <w:rPr>
          <w:rFonts w:ascii="IRNazanin" w:hAnsi="IRNazanin" w:eastAsia="IRNazanin"/>
          <w:color w:val="111111"/>
          <w:sz w:val="28"/>
          <w:sz w:val="28"/>
          <w:szCs w:val="28"/>
          <w:rtl w:val="true"/>
          <w:lang w:bidi="fa-IR"/>
        </w:rPr>
        <w:t xml:space="preserve">وممّا يؤيّد عدم شمول الرواية لمحلّ الكلام تعبيره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المقصود به بوضوح هو عدم صحّة الوقف، وانتفاعه ممّا أوقفه لا يؤدّي بطبيعة الحال إلى عدم صحّة وقفه، بل إلى حرمة تصرّفه ذلك، وأقصى ما يترتّب عليه هو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كان المراد من الأكل هو الكناية عن تضمين صيغة الوقف ما يؤدّي إلى الأكل من قبيل الوقف على النفس أو استثناء المنافع فإنّه يمكن أن يوجّه القول بعدم نفوذه، ولكن 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منها لم تنفذ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وقفت على نفسك أو استثنيت المنافع لم يصحّ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بُعد ذلك وحاجته إلى القرينة، وهي مفقودة في المقام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3482763_2870459653"/>
      <w:bookmarkStart w:id="292" w:name="_Toc113"/>
      <w:bookmarkEnd w:id="291"/>
      <w:r>
        <w:rPr>
          <w:rtl w:val="true"/>
        </w:rPr>
        <w:t>التقريب الثاني</w:t>
      </w:r>
      <w:bookmarkEnd w:id="292"/>
    </w:p>
    <w:p>
      <w:pPr>
        <w:pStyle w:val="BookText"/>
        <w:rPr/>
      </w:pPr>
      <w:r>
        <w:rPr>
          <w:rFonts w:ascii="IRNazanin" w:hAnsi="IRNazanin" w:eastAsia="IRNazanin"/>
          <w:color w:val="111111"/>
          <w:sz w:val="28"/>
          <w:sz w:val="28"/>
          <w:szCs w:val="28"/>
          <w:rtl w:val="true"/>
          <w:lang w:bidi="fa-IR"/>
        </w:rPr>
        <w:t xml:space="preserve">ما ذكره أستاذنا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أكلت منها لم تنفذ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مجرّد الأكل بعد تمامية الوقف، فإنّ ذلك لا يوجب بطلان الوقف بعد صحّته، غاية الأمر أنّه يوجب حرمة الأكل تكليفاً لمخالفته لمقتضى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ابتناء الوقف على أكل الواقف منه بحيث يؤخذ ذلك عند إنشاء الوقف؛ إمّا لاختصاص الوقف بالواقف، أو قصد العموم له مع غيره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يلاحظ عليه أنّ 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بُعده عن ظاهر المكاتبة بل كونه تأويلاً بلا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إذ إنّ مجرّد ابتناء الوقف على أكل الواقف منه بحيث يؤخذ ذلك عند الإنشاء ممّا لا يوجب بطلان الوقف، كما إذا أوقف حسينية </w:t>
      </w:r>
    </w:p>
    <w:p>
      <w:pPr>
        <w:pStyle w:val="BookText"/>
        <w:rPr/>
      </w:pPr>
      <w:r>
        <w:rPr>
          <w:rFonts w:ascii="Amiri" w:hAnsi="Amiri" w:eastAsia="Amiri" w:cs="Amiri"/>
          <w:color w:val="111111"/>
          <w:sz w:val="28"/>
          <w:sz w:val="28"/>
          <w:szCs w:val="28"/>
          <w:rtl w:val="true"/>
          <w:lang w:bidi="ar-SA"/>
        </w:rPr>
        <w:t>لأهالي بلده في كربلاء، ولاحظ حين الوقف أن يكون هو من ضمن من يسكنون الحسينية ويستفيدون منها في أيّام الزيارة، أو أوقف مكتبة عامّة في مدينته قاصداً حين الوقف أن يكون هو ممّن يدخل المكتبة ويستفيد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ابتناء الوقف على أكل الواقف من وارده واستفادته منه لا يوجب البطلان، بل ما يوجبه هو الوقف على النفس، وكما لا يصدق ذلك في المثالين المذكورين لا يصدق فيما إذا استثنى المنافع لنفسه مدّة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احتمل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أنّ المقصود بأنّه لم تنفذ لأجل عدم القبض، فالأكل منها يشهد على عدم قبضها، فتكون أجنبية عن مقامنا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ذكره أقرب ممّا ورد في التقريب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لك 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عدم الورثة يمكنه أن يأكل منها ويوصي بوقف ما يبقى بعد وفاته، فإنّه يمضي بناءً على القول بأنّه إذا كان الوارث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ينفذ في الكلّ، أو مطلقاً؛ إذ الوارث حينئذٍ هو الإمام وقد أنفذ</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الوجه بعيد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المقطع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تصدّقت أمسكت لنفسك ما يقوتك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استدلّ أستاذنا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 في انحصار الجمع بين الغرضين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بماله ووقفه بإبقاء بعض ضياعه على ملكه يتقوّت به، ووقف الباقي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حمل الفقرة المذكورة على ما يعمّ إمساك بعض منافع العين الموقوفة للواقف واستثنائها من الوقف غريبة جدّاً، إذ هي كالصريحة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إمساك بعض الضياع وعدم وقفها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بالدعوى المذكورة صاحب الجواهر وصاحب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 قال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تصدّقت أمسكت لنفسك ما يقوتك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وقف وأراد أن يأكل منه مدّة حياته فليجعل في ضمن إجراء الصيغة شيئاً منه ليقوّت به، وحينئذٍ فيدلّ على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أيّد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بعنوان الباب في الوسائل، حيث قال</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إن شرط الوقف إخراج الواقف له عن نفسه فلا يجوز أن يقف على نفسه ولا أن يأكل من وقفه، وله أن يستثني لنفسه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ردّ هذه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عرفاً من الإمساك هو إبقاء بعض الضياع وعدم التصدّق بها، وحمله على التصدّق بالضياع وإبقاء بعض المنافع خلاف الظاهر، ولو أريد التعميم لذلك لنبّه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هذا المعنى لا يخطر في ذهن غالب الناس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المراد من الإمساك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تبقى على ملكيتك ما يقوتك ويكفي لقوتك، وتوقف البقية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ولكن قد يقال في توجيه دعوى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مانع من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عدم التصدّق ببعض الضياع وبقاؤها على ملكه، وصورة التصدّق بالضياع والإمساك ببعض منافعها له؛ إذ الإمساك كما يستعمل في إبقاء الأعيان كذلك يستعمل في إبقاء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استثناء المنافع وإن كان بعيداً عن أذهان الناس في زماننا ولكنّه لا يعلم أنّه كان كذلك عند صدور النصّ خصوصاً وأنّ المسألة مطروحة في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ممّا تقدّم نقله عن فقهاء الجمهور، فليراجع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مثل ما صنع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مجمل، فهل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بعض ما له من ضياع وترك الباقي ليقتات به؟ وهو فيما لو استفيد من الرواية أنّ هذا ما أراده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لعليّ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يقال إنّه أراد بذلك ما ذكره في وصيّته من استثناء بعض المنافع لنفقة بعض مواليه وأهاليهم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مع أنّ الرواية المبحوث عنها في المقام غير معتبرة سنداً؛ لعدم وثاقة عليّ ابن سليمان 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بنى على اعتبارها صريحاً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وأستاذنا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استناداً إلى وثاقة عليّ بن سليمان، لرواية محمّد بن أحمد بن يحيى عنه من غير استثناء القمّيين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 على كبرى أنّ عدم استثناء القمّيين ممّن يروي عنهم محمّد بن أحمد بن </w:t>
      </w:r>
    </w:p>
    <w:p>
      <w:pPr>
        <w:pStyle w:val="BookText"/>
        <w:rPr/>
      </w:pPr>
      <w:r>
        <w:rPr>
          <w:rFonts w:ascii="Amiri" w:hAnsi="Amiri" w:eastAsia="Amiri" w:cs="Amiri"/>
          <w:color w:val="111111"/>
          <w:sz w:val="28"/>
          <w:sz w:val="28"/>
          <w:szCs w:val="28"/>
          <w:rtl w:val="true"/>
          <w:lang w:bidi="ar-SA"/>
        </w:rPr>
        <w:t xml:space="preserve">يحيى يدلّ على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دلالة تامّة على الوثاقة أو جزء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والمحدّث النوري، والمحقّق السبزواري، وصاحب الجواهر،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 رجل محمّد بن أحمد بن يحيى ولم يكن من جملة من استثنوه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أمارة الاعتماد عليه، بل وربّما يكون أمارة لوثاقته على ما يشير إليه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كونه أمارة لاعتماد غير واحد من المحقّقين مثل الفاضل الخراساني وغيره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هذه الكبرى ما ذكره النجاشي في ترجمة محمّد بن أحمد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الحديث إلّا 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 ويعتمد المراسيل ولا يبالي عمّن أخذ، وما عليه في نفسه مطعن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الحسن بن الوليد يستثني من رواية محمّد بن أحمد بن يحيى ما رواه عن محمّد بن موسى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العبّاس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شيخنا أبو جعفر محمّد بن الحسن بن الوليد في ذلك كلّه، وتبعه أبو جعفر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في محمّد بن عيسى</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الشيخ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يحيى بن عمران الأشعري القمّي، جليل القدر كثير الرواية له كتاب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فيها من غلوّ أو تخليط، وهو الذي يكون طريقه محمّد بن موسى الهمداني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والقمّيون جروا على ذلك أيضاً، فكانوا يردّون رواية من استثني منهم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الغضائري في ترجمة أحمد بن محمّد بن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استثنى شيوخ القمّيين روايته من كتاب نوادر الحكمة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وفي ترجمة محمّد بن موسى بن عيسى السمّان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القمّيون فيه بالردّ فأكثروا، واستثنوا من كتاب نوادر الحكمة ما رواه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وفي ترجمة محمّد بن أحمد الجاموراني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القمّيون واستثنوا من كتاب نوادر الحكمة ما رواه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وفي ترجمة يوسف بن السخت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مرتفِع القول، استثناه القمّيون من نوادر الحكمة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فاستفاد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كلّ من استثنى القمّيون روايته ممّن روى عنه محمّد بن أحمد بن يحيى هو من الضعفاء، وكلّ من لم يستثن فهو من الثقاة، في حين خالف آخرون في كلا الشقين، فلا يدلّ الاستثناء على الضعف، ولا عدم الاستثناء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دلالة الاستثناء على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ابن صاحب المعالم، والكرباسي،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سبب الاستثناء ليس دائماً هو الضعف بل هناك عدّة أسباب، منها الغلوّ والتخليط والإرسال والجهالة عند المستثني والتوقّف بشأنه، ومن المعلوم أنّه قد يختلف في أنحاء الغلوّ والتخليط فقد يؤدّي بعضه إلى الضعف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معرفة الراوي فقد تحرز عند بعضهم دون غيرهم، فلذا خالف جمع فوثّقوا من تمّ استثنائهم كمحمّد بن عيسى اليقطيني، وكذا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عدم الاستثناء فإنّه لا يدلّ على الوثاقة بعد أن كان سبب الاستثناء ما تقدّم، إذ أقصى ما يدلّ عليه أنّه من لم يستثنهم لم يثبت لدى المستثني وجود هذه الأسباب فيهم، فلم يثبت لديهم أنّهم غلاة أو مخلّطين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إنّما هو لروايات هؤلاء بعد أن لم تثبت صحّتها لدى ابن الوليد ومن تابعه، وأمّا ضعف أو وثاقة الرواة فليس كذلك؛ فإنّه لا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صحّة الرواية وعدم صحّتها وبين وثاقة الراوي وضعفه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اعتماد ابن الوليد أو غيره من الأعلام المتقدّمين </w:t>
      </w:r>
    </w:p>
    <w:p>
      <w:pPr>
        <w:pStyle w:val="BookText"/>
        <w:rPr/>
      </w:pPr>
      <w:r>
        <w:rPr>
          <w:rFonts w:ascii="Amiri" w:hAnsi="Amiri" w:eastAsia="Amiri" w:cs="Amiri"/>
          <w:color w:val="111111"/>
          <w:sz w:val="28"/>
          <w:sz w:val="28"/>
          <w:szCs w:val="28"/>
          <w:rtl w:val="true"/>
          <w:lang w:bidi="ar-SA"/>
        </w:rPr>
        <w:t>فضلاً عن المتأخّرين على رواية شخص والحكم بصحّتها لا يكشف عن وثاقة الراوي أو حسنه؛ وذلك لاحتمال أنّ الحاكم بالصحّة يعتمد على أصالة العدالة، ويرى حجّية كلّ رواية يرويها مؤمن لم يظهر منه فسق، وهذا لا يفيد من يعتبر وثاقة الراوي أو حسنه في حجّية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تصحيح ابن الوليد وأضرابه من القدماء الذين قد يصرّحون بصحّة رواية ما، أو يعتمدون عليها من دون تعرّض لوثاقة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الصدوق فهو يتبع شيخه في التصحيح وعدمه كما صرّح هو نفسه بذلك</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خالف في ذلك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فبنى على دلالة الاستثناء على الضعف، علماً أنّه بنى على أنّ عدم الاستثناء لا يدلّ على الوثاقة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في الشقّ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الشكّ في أنّ المستفاد من كلام ابن الوليد هو ضعف من استثنيت رواياتهم من رجال نوادر الحكمة، ولذلك عقّب عليه ابن نوح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أصاب شيخنا أبو جعفر محمّد بن الحسن بن الوليد في ذلك كلّه، وتبعه أبو جعفر ابن بابويه إلّا في محمّد بن عيسى بن عبيد، فلا أدري ما رابه فيه لأنّه كان على ظاهر العدالة والثقة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استغرابه من استثناء ما رواه محمّد بن عيسى لأنّه كان على ظاهر العدالة والوثاقة دليل قاطع على أنّه فهم من كلامه الطعن في وثاقة المذكورين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فهمه الآخرون كالنجاشي الذي وافق ابن نوح على كلامه المتقدّم، ومثله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المناقشة في أصل دلالة الاستثناء على </w:t>
      </w:r>
    </w:p>
    <w:p>
      <w:pPr>
        <w:pStyle w:val="BookText"/>
        <w:rPr/>
      </w:pPr>
      <w:r>
        <w:rPr>
          <w:rFonts w:ascii="Amiri" w:hAnsi="Amiri" w:eastAsia="Amiri" w:cs="Amiri"/>
          <w:color w:val="111111"/>
          <w:sz w:val="28"/>
          <w:sz w:val="28"/>
          <w:szCs w:val="28"/>
          <w:rtl w:val="true"/>
          <w:lang w:bidi="ar-SA"/>
        </w:rPr>
        <w:t>ضعف من استثنيت رواياتهم ممّا رواه محمّد بن أحمد بن يحيى</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الشقّ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الاستثناء يدلّ على الضعف، وأمّا عدم الاستثناء فلا يدلّ على الوثاقة، أقصى الأمر عدم ثبوت ضعف غير المستثنين عند ابن الوليد ومن وافقه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يناقش في ما ذكره في الشقّ الأوّل بأنّ ما ذكروه من 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يرويه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ولم أروه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يناسب أن يكون المراد هو استثناء الروايات لما هو أعمّ من الضعف، بل يكفي وجود خلل في سندها بما تقدّم من خلط أو إرسال أو ضعف الرواة أو نحو ذلك، وليس الأمر محصوراً في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يستفاد التضعيف في خصوص الاستثناء في حال الانفراد كما في اللؤلؤي ومحمّد بن عيسى على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ابن نوح فمؤدّاه هو أنّ الأسباب التي تمّ الاستثناء بلحاظها تامّة إلّا في خصوص العبيدي، ومن الواضح أنّه استفاد التضعيف في شأن العبيدي، فهل الأمر كذلك بالنسبة لغيره، أو لخصوصية ما ذكره ابن الوليد في ما استثناه من روايات العبيدي؟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اختلف ما استثناه ابن الوليد من روايات العبيدي بحسب نقل الشيخ والنجاشي، فالأوّل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منقطع ينفرد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استفاد منه التضعيف لمكان </w:t>
      </w:r>
    </w:p>
    <w:p>
      <w:pPr>
        <w:pStyle w:val="BookText"/>
        <w:rPr/>
      </w:pPr>
      <w:r>
        <w:rPr>
          <w:rFonts w:ascii="Amiri" w:hAnsi="Amiri" w:eastAsia="Amiri" w:cs="Amiri"/>
          <w:color w:val="111111"/>
          <w:sz w:val="28"/>
          <w:sz w:val="28"/>
          <w:szCs w:val="28"/>
          <w:rtl w:val="true"/>
          <w:lang w:bidi="ar-SA"/>
        </w:rPr>
        <w:t xml:space="preserve">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ذكر خصوص الإسناد المنقطع، والمراد به هو عدم الاتّصال في سلسلة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فهم ابن نوح من استثناء ابن الوليد إشارة إلى ضعفه،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أعرف ما الذي أوجب الريبة في حديثه بعد أن كان على ظاهر العدالة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عبارة ابن نوح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أدري ما 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فيها دلالة على التضعيف، لأنّه مجرّد تساؤل عن رأي ابن الوليد في العبيدي مع شهادته هو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ابن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كلام ابن نوح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أدري ما 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لم يعلم من الاستثناء إرادة الضعف</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يقتضي أنّ ابن نوح فهم من الاستثناء التضعيف،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نوح ظنّ كما ظنّ الشيخ، واحتمال غير الضعف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كلام ابن نوح لا يقتضي فهم القدح فيه بالتضعيف، بل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يدري وجه الاستثناء، مع أنّ محمّد بن عيسى على ظاهر العدالة، وإن كانت العبارة من ابن نوح تعطي الاحتمال</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يكاد يستفاد من عبارته تضعيف كلّ من استثناه ابن الوليد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الجواب عن الاستدلال بعدم الاستثناء على الوثاقة، فإنّه حتّى </w:t>
      </w:r>
    </w:p>
    <w:p>
      <w:pPr>
        <w:pStyle w:val="BookText"/>
        <w:rPr/>
      </w:pPr>
      <w:r>
        <w:rPr>
          <w:rFonts w:ascii="Amiri" w:hAnsi="Amiri" w:eastAsia="Amiri" w:cs="Amiri"/>
          <w:color w:val="111111"/>
          <w:sz w:val="28"/>
          <w:sz w:val="28"/>
          <w:szCs w:val="28"/>
          <w:rtl w:val="true"/>
          <w:lang w:bidi="ar-SA"/>
        </w:rPr>
        <w:t>لو قيل بأنّ الاستثناء يدلّ على ضعف المستثنى إلّا أنّه أقصى ما يدلّ عليه عدم الاستثناء هو عدم ثبوت الضعف، فضلاً عمّا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الاستثناء لا يدلّ على الضعف بل على وجود خلل في رواياتهم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وقد استدلّ غير واحد</w:t>
      </w:r>
      <w:r>
        <w:rPr>
          <w:rStyle w:val="FootnoteAnchor"/>
          <w:rtl w:val="true"/>
        </w:rPr>
        <w:footnoteReference w:id="299"/>
      </w:r>
      <w:r>
        <w:rPr>
          <w:rFonts w:ascii="IRNazanin" w:hAnsi="IRNazanin" w:eastAsia="IRNazanin"/>
          <w:color w:val="111111"/>
          <w:sz w:val="28"/>
          <w:sz w:val="28"/>
          <w:szCs w:val="28"/>
          <w:rtl w:val="true"/>
          <w:lang w:bidi="fa-IR"/>
        </w:rPr>
        <w:t xml:space="preserve">أيضاً على عدم جواز استثناء الواقف المنافع لنفسه بما رواه الشيخ عن عليّ بن الحسن بن فضّال، عن عمرو بن عثمان، عن عبد الله بن المغيرة، عن طلحة بن زيد، عن أبي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تصدّق بدار له وهو ساكن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الحين أخرج منها</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بتقريب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 الوقف صحيحاً أمره بالخروج من الدار مباشرة، وأنّه لا يجوز أن ينتفع بها بأيّ وجه من وجوه الانتفاع، ولو كان يجوز استثناء الواقف المنافع لنفسه لكان ينبغي أن يستفصل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استثناها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يشكل الاستدلال بهذه الرواية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 سندها،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وثاقة عليّ بن محمّد بن الزبير الذي وقع في طريق الشيخ إلى عليّ بن الحسن بن فضّال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وثاقة طلحة بن 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تصدّى للجواب عن ذلك مفصّلاً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بما يفي بالإجابة عن ذلك، وملخّصه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طلحة بن زيد فيمكن البناء على وثاقته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كتابه بأنّه معتمد، وهذا لا يكون عادة إلّا مع كون صاحب الكتاب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بن يحيى عنه، وصفوان أحد الثلاثة الذين ثبت أنّهم لا يروون ولا يرسلون إلّا عن ثقة كما تعرّض له في بحث مفصّل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بالنسبة إلى عليّ بن محمّد بن الزبير فيمكن الاستغناء عن اعتبار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لشهرة كتب ابن فضّال وكثرة نسخها وتداولها في عصر الشيخ كما تدلّ عليه الشواهد، فهي كالكتب الأربعة في زماننا هذا، وإنّما يحتاج إلى اعتبار السند في خصوص الكتب غير المشهورة لا التي يكثر تداولها ففي مثلها يستغنى عن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يمكن البناء على اعتبار ما رواه الشيخ عن ابن فضّال بلحاظ طريق آخر معتبر</w:t>
      </w:r>
      <w:r>
        <w:rPr>
          <w:rStyle w:val="FootnoteAnchor"/>
          <w:rtl w:val="true"/>
        </w:rPr>
        <w:footnoteReference w:id="303"/>
      </w:r>
      <w:r>
        <w:rPr>
          <w:rFonts w:ascii="Amiri" w:hAnsi="Amiri" w:eastAsia="Amiri" w:cs="Amiri"/>
          <w:color w:val="111111"/>
          <w:sz w:val="28"/>
          <w:sz w:val="28"/>
          <w:szCs w:val="28"/>
          <w:rtl w:val="true"/>
          <w:lang w:bidi="ar-SA"/>
        </w:rPr>
        <w:t>اعتمده في ما أسنده في بداية كتاب التهذيب إلى ابن فضّال، وهذا الطريق يصلح أن يكون طريقاً إلى ما ابتدأ به من روايات ابن فضّال في بقية أبواب التهذيب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 الاطمئنان بوثاقة عليّ بن محمّد بن الزبير من إطباق علماء الجرح </w:t>
      </w:r>
      <w:bookmarkStart w:id="293" w:name="pg9159_85041"/>
    </w:p>
    <w:p>
      <w:pPr>
        <w:pStyle w:val="BookText"/>
        <w:rPr/>
      </w:pPr>
      <w:bookmarkEnd w:id="293"/>
      <w:r>
        <w:rPr>
          <w:rFonts w:ascii="Amiri" w:hAnsi="Amiri" w:eastAsia="Amiri" w:cs="Amiri"/>
          <w:color w:val="111111"/>
          <w:sz w:val="28"/>
          <w:sz w:val="28"/>
          <w:szCs w:val="28"/>
          <w:rtl w:val="true"/>
          <w:lang w:bidi="ar-SA"/>
        </w:rPr>
        <w:t>والتعديل من الجمهور على توثيقه، واعتماد علمائنا على روايته في نقل أصولنا ومصنّفاتنا، فإنّ هذين الأمرين يورثان الظنّ القويّ بل الاطمئنان بأنّه كان جليل القدر معتمداً عليه في رواية الكتب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في هذه الرواية على ما وقع محلَّاً للخلاف في مقامنا، إذ أقصى ما تدلّ عليه الرواية هو صحّة ما تصدّق به الرجل، ولزوم خروج الواقف من الدار بعد وقفها، وهو ممّا لا خلاف فيه، إذ لا يجوز لغير الموقوف عليهم أن ينتفعوا من الوقف، ولم يثبت أنّه استثنى بعض المنافع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عدم استفصال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التصدّق ينصرف إلى التصدّق عيناً ومنفعة إلّا إذا ثبت خلافه، ولم يثبت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البناء على صحّة استثناء الواقف المنافع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التعرّض لأمرين</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482765_2870459653"/>
      <w:bookmarkStart w:id="295" w:name="_Toc114"/>
      <w:bookmarkEnd w:id="294"/>
      <w:r>
        <w:rPr>
          <w:rtl w:val="true"/>
        </w:rPr>
        <w:t>الأمر الأوّل</w:t>
      </w:r>
      <w:r>
        <w:rPr>
          <w:rtl w:val="true"/>
        </w:rPr>
        <w:t xml:space="preserve">: </w:t>
      </w:r>
      <w:r>
        <w:rPr>
          <w:rtl w:val="true"/>
        </w:rPr>
        <w:t>في حدود المسألة</w:t>
      </w:r>
      <w:bookmarkEnd w:id="295"/>
    </w:p>
    <w:p>
      <w:pPr>
        <w:pStyle w:val="Heading5"/>
        <w:numPr>
          <w:ilvl w:val="4"/>
          <w:numId w:val="1"/>
        </w:numPr>
        <w:rPr/>
      </w:pPr>
      <w:bookmarkStart w:id="296" w:name="__RefHeading___Toc3482767_2870459653"/>
      <w:bookmarkStart w:id="297" w:name="_Toc115"/>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وهي ضربان</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482769_2870459653"/>
      <w:bookmarkStart w:id="299" w:name="_Toc116"/>
      <w:bookmarkEnd w:id="298"/>
      <w:r>
        <w:rPr>
          <w:rtl w:val="true"/>
        </w:rPr>
        <w:t>الضرب الأوّل</w:t>
      </w:r>
      <w:r>
        <w:rPr>
          <w:rtl w:val="true"/>
        </w:rPr>
        <w:t xml:space="preserve">: </w:t>
      </w:r>
      <w:r>
        <w:rPr>
          <w:rtl w:val="true"/>
        </w:rPr>
        <w:t>بعض ما يتفرّع على القول بالجواز</w:t>
      </w:r>
      <w:bookmarkEnd w:id="2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السيّد البجنوردي</w:t>
      </w:r>
      <w:r>
        <w:rPr>
          <w:rStyle w:val="FootnoteAnchor"/>
          <w:rtl w:val="true"/>
        </w:rPr>
        <w:footnoteReference w:id="304"/>
      </w:r>
      <w:r>
        <w:rPr>
          <w:rFonts w:ascii="Amiri" w:hAnsi="Amiri" w:eastAsia="Amiri" w:cs="Amiri"/>
          <w:color w:val="111111"/>
          <w:sz w:val="28"/>
          <w:sz w:val="28"/>
          <w:szCs w:val="28"/>
          <w:rtl w:val="true"/>
          <w:lang w:bidi="ar-SA"/>
        </w:rPr>
        <w:t xml:space="preserve">بين اشتراط بقاء المنفعة وبين استثنائها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مقداراً من منافع العين الموقوفة أو من نفس العين لنفسه فالظاهر أنّه ليس من الوقف على النفس، بل هو إخراج عن أصل الوقف، فيرجع إلى أنّه لم يقف تمام هذه العين أو لم يسبّل تمام منافعه، فلا إشكال فيه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إن شرط إدرار مؤنته </w:t>
      </w:r>
    </w:p>
    <w:p>
      <w:pPr>
        <w:pStyle w:val="BookText"/>
        <w:rPr/>
      </w:pPr>
      <w:r>
        <w:rPr>
          <w:rFonts w:ascii="Amiri" w:hAnsi="Amiri" w:eastAsia="Amiri" w:cs="Amiri"/>
          <w:color w:val="111111"/>
          <w:sz w:val="28"/>
          <w:sz w:val="28"/>
          <w:szCs w:val="28"/>
          <w:rtl w:val="true"/>
          <w:lang w:bidi="ar-SA"/>
        </w:rPr>
        <w:t xml:space="preserve">أو أداء ديونه من منافع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وقفاً على النفس، من جهة أنّ المراد من الوقف على النفس هو أن يرجع تمام الثمرة والمنفعة أو بعضها إلى الواقف وما نحن فيه كذلك، فيكون هذا الشرط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محلّ تأمّل بل منع؛ فإنّ ما استدلّ به على عدم الصحّة إنّما هو الوقف على النفس ومؤدّاه هو عود المنفعة للواقف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إن كان عود المنفعة بالاستثناء أو باشتراط بقاء المنفعة، إذ في كليهما يكون الأصل موقوفاً وتعود منفعة هذا الموقوف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بعدم عودها في الاستثناء لأنّه لم يقفها أصلاً فكذلك الحال في اشتراط بقاء المنفعة إذ هو لم يقفها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وجه لما ذكره؛ إذ قد تقدّم ما يفي بصحّة الشرط أو الاستثناء، وليس هو من الوقف على النفس في شيء، بل هو من الوقف على الغير والمنفعة المستثناة أو التي اشترط بقاؤها إنّما هي باقية على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وغيره من صحّة الوقف فيما إذا وقف على جيرانه واشترط عليهم نفقة أهله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بدعوى عدم تعلّق الشرط بالواقف، ومجرّد كون المذكورين من شأن الواقف الإنفاق عليهم لا يمنع من الوقف عليهم فضلاً عن اشتراط الإنفاق عليهم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يمكن التأمّل في ما ذكره وفق ما اعتمد عليه في تفسير مكاتبة عليّ بن </w:t>
      </w:r>
    </w:p>
    <w:p>
      <w:pPr>
        <w:pStyle w:val="BookText"/>
        <w:rPr/>
      </w:pPr>
      <w:r>
        <w:rPr>
          <w:rFonts w:ascii="Amiri" w:hAnsi="Amiri" w:eastAsia="Amiri" w:cs="Amiri"/>
          <w:color w:val="111111"/>
          <w:sz w:val="28"/>
          <w:sz w:val="28"/>
          <w:szCs w:val="28"/>
          <w:rtl w:val="true"/>
          <w:lang w:bidi="ar-SA"/>
        </w:rPr>
        <w:t xml:space="preserve">سليمان، حيث إنّه عمّم ما ذكر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إذا اشترط على الموقوف عليهم وفاء ديونه من مالهم أو اشترط عليهم وفاء ديونه من وارد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اشتراط وفاء ديون الواقف من مال الموقوف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التأمّل في مكاتبة عليّ بن سليمان يشهد بالمنع من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يناسب ذلك عدم خصوصية الأكل منها، بل تعذّر الجمع بين الغرضين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حاجته ووقفها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كان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عدم صحّة اشتراط وفاء الديون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الاستدلال له بصدق كونه قد أكل ممّا تصدّق به الذي تضمّنت المكاتبة مانعيته من نفوذ الصدقة، ومجرّد كونه بتوسّط الموقوف عليه لا يمنع من ذلك</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أمكن تعميم الأكل لما إذا لم يكن من وارد الوقف مباشرة بل بعد دخوله في ملك الموقوف عليهم أو من سائر أموالهم فلماذا لا يعمّم الأكل لما إذا لم يكن من قبل الواقف بشخصه بل من قِبل مَن هم في كفالته وعيلولته؟ فإنّ حاجتهم تعدّ حاجة له من وجه آخر، فإذا كانت المكاتبة بصدد المنع من الجمع بين الغرضين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حاجته ووقف 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كان، فينبغي أن يبني على عدم صحّة الوقف على الغير إذا اشترط عليه تأمين نفقة من هم واجبو النفقة عليه من زوجته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هذا بما إذا جعل ضياعه وقفاً على زوجته وأولاده كما هو واضح</w:t>
      </w:r>
      <w:r>
        <w:rPr>
          <w:rFonts w:eastAsia="Amiri" w:cs="Amiri" w:ascii="Amiri" w:hAnsi="Amiri"/>
          <w:color w:val="111111"/>
          <w:sz w:val="28"/>
          <w:szCs w:val="28"/>
          <w:rtl w:val="true"/>
          <w:lang w:bidi="ar-SA"/>
        </w:rPr>
        <w:t xml:space="preserve">. </w:t>
      </w:r>
      <w:bookmarkStart w:id="300" w:name="pg9159_85044"/>
    </w:p>
    <w:p>
      <w:pPr>
        <w:pStyle w:val="BookText"/>
        <w:rPr/>
      </w:pPr>
      <w:bookmarkEnd w:id="300"/>
      <w:r>
        <w:rPr>
          <w:rFonts w:ascii="Amiri" w:hAnsi="Amiri" w:eastAsia="Amiri" w:cs="Amiri"/>
          <w:color w:val="111111"/>
          <w:sz w:val="28"/>
          <w:sz w:val="28"/>
          <w:szCs w:val="28"/>
          <w:rtl w:val="true"/>
          <w:lang w:bidi="ar-SA"/>
        </w:rPr>
        <w:t>نعم، هذا البيان لا يأتي فيما إذا اشترط على الموقوف عليه نفقة غير واجبي النفقة عليه، كما إذا اشترط أن ينفق على زوجته وولده بعد وفاته،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مرامه بما تقدّم من إنفاق النبيّ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ضيوفه ممّا أوقفه لكان أولى، ولكنّه لم ينبّه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فمكاتبة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 لها بالمقام بعد ما تقدّم من كون المراد هو عدم اجتماع الأكل منها مع وقفها، ومحلّ الكلام هو استثناء المنفعة من الوقف لتبقى على ملك الواقف</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482771_2870459653"/>
      <w:bookmarkStart w:id="302" w:name="_Toc117"/>
      <w:bookmarkEnd w:id="301"/>
      <w:r>
        <w:rPr>
          <w:rtl w:val="true"/>
        </w:rPr>
        <w:t>الضرب الثاني</w:t>
      </w:r>
      <w:r>
        <w:rPr>
          <w:rtl w:val="true"/>
        </w:rPr>
        <w:t xml:space="preserve">: </w:t>
      </w:r>
      <w:r>
        <w:rPr>
          <w:rtl w:val="true"/>
        </w:rPr>
        <w:t>بعض ما يتفرّع على القول بعدم الجواز</w:t>
      </w:r>
      <w:bookmarkEnd w:id="30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ممّا تقدّم أنّ القائلين بعدم صحّة اشتراط بقاء المنافع على ملك الواقف إنّما يقولون ببطلان الوقف والشرط معاً، ولكن الأمر يختلف باختلاف مباني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الدليل على عدم صحّة هذا الشرط هو مكاتبة عليّ بن سليمان لمكان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أنّه يقتضي بطلان الوقف، لظهوره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كان الدليل هو مخالفة الشرط لمقتضى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الحديث في مقتضى القاعدة في استتباع فساد الشرط لفساد المشروط بشكل عامّ،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فساد الشرط المنافي لمقتضى العقد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فساد الشرط بشكل عامّ فقد فصّل في ذلك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الشرط الفاسد الجهالة فيفسد العقد، وكذا لو كان الاشتراط موجباً لمحذور آخر في أصل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الإشكال في ما كان فساده لا لأمر مخلّ بالعقد، فهل يكون مجرّد فساد الشرط موجباً لفساد العقد أو يبقى العقد على الصحّة؟ وذكر أنّه هناك قولان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استتباع فساد الشرط لفساد العقد، وهو المحكيّ عن الشيخ والإسكافي وابن البرّاج وابن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استتباعه لذلك وهو ما ذهب إليه العلّامة والشهيدان والمحقّق الثاني وجماعة ممّن 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بعد ذلك قولين بالتفصيل، فظاهر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التفصيل بين الشرط الغير المقدور وبين غيره من الشروط الفاسدة، فادّعى في الأوّل عدم الخلاف في الفساد والإفساد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إلى ابن المتوّج البحراني التفصيل بين الفاسد لأجل عدم تعلّق غرض مقصود للعقلاء به فلا يوجب فساد العقد كأكل طعام بعينه أو لبس ثوب كذلك،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عدّة وجوه للقول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بالعقد هو المجموع من العقد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العقد مجرّداً عن الشرط غير مقصود، فيكون باطلاً؛ لأنّ العقود تابعة للقصود، فما كان مقصوداً غير صحيح وما كان صحيحاً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الشكّ في صحّة العقد تجري الأصول النافية من قبيل أصالة عدم النقل والانتقال وغيرها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ذكرت عدّة وجوه للقول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وعموم لزوم الوفاء بالعقود ونحوه، وبعض النصوص الخاصّة الواردة في النكاح وغيره، ولزوم </w:t>
      </w:r>
    </w:p>
    <w:p>
      <w:pPr>
        <w:pStyle w:val="BookText"/>
        <w:rPr/>
      </w:pPr>
      <w:r>
        <w:rPr>
          <w:rFonts w:ascii="Amiri" w:hAnsi="Amiri" w:eastAsia="Amiri" w:cs="Amiri"/>
          <w:color w:val="111111"/>
          <w:sz w:val="28"/>
          <w:sz w:val="28"/>
          <w:szCs w:val="28"/>
          <w:rtl w:val="true"/>
          <w:lang w:bidi="ar-SA"/>
        </w:rPr>
        <w:t>الدور؛ لأنّ لزوم الشرط وصحّته فرع صحّة البيع، فلو كانت صحّة البيع موقوفة على صحّة الشرط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وقع محلَّاً للنقاش والاختلاف</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فساد الشرط لمخالفته لمقتضى العقد بالخصوص فقد صرّح جمع ببطلان العقد، منهم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كان مخالفاً لذات العقد</w:t>
      </w:r>
      <w:r>
        <w:rPr>
          <w:rStyle w:val="FootnoteAnchor"/>
          <w:rtl w:val="true"/>
        </w:rPr>
        <w:footnoteReference w:id="311"/>
      </w:r>
      <w:r>
        <w:rPr>
          <w:rFonts w:ascii="Amiri" w:hAnsi="Amiri" w:eastAsia="Amiri" w:cs="Amiri"/>
          <w:color w:val="111111"/>
          <w:sz w:val="28"/>
          <w:sz w:val="28"/>
          <w:szCs w:val="28"/>
          <w:rtl w:val="true"/>
          <w:lang w:bidi="ar-SA"/>
        </w:rPr>
        <w:t xml:space="preserve">، ومنهم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ذكروا عدّة وجوه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المخالف لمقتضى العقد يرجع إلى عدم قصد 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الشرط يستلزم عدم المشروط لفرض التنافي، وعدم المشروط يستلزم عدم الشرط؛ لأنّه التزام ضمني، وما يلزم من وجوده عدمه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العقد والشرط ملزوم لوجوب الوفاء، وحيث إنّ الوفاء بالمتنافيين مستحيل فيستحيل إيجابه، فلا بدّ من الحكم بتساقطهما، وعدم وجوب الوفاء بهما لعدم المرجّح للعقد على الشرط، إلّا إذا قيل بأنّ العقد مقصود بالذات والشرط تابع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يحصل التعارض بين عمومات الوفاء بالشرط وأدلّة صحّة هذا </w:t>
      </w:r>
      <w:bookmarkStart w:id="303" w:name="pg9159_85047"/>
    </w:p>
    <w:p>
      <w:pPr>
        <w:pStyle w:val="BookText"/>
        <w:rPr/>
      </w:pPr>
      <w:bookmarkEnd w:id="303"/>
      <w:r>
        <w:rPr>
          <w:rFonts w:ascii="Amiri" w:hAnsi="Amiri" w:eastAsia="Amiri" w:cs="Amiri"/>
          <w:color w:val="111111"/>
          <w:sz w:val="28"/>
          <w:sz w:val="28"/>
          <w:szCs w:val="28"/>
          <w:rtl w:val="true"/>
          <w:lang w:bidi="ar-SA"/>
        </w:rPr>
        <w:t>العقد، فيرجع إلى أصالة فساد العقد وعدم لزوم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ووقعت كلّ هذه الوجوه محلَّاً للنقاش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قد تبيّن أنّ الصحيح هو صحّة هذا الاشتراط وعدم منافاته لمقتضى الوقف فلا نطيل الكلام في هذه الوجوه، فالغاية فقط الإشارة إليها</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3482773_2870459653"/>
      <w:bookmarkStart w:id="305" w:name="_Toc118"/>
      <w:bookmarkEnd w:id="304"/>
      <w:r>
        <w:rPr>
          <w:rtl w:val="true"/>
        </w:rPr>
        <w:t>الأمر الثاني</w:t>
      </w:r>
      <w:r>
        <w:rPr>
          <w:rtl w:val="true"/>
        </w:rPr>
        <w:t xml:space="preserve">: </w:t>
      </w:r>
      <w:r>
        <w:rPr>
          <w:rtl w:val="true"/>
        </w:rPr>
        <w:t>في صور أخرى لها علاقة بهذه المسألة</w:t>
      </w:r>
      <w:bookmarkEnd w:id="305"/>
    </w:p>
    <w:p>
      <w:pPr>
        <w:pStyle w:val="Heading5"/>
        <w:numPr>
          <w:ilvl w:val="4"/>
          <w:numId w:val="1"/>
        </w:numPr>
        <w:rPr/>
      </w:pPr>
      <w:bookmarkStart w:id="306" w:name="__RefHeading___Toc3482775_2870459653"/>
      <w:bookmarkStart w:id="307" w:name="_Toc11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فقد تقدّمت في بداية هذا البحث صور المسألة التي وقع النزاع فيها وأنّه لا فرق في المنفعة التي يصحّ استثناؤها من الوقف أو اشتراط بقائها على ملك الواقف بين أن تكون هذه المنفعة وارداً مالياً ينتفع منه الواقف بنفسه أو يصرف على بعض مصارفه ونفقاته، وسواء كانت هذه النفقات خاصّة به أو كانت من شؤون متعلّقيه المنتسبين إليه كأولاده وزوجته وضيوفه، وسواء كانت ممّا ينفق في معيشته أو وفاءً لديونه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المذكورة وافية بصحّة الوقف وفق هذا الشرط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صور أخرى نتعرّض لها للإحاطة بالمسألة وتفريعاتها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3482777_2870459653"/>
      <w:bookmarkStart w:id="309" w:name="_Toc120"/>
      <w:bookmarkEnd w:id="308"/>
      <w:r>
        <w:rPr>
          <w:rtl w:val="true"/>
        </w:rPr>
        <w:t>الصورة الأولى</w:t>
      </w:r>
      <w:bookmarkEnd w:id="3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الوقف على النفس، وقد صرّح الفقهاء</w:t>
      </w:r>
      <w:r>
        <w:rPr>
          <w:rStyle w:val="FootnoteAnchor"/>
          <w:rtl w:val="true"/>
        </w:rPr>
        <w:footnoteReference w:id="314"/>
      </w:r>
      <w:r>
        <w:rPr>
          <w:rFonts w:ascii="Amiri" w:hAnsi="Amiri" w:eastAsia="Amiri" w:cs="Amiri"/>
          <w:color w:val="111111"/>
          <w:sz w:val="28"/>
          <w:sz w:val="28"/>
          <w:szCs w:val="28"/>
          <w:rtl w:val="true"/>
          <w:lang w:bidi="ar-SA"/>
        </w:rPr>
        <w:t xml:space="preserve">ببطلانه،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خلاف بين أصحابنا في بطلان وقف الإنسان على نفسه</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 وقال </w:t>
      </w:r>
      <w:bookmarkStart w:id="310" w:name="pg9159_85048"/>
    </w:p>
    <w:p>
      <w:pPr>
        <w:pStyle w:val="BookText"/>
        <w:rPr/>
      </w:pPr>
      <w:bookmarkEnd w:id="310"/>
      <w:r>
        <w:rPr>
          <w:rFonts w:ascii="Amiri" w:hAnsi="Amiri" w:eastAsia="Amiri" w:cs="Amiri"/>
          <w:color w:val="111111"/>
          <w:sz w:val="28"/>
          <w:sz w:val="28"/>
          <w:szCs w:val="28"/>
          <w:rtl w:val="true"/>
          <w:lang w:bidi="ar-SA"/>
        </w:rPr>
        <w:t xml:space="preserve">السيّد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المستفاد من تتبّع كلماتهم جميعاً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بل ادّعى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استدلّوا على بطلانه بوجوه، كالإجماع، وأنّ الوقف تمليك ولا يصحّ أن يملّك الإنسان نفسه ما هو ملك له، وبعض ما تقدّم من الروايات كمكاتبة عليّ بن سليمان، ورواية طلحة بن زيد،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فقهائنا، وأمّا عند فقهاء الجمهور فقد وقع الخلاف بينهم، فذهب الشافعي إلى بطلانه، في حين ذهب إلى صحّته ابن أبي موسى، وابن عقيل، وابن أبي ليلى، وابن شبرمة، وأبي يوسف، وابن شريح</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3482779_2870459653"/>
      <w:bookmarkStart w:id="312" w:name="_Toc121"/>
      <w:bookmarkEnd w:id="311"/>
      <w:r>
        <w:rPr>
          <w:rtl w:val="true"/>
        </w:rPr>
        <w:t>الصورة الثانية</w:t>
      </w:r>
      <w:bookmarkEnd w:id="312"/>
    </w:p>
    <w:p>
      <w:pPr>
        <w:pStyle w:val="Heading6"/>
        <w:numPr>
          <w:ilvl w:val="5"/>
          <w:numId w:val="1"/>
        </w:numPr>
        <w:rPr/>
      </w:pPr>
      <w:bookmarkStart w:id="313" w:name="__RefHeading___Toc3482781_2870459653"/>
      <w:bookmarkStart w:id="314" w:name="_Toc12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أنّه من موارد الانتفاع من الوقف فيما لو كان عنوان الوقف شاملاً للواقف أو بعض احتياجاته، كما لو كان قد وقف مدرسة وكان هو طالب علم يدرس فيها، أو وقف منزلاً للمسافرين وهو منهم،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ذلك على أقوال</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3482783_2870459653"/>
      <w:bookmarkStart w:id="316" w:name="_Toc123"/>
      <w:bookmarkEnd w:id="315"/>
      <w:r>
        <w:rPr>
          <w:rtl w:val="true"/>
        </w:rPr>
        <w:t>القول الأول</w:t>
      </w:r>
      <w:r>
        <w:rPr>
          <w:rtl w:val="true"/>
        </w:rPr>
        <w:t xml:space="preserve">: </w:t>
      </w:r>
      <w:r>
        <w:rPr>
          <w:rtl w:val="true"/>
        </w:rPr>
        <w:t>جواز انتفاع الواقف مطلقاً</w:t>
      </w:r>
      <w:bookmarkEnd w:id="31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وقف وقفاً عامّاً مثل أن يوقفه على المسلمين جاز له الانتفاع به بلا خلاف، لأنّه يعود إلى أصل الإباحة فيكون هو وغيره سواء</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bookmarkStart w:id="317" w:name="pg9159_85049"/>
    </w:p>
    <w:p>
      <w:pPr>
        <w:pStyle w:val="BookText"/>
        <w:rPr/>
      </w:pPr>
      <w:bookmarkEnd w:id="317"/>
      <w:r>
        <w:rPr>
          <w:rFonts w:ascii="Amiri" w:hAnsi="Amiri" w:eastAsia="Amiri" w:cs="Amiri"/>
          <w:color w:val="111111"/>
          <w:sz w:val="28"/>
          <w:sz w:val="28"/>
          <w:szCs w:val="28"/>
          <w:rtl w:val="true"/>
          <w:lang w:bidi="ar-SA"/>
        </w:rPr>
        <w:t xml:space="preserve">الكيدري، ويحيى بن سعيد، والمقداد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482785_2870459653"/>
      <w:bookmarkStart w:id="319" w:name="_Toc124"/>
      <w:bookmarkEnd w:id="318"/>
      <w:r>
        <w:rPr>
          <w:rtl w:val="true"/>
        </w:rPr>
        <w:t>القول الثاني</w:t>
      </w:r>
      <w:r>
        <w:rPr>
          <w:rtl w:val="true"/>
        </w:rPr>
        <w:t xml:space="preserve">: </w:t>
      </w:r>
      <w:r>
        <w:rPr>
          <w:rtl w:val="true"/>
        </w:rPr>
        <w:t>المنع من ذلك مطلقاً</w:t>
      </w:r>
      <w:bookmarkEnd w:id="319"/>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وقف على نفسه لم يصحّ، فأمّا إذا وقف شيئاً على المسلمين عامّة فإنّه يجوز له الانتفاع به عند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عندي أنّ الواقف لا يجوز له الانتفاع بما وقفه على حال، لما بيّناه وأجمعنا عليه من أنّه لا يصحّ وقفه على نفسه، وأنّه بالوقف قد خرج عن ملكه ولا يجوز عوده إليه بحال</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3482787_2870459653"/>
      <w:bookmarkStart w:id="321" w:name="_Toc125"/>
      <w:bookmarkEnd w:id="320"/>
      <w:r>
        <w:rPr>
          <w:rtl w:val="true"/>
        </w:rPr>
        <w:t>القول الثالث</w:t>
      </w:r>
      <w:r>
        <w:rPr>
          <w:rtl w:val="true"/>
        </w:rPr>
        <w:t xml:space="preserve">: </w:t>
      </w:r>
      <w:r>
        <w:rPr>
          <w:rtl w:val="true"/>
        </w:rPr>
        <w:t>التفصيل في ذلك</w:t>
      </w:r>
      <w:bookmarkEnd w:id="321"/>
    </w:p>
    <w:p>
      <w:pPr>
        <w:pStyle w:val="BookText"/>
        <w:rPr/>
      </w:pPr>
      <w:r>
        <w:rPr>
          <w:rFonts w:ascii="Amiri" w:hAnsi="Amiri" w:eastAsia="Amiri" w:cs="Amiri"/>
          <w:color w:val="111111"/>
          <w:sz w:val="28"/>
          <w:sz w:val="28"/>
          <w:szCs w:val="28"/>
          <w:rtl w:val="true"/>
          <w:lang w:bidi="ar-SA"/>
        </w:rPr>
        <w:t xml:space="preserve">فيجوز ذلك في مثل وقف المساجد ونحوها والتفصيل في غير ذلك، فقد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الوقف إن انتقل إلى الله تعالى كالمساجد فإنّ للواقف الانتفاع به كغيره من الصلاة فيه وغيرها من منافع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انتقل إلى الخلق لم يدخل سواء كان مندرجاً فيهم وقت الوقف كما لو وقف على المسلمين أو على الفقهاء وهو منهم أو لم يكن كما لو لم يكن فقيهاً وقت الوقف ثمّ صار منهم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حيث فصّل بين ما إذا كان الوقف متمحّضاً </w:t>
      </w:r>
    </w:p>
    <w:p>
      <w:pPr>
        <w:pStyle w:val="BookText"/>
        <w:rPr/>
      </w:pPr>
      <w:r>
        <w:rPr>
          <w:rFonts w:ascii="Amiri" w:hAnsi="Amiri" w:eastAsia="Amiri" w:cs="Amiri"/>
          <w:color w:val="111111"/>
          <w:sz w:val="28"/>
          <w:sz w:val="28"/>
          <w:szCs w:val="28"/>
          <w:rtl w:val="true"/>
          <w:lang w:bidi="ar-SA"/>
        </w:rPr>
        <w:t>في جعل العنوان الخاصّ من دون أخذ الانتفاع بالعين في حاق الوقف كوقف المساجد والمشاهد، ومثله ما كان مبتنياً على مجرّد تسبيل منفعة العين الموقوفة من دون نظر إلى موقوف عليه خاصّ أو عامّ كحفر الآبار واستنباط العيون، وبين ما إذا لاحظ الواقف موقوفاً عليه عامّ أو خاصّ، فالأوّل يجوز للواقف الانتفاع من وقفه دون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يجوز انتفاع الواقف بالعين الموقوفة في مثل وقف المساجد والوقف على الجهات العامّة، وكذا الوقف على العناوين الكلّية إذا كان الواقف داخلاً في العنوان أو صار داخلاً فيه في ما بعد، وكان الوقف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كانت المنافع ملكاً للموقوف عليهم على سبيل الإشاعة فلا إشكال في عدم جواز أخذه حصّة منها، بل يلزم أن يقصد من العنوان المذكور حين العقد من عدا نفسه ويقصد خروجه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كانت المنافع في ملك الموقوف عليهم بتمليك المتولّي وإقباضهم إيّاها ففي جواز دخول الواقف في العنوان وأخذه حصّة من المنافع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إذا كان مقتضى الوقف توزيع المنافع على الموقوف عليهم على نحو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يترك مقتضى الاحتياط في ذلك</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اختلفوا في التفصيلات تبعاً للدليل المعتمد في المسألة، فالمحذور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عدم الوقف على النفس، سواء في كلّ الموقوف أم في جزء منه، والوقف في بعض أقسامه تمليك فإذا كان الواقف من ضمن الموقوف عليهم كان التمليك يعمّه فيكون من الوقف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هو شمول مكاتبة عليّ بن سليمان لهذه الصورة، </w:t>
      </w:r>
      <w:bookmarkStart w:id="322" w:name="pg9159_85051"/>
    </w:p>
    <w:p>
      <w:pPr>
        <w:pStyle w:val="BookText"/>
        <w:rPr/>
      </w:pPr>
      <w:bookmarkEnd w:id="322"/>
      <w:r>
        <w:rPr>
          <w:rFonts w:ascii="Amiri" w:hAnsi="Amiri" w:eastAsia="Amiri" w:cs="Amiri"/>
          <w:color w:val="111111"/>
          <w:sz w:val="28"/>
          <w:sz w:val="28"/>
          <w:szCs w:val="28"/>
          <w:rtl w:val="true"/>
          <w:lang w:bidi="ar-SA"/>
        </w:rPr>
        <w:t xml:space="preserve">فيكون من انتفاع الواقف بالوقف، وقد استظهر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الوقف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ليست مؤثّرة في مقام بحثنا بعد أن تبيّن أنّ المنفعة المستثناة تبقى على ملك الواقف، فلا إشكال في انتفاعه منها بعد أن لم تكن موقوفة أصلاً</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482789_2870459653"/>
      <w:bookmarkStart w:id="324" w:name="_Toc126"/>
      <w:bookmarkEnd w:id="323"/>
      <w:r>
        <w:rPr>
          <w:rtl w:val="true"/>
        </w:rPr>
        <w:t>الصورة الثالثة</w:t>
      </w:r>
      <w:r>
        <w:rPr>
          <w:rtl w:val="true"/>
        </w:rPr>
        <w:t xml:space="preserve">: </w:t>
      </w:r>
      <w:r>
        <w:rPr>
          <w:rtl w:val="true"/>
        </w:rPr>
        <w:t>وقف العين المستأجرة قبل انتهاء مدّة الإجارة</w:t>
      </w:r>
      <w:bookmarkEnd w:id="324"/>
    </w:p>
    <w:p>
      <w:pPr>
        <w:pStyle w:val="BookText"/>
        <w:rPr/>
      </w:pPr>
      <w:r>
        <w:rPr>
          <w:rFonts w:ascii="Amiri" w:hAnsi="Amiri" w:eastAsia="Amiri" w:cs="Amiri"/>
          <w:color w:val="111111"/>
          <w:sz w:val="28"/>
          <w:sz w:val="28"/>
          <w:szCs w:val="28"/>
          <w:rtl w:val="true"/>
          <w:lang w:bidi="ar-SA"/>
        </w:rPr>
        <w:t xml:space="preserve">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Style w:val="FootnoteAnchor"/>
          <w:rtl w:val="true"/>
        </w:rPr>
        <w:footnoteReference w:id="325"/>
      </w:r>
      <w:r>
        <w:rPr>
          <w:rFonts w:ascii="Amiri" w:hAnsi="Amiri" w:eastAsia="Amiri" w:cs="Amiri"/>
          <w:color w:val="111111"/>
          <w:sz w:val="28"/>
          <w:sz w:val="28"/>
          <w:szCs w:val="28"/>
          <w:rtl w:val="true"/>
          <w:lang w:bidi="ar-SA"/>
        </w:rPr>
        <w:t>أنّه لا يجوز وقف العين المستأجرة، ولكنّه ذكر في التذكرة</w:t>
      </w:r>
      <w:r>
        <w:rPr>
          <w:rStyle w:val="FootnoteAnchor"/>
          <w:rtl w:val="true"/>
        </w:rPr>
        <w:footnoteReference w:id="326"/>
      </w:r>
      <w:r>
        <w:rPr>
          <w:rFonts w:ascii="Amiri" w:hAnsi="Amiri" w:eastAsia="Amiri" w:cs="Amiri"/>
          <w:color w:val="111111"/>
          <w:sz w:val="28"/>
          <w:sz w:val="28"/>
          <w:szCs w:val="28"/>
          <w:rtl w:val="true"/>
          <w:lang w:bidi="ar-SA"/>
        </w:rPr>
        <w:t>أنّه لا بأس بذلك إذا قبضها بإذن المستأجر، وإلّا لم يصحّ القبض، ولا يثمر لزوم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وعبارة المصنّف هنا تحتمل أن يريد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وقف المستأجر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بأنّه لا يقع فاسداً، غاية ما في الباب أنّه لا يتمّ إلّا بالقبض</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وافقه المتأخّرون على ذلك، بل جعلوها من طرق بقاء المنافع على ملك الواقف، 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الأولى لمن أراد أن ينتفع بالوقف ما دام حيّاً كلَّاً أو بعضاً أن يؤجّر العين التي يريد وقفها مدّة معيّنة كعشر سنين كلَّاً أو بعضاً، ويجعل لنفسه خيار الفسخ، ثمّ بعد إجراء الصيغة والإقباض يفسخ الإجارة، فترجع المنافع إليه في تلك المدّة، ويكون الوقف مسلوب المنفعة إلى تلك المدّة كلَّاً أو بعضاً، ولا </w:t>
      </w:r>
      <w:bookmarkStart w:id="325" w:name="pg9159_85052"/>
    </w:p>
    <w:p>
      <w:pPr>
        <w:pStyle w:val="BookText"/>
        <w:rPr/>
      </w:pPr>
      <w:bookmarkEnd w:id="325"/>
      <w:r>
        <w:rPr>
          <w:rFonts w:ascii="IRNazanin" w:hAnsi="IRNazanin" w:eastAsia="IRNazanin"/>
          <w:color w:val="111111"/>
          <w:sz w:val="28"/>
          <w:sz w:val="28"/>
          <w:szCs w:val="28"/>
          <w:rtl w:val="true"/>
          <w:lang w:bidi="fa-IR"/>
        </w:rPr>
        <w:t>بأس به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 ومثله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خالف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في رجوع المنفعة بعد الفسخ للواقف، فبنى على رجوعها للموقوف عليهم تبعاً للعين، كما توقّف في ذلك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لا إشكال في وقف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القبض</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482791_2870459653"/>
      <w:bookmarkStart w:id="327" w:name="_Toc127"/>
      <w:bookmarkEnd w:id="326"/>
      <w:r>
        <w:rPr>
          <w:rtl w:val="true"/>
        </w:rPr>
        <w:t>الصورة الرابعة</w:t>
      </w:r>
      <w:r>
        <w:rPr>
          <w:rtl w:val="true"/>
        </w:rPr>
        <w:t xml:space="preserve">: </w:t>
      </w:r>
      <w:r>
        <w:rPr>
          <w:rtl w:val="true"/>
        </w:rPr>
        <w:t>شمول البحث للمنافع الموجودة</w:t>
      </w:r>
      <w:bookmarkEnd w:id="327"/>
    </w:p>
    <w:p>
      <w:pPr>
        <w:pStyle w:val="BookText"/>
        <w:rPr/>
      </w:pPr>
      <w:r>
        <w:rPr>
          <w:rFonts w:ascii="Amiri" w:hAnsi="Amiri" w:eastAsia="Amiri" w:cs="Amiri"/>
          <w:color w:val="111111"/>
          <w:sz w:val="28"/>
          <w:sz w:val="28"/>
          <w:szCs w:val="28"/>
          <w:rtl w:val="true"/>
          <w:lang w:bidi="ar-SA"/>
        </w:rPr>
        <w:t>قد اتّفق الفقهاء على أنّ الوقف شامل للمنافع المستجدة إلّا إذا استثنى الواقف ذلك، فقد اختلفوا في صحّة هذا الاستثناء كما تقدّم، ولكن هل الأمر كذلك في المنافع الموجودة حين الوقف كما لو وقف بستاناً وكان فيه ثمار فعلاً، أو وقف شاة وكان هناك حليب في ضرعها أو نحو ذلك؟</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جهتين للبحث في المنافع الموجودة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الوقف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شمولها هل يصحّ استثناءها كاستثناء المنافع المستجدة أو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الجهة الأولى فقد بنى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شمول الوقف ابتدءاً للمنافع الموجودة إلّا إذا استثنى الواقف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وقف شاة دخل فيه الصوف </w:t>
      </w:r>
    </w:p>
    <w:p>
      <w:pPr>
        <w:pStyle w:val="BookText"/>
        <w:rPr/>
      </w:pPr>
      <w:r>
        <w:rPr>
          <w:rFonts w:ascii="Amiri" w:hAnsi="Amiri" w:eastAsia="Amiri" w:cs="Amiri"/>
          <w:color w:val="111111"/>
          <w:sz w:val="28"/>
          <w:sz w:val="28"/>
          <w:szCs w:val="28"/>
          <w:rtl w:val="true"/>
          <w:lang w:bidi="ar-SA"/>
        </w:rPr>
        <w:t>واللبن الموجودان حالة الوقف ما لم يخرجه عنه بالاستثناء</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ذلك جملة ممّن تأخّر عنه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خالفه آخرون وأنّ الوقف لا يشمله إلّا إذا نصّ على ذلك حين وقفه،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الثمر الموجود على النخل أو الشجر حين إجراء صيغة الوقف باقٍ على ملك مالكها ولا يكون للموقوف عليه، وكذا الحمل الموجود حين وقف الدابّة واللبن والصوف الموجودان حين وقف الشاة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جملة ممّن تأخّر عنه 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وافقه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وبرّر ذلك بأنّ الوقف إنّما يقتضي استحقاق الموقوف عليه للمنافع المتجدّدة بعده دون السابقة عليه، وأنّها بنفسها لا تصلح للوقف بعد أن كان الانتفاع منها باستهلاكها لا بنمائها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المنصرف من الوقف رفع يد الواقف عنهما وإعطاؤهما للموقوف عليه تبعاً للنماء المتجدّد وإلحاقاً به؛ لظهور الإطلاق في قطع الواقف علاقته بالعين الموقوفة 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نبّه على أنّ هذا الانصراف لا يكون ملزماً للواقف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أيّد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استثناء المنافع المستجدّة بصحّة استثناء المنافع الموجودة فعلاً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نظير ما لو وقف شاة واستثنى صوفها الموجود عليها حال إجراء الصيغة، وما إذا وقف بستاناً واستثنى ثمره الموجود أو ثمرة سنة واحدة ونحو ذلك</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أشكل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المتيقّن ابتناء الوقف على تسبيل المنفعة والنماء المتجدّدين بعد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النماء المتّصل الموجود حين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كالثمرة والصوف واللبن الموجود في الضرع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مشمول للوقف بالأصل، أو غير مشمول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يتسامح الواقف في التنازل عنه تبعاً؟ فعلى الأوّل يشكل استثناؤها كما يشكل استثناء المعدوم حين الوقف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يكون استثناؤه ممّا نحن فيه حيث يرجع إلى عدم التنازل عنه تبعاً، فلاحظ</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يمكن الجواب بأنّ المقصود هو الفرض الأوّل من شمول الوقف له بالأصل في حال عدم استثناء الواقف له كما هو الحال في المنافع المستجدّة حيث يشملها الوقف إذا لم يستثنها الواقف، فكما يجوز استثناء المنافع الموجودة بأن لا تكون موقوفة أصلاً فكذلك المنافع المستجدّة بأن لا يشملها الوقف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الفرض الثاني فكما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الوجه في الاستثناء ولا يصحّ التنظير؛ إذ مرجع استثناء المنافع الموجودة إلى عدم التنازل عنها تبعاً للأصل، وليس </w:t>
      </w:r>
    </w:p>
    <w:p>
      <w:pPr>
        <w:pStyle w:val="BookText"/>
        <w:rPr/>
      </w:pPr>
      <w:r>
        <w:rPr>
          <w:rFonts w:ascii="Amiri" w:hAnsi="Amiri" w:eastAsia="Amiri" w:cs="Amiri"/>
          <w:color w:val="111111"/>
          <w:sz w:val="28"/>
          <w:sz w:val="28"/>
          <w:szCs w:val="28"/>
          <w:rtl w:val="true"/>
          <w:lang w:bidi="ar-SA"/>
        </w:rPr>
        <w:t>الأمر كذلك في المنافع المستجدّة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فما ذكر من أدلّةٍ تفي بصحّة استثناء المنافع المستجدّة التي هي محلّ البحث، وأمّا المنافع الموجودة فلا يشملها الوقف من أوّل الأمر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قد تمّ البحث في يوم الاثنين الموافق للثاني عشر من شهر شعبان من عام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بجوار حرم الإمام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تمّت مراجعته في يوم الخميس الموافق للثاني والعشرين من شهر شعبان من العام نفسه</w:t>
      </w:r>
      <w:r>
        <w:rPr>
          <w:rFonts w:eastAsia="Amiri" w:cs="Amiri" w:ascii="Amiri" w:hAnsi="Amiri"/>
          <w:color w:val="111111"/>
          <w:sz w:val="28"/>
          <w:szCs w:val="28"/>
          <w:rtl w:val="true"/>
          <w:lang w:bidi="ar-SA"/>
        </w:rPr>
        <w:t xml:space="preserve">. </w:t>
      </w:r>
      <w:bookmarkStart w:id="328" w:name="pg9159_85056"/>
    </w:p>
    <w:p>
      <w:pPr>
        <w:pStyle w:val="Heading3"/>
        <w:numPr>
          <w:ilvl w:val="2"/>
          <w:numId w:val="1"/>
        </w:numPr>
        <w:rPr/>
      </w:pPr>
      <w:bookmarkStart w:id="329" w:name="__RefHeading___Toc3482793_2870459653"/>
      <w:bookmarkStart w:id="330" w:name="_Toc128"/>
      <w:bookmarkEnd w:id="328"/>
      <w:bookmarkEnd w:id="329"/>
      <w:r>
        <w:rPr>
          <w:rtl w:val="true"/>
        </w:rPr>
        <w:t>المصادر والمراجع</w:t>
      </w:r>
      <w:bookmarkEnd w:id="33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الخلل في الصلاة، الشيخ الأعظم مرتضى بن محمّد أمين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والولايات الدينية، عليّ بن محمّد البغدادي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التعاون للنشر والتوزيع، الطبعة الثانية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الوقف في الشريعة الإسلامية، الدكتور محمّد عبيد الكبيسي،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 ما اختلف من الأخبار، 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استقصاء الاعتبار في شرح الاستبصار، الشيخ محمّد بن الحسن بن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في أحكام الإيمان، العلّامة الحليّ الشيخ جمال الدين أبو منصور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إصباح الشيعة بمصباح الشريعة، الشيخ قطب الدين البيهقي الكيدري، نشر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دار المعارف بمصر،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حميد الله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الصنائع في ترتيب الشرائع، علاء الدين أبو بكر بن مسعود الكاساني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الحبيبية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 محبّ الدين أبو فيض السيّد محمّد مرتضى الحسيني الواسطي الزبيدي الحنفي،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 أبو القاسم عليّ بن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القانون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يواقيم ميخائيل طبع بمطبعة مصر بالفجالة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تحرير الأحكام الشرعية على مذهب الإمامية، الشيخ جمال الدين أبو منصور الحسن بن يوسف الحلّي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جعفر السبحاني،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 الشيخ جمال الدين أبو منصور الحسن بن يوسف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منشورات المكتبة الرضوية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الفصيح وشرحه، أبو محمّد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المرزبان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بدوي المختون،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للشؤون الإسلامية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تعليقة على منهج المقال، الشيخ محمّد باقر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الشيخ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هاشم الرسولي المحلاتي، نشر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الطبعة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تفصيل وسائل الشيعة إلى تحصيل مسائل الشريعة،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الشيخ جمال الدين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العامّة،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 كمري،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الشيخ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الشيخ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الفضلاء بإشراف الشيخ جعفر السبحاني،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المقاصد في شرح القواعد، الشيخ عليّ بن الحسين الكركي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أهل الموصل في العدد والرؤية، الشيخ أبو عبد الله محمّد بن محمّد النعمان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شرح شرائع الإسلام،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القوجاني، مطبعة خورشيد، الطبعة الثانية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الشيخ محمّد كاظم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شمس الدين،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الشيخ عليّ الإيرواني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طهران بمطبعة رشدية بالأوفست، الطبعة الثانية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المكاسب، الشيخ محمّد حسين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وإخراج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محمّد آل سباع، المطبعة العلمية،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الشيخ يوسف بن أحمد بن إبراهيم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مستدرك الوسائل، الشيخ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في فقه الإمامية، الشيخ شمس الدين محمّد بن مكّي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في علم الرجال، محاضرات ألقاها السيّد الأستاذ محمّد باقر السيستاني وهي 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في شرح الإرشاد، الشيخ محمّد باقر بن محمّد مؤمن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أوفست على طبعة حجرية لمؤسّسة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الشيخ أبو الحسين أحمد بن الحسين بن عبيد الله الواسطي البغدادي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القرن الخامس الهجري،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p>
    <w:p>
      <w:pPr>
        <w:pStyle w:val="BookText"/>
        <w:rPr/>
      </w:pPr>
      <w:r>
        <w:rPr>
          <w:rFonts w:ascii="Amiri" w:hAnsi="Amiri" w:eastAsia="Amiri" w:cs="Amiri"/>
          <w:color w:val="111111"/>
          <w:sz w:val="28"/>
          <w:sz w:val="28"/>
          <w:szCs w:val="28"/>
          <w:rtl w:val="true"/>
          <w:lang w:bidi="ar-SA"/>
        </w:rPr>
        <w:t>للطباعة والنشر،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أبو العبّاس أحمد بن عليّ بن أحمد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السيّد موسى الشبيري الزنجاني، الطبعة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إسماعيل بن الحسين المازندراني الخاجوئي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المحقّق الكركي، الشيخ عليّ بن الحسين الكركي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مطبعة الخيام،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 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النجف الدينية،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في شرح من لا يحضره الفقيه،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فرهنك إسلامي حاج محمّد حسين كوشانبور، نمّقه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الكرماني، والشيخ عليّ بناه الاشتهاردي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السيّد عليّ بن محمّد بن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w:t>
      </w:r>
    </w:p>
    <w:p>
      <w:pPr>
        <w:pStyle w:val="BookText"/>
        <w:rPr/>
      </w:pPr>
      <w:r>
        <w:rPr>
          <w:rFonts w:ascii="Amiri" w:hAnsi="Amiri" w:eastAsia="Amiri" w:cs="Amiri"/>
          <w:color w:val="111111"/>
          <w:sz w:val="28"/>
          <w:sz w:val="28"/>
          <w:szCs w:val="28"/>
          <w:rtl w:val="true"/>
          <w:lang w:bidi="ar-SA"/>
        </w:rPr>
        <w:t xml:space="preserve">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الشيخ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ونشر 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طبع مطبعة مجلس دائرة المعارف العثمانية بحيدر آباد تصوير دار الفكر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أبو عبد الرحمن أحمد بن شعيب الخراساني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دار الكتب العلمية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الشيخ أبو القاسم نجم الدين جعفر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استقلال طهران،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تاج اللغة وصحاح العربية،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نشر دار العلم للملايين،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مع تعليقات عدّة من الفقهاء العظام،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الشيخ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w:t>
      </w:r>
    </w:p>
    <w:p>
      <w:pPr>
        <w:pStyle w:val="BookText"/>
        <w:rPr/>
      </w:pPr>
      <w:r>
        <w:rPr>
          <w:rFonts w:ascii="Amiri" w:hAnsi="Amiri" w:eastAsia="Amiri" w:cs="Amiri"/>
          <w:color w:val="111111"/>
          <w:sz w:val="28"/>
          <w:sz w:val="28"/>
          <w:szCs w:val="28"/>
          <w:rtl w:val="true"/>
          <w:lang w:bidi="ar-SA"/>
        </w:rPr>
        <w:t>النشر التابع لمكتب الإعلام الإسلامي،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اللآلئ العزيزية في الأحاديث الدينية، الشيخ محمّد بن عليّ بن إبراهيم الأحسائي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مجتبى العراقي، مطبعة سيّد الشهداء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والدكتور إبراهيم السامرائي،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الأصول والفروع، السيّد حمزة بن عليّ 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البهاردي،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الإمامية، تقرير بحث الشيخ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كاظم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مطبعة مؤسّسة النشر الإسلامي،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الشيخ محمّد تقيّ بن محمّد كاظم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الثالثة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مجد الدين محمود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للطباعة والنشر والتوزيع،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تحقيق التراث في مؤسّسة الرسالة،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نعيم العرقسوسي، الطبعة الثامنة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قبسات من علم الرجال، السيّد محمّد رضا السيستاني،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جمع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البكّاء، الطبعة 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الشيخ أبو العباس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الفقهية، السيّد محمّد حسن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الهادي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ومحمّد حسين الدرايتي،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معرفة الحلال والحرام، الشيخ جمال الدين أبو منصور الحسن ابن يوسف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قطرات من يراع بحر العلوم، الشيخ محمّد كاظم بن حسين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المهدي الكاظمي، مطبعة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المصلي، تقرير أبحاث السيّد عليّ الحسيني السيستاني بقلم السيّد مرتضى المهري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أبو الفضل جمال الدين محمّد بن مكرم المصري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الشيخ شمس الدين محمّد بن مكّي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مطبعة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ثقة الإسلام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الطبعة الثالثة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 أبو عبد الله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البيع، 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آثار الإمام الخميني،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العروج،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تقرير أبحاث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عبد الله الجوادي الطبري الآملي،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الرموز في شرح المختصر النافع، الشيخ أبو عليّ الحسن بن أبي طالب بن أبي المجد اليوسفي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الآبي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ﻫ،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دفتر تبليغات إسلامي،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الأولى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باقر بن محمّد مؤمن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الواعظي الأراكي،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الكشفي، المطبعة الحيدرية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الشيخ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في شرح المهذّب،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 والمحيط الأعظم، أبو الحسن عليّ بن إسماعيل المرسي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الحميد هنداوي،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المحيط في اللغة،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آل ياسين،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في فقه الإمامية، الشيخ أبو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وتوزيع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المخصّص، أبو الحسن عليّ بن إسماعيل النحوي اللغوي الأندلسي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 الشيخ جمال الدين أبو منصور الحسن بن يوسف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شرائع الإسلام، 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مدونة جوستنيان في الفقه الروماني، جوستنيان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الكاتب المصري،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فهمي، الطبعة الأولى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المرتقى إلى الفقه الأرقى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 لأبحاث السيّد محمّد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عبد الصاحب الحكيم،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الجلي، مطبعة ستارة،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تنقيح شرائع الإسلام، 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السيّد المرعشي النجفي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الشيخ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أبو بكر 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الرحمن الأعظمي،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الظلام في شرح مفاتيح الشرائع، الشيخ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البهبهاني، طبع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تقرير 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محمّد عليّ التوحيدي التبريزي،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طبع المكتبة العلمية،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المنهاج، السيّد محمّد سعيد الطباطبائي الحكيم، طبع ونشر وتوزيع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الطبعة الثانية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الشيخ أبو القاسم نجم الدين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الأفاضل بإشراف الشيخ ناصر </w:t>
      </w:r>
    </w:p>
    <w:p>
      <w:pPr>
        <w:pStyle w:val="BookText"/>
        <w:rPr/>
      </w:pPr>
      <w:r>
        <w:rPr>
          <w:rFonts w:ascii="Amiri" w:hAnsi="Amiri" w:eastAsia="Amiri" w:cs="Amiri"/>
          <w:color w:val="111111"/>
          <w:sz w:val="28"/>
          <w:sz w:val="28"/>
          <w:szCs w:val="28"/>
          <w:rtl w:val="true"/>
          <w:lang w:bidi="ar-SA"/>
        </w:rPr>
        <w:t>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إسلامي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مارسدن جونس،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عبد 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مطبعة الخيام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الخالصي،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في تاريخ العرب قبل الإسلام، الدكتور 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ساعدت جامعة بغداد على نشره، الطبعة الثانية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المناهل، السيّد محمّد بن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في تحقيق المذهب، الشيخ جمال الدين أبو منصور الحسن بن يوسف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الفقه في مجمع البحوث الإسلامية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في الآستانة الرضوية المقدّسة،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تعليقات السيّد محمّد باقر الصدر،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العلم،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الثامنة والعشرون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الصالحين، السيّد عليّ الحسيني السيستاني، طبعة مصحّحة ومنقّحة،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السيّد محمّد سعيد الطباطبائي الحكيم، الطبعة السابعة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منوسمرتي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الهندوس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وشرح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حقّي، </w:t>
      </w:r>
    </w:p>
    <w:p>
      <w:pPr>
        <w:pStyle w:val="BookText"/>
        <w:rPr/>
      </w:pPr>
      <w:r>
        <w:rPr>
          <w:rFonts w:ascii="Amiri" w:hAnsi="Amiri" w:eastAsia="Amiri" w:cs="Amiri"/>
          <w:color w:val="111111"/>
          <w:sz w:val="28"/>
          <w:sz w:val="28"/>
          <w:szCs w:val="28"/>
          <w:rtl w:val="true"/>
          <w:lang w:bidi="ar-SA"/>
        </w:rPr>
        <w:t>دار اليقظة العربية للتأليف والترجمة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الشيخ جمال الدين أبو العبّاس أحمد ابن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النجعة في شرح اللمعة،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الصدوق بطهران،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أكبر الغفّاري،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في شرح الرسالة الموسومة بالوجيزة، السيّد أبو محمّد حسن صدر الدين بن هادي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الغرباوي،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الفقاهة،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من أحاديث سيّد الأخيار،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الشيخ محمّد بن مرتضى بن محمود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ضياء الدين الحسيني الأصفهاني،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 إلى نيل الفضيلة، الشيخ أبو جعفر محمّد بن عليّ الطوسي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9159_85073"/>
      <w:bookmarkStart w:id="332" w:name="pg9159_85073"/>
      <w:bookmarkEnd w:id="332"/>
    </w:p>
    <w:p>
      <w:pPr>
        <w:pStyle w:val="Heading2"/>
        <w:numPr>
          <w:ilvl w:val="1"/>
          <w:numId w:val="1"/>
        </w:numPr>
        <w:rPr/>
      </w:pPr>
      <w:bookmarkStart w:id="333" w:name="pg9159_85073"/>
      <w:bookmarkStart w:id="334" w:name="__RefHeading___Toc3482795_2870459653"/>
      <w:bookmarkStart w:id="335" w:name="_Toc129"/>
      <w:bookmarkEnd w:id="333"/>
      <w:bookmarkEnd w:id="334"/>
      <w:r>
        <w:rPr>
          <w:rtl w:val="true"/>
        </w:rPr>
        <w:t xml:space="preserve">دلالة الفعل على الزّمان </w:t>
      </w:r>
      <w:r>
        <w:rPr>
          <w:rtl w:val="true"/>
        </w:rPr>
        <w:t xml:space="preserve">- </w:t>
      </w:r>
      <w:r>
        <w:rPr>
          <w:rtl w:val="true"/>
        </w:rPr>
        <w:t xml:space="preserve">الشّيخ محمّد رضا الأحمديّ </w:t>
      </w:r>
      <w:r>
        <w:rPr>
          <w:rtl w:val="true"/>
        </w:rPr>
        <w:t>(</w:t>
      </w:r>
      <w:r>
        <w:rPr>
          <w:rtl w:val="true"/>
        </w:rPr>
        <w:t>دام عزه</w:t>
      </w:r>
      <w:r>
        <w:rPr>
          <w:rtl w:val="true"/>
        </w:rPr>
        <w:t>)</w:t>
      </w:r>
      <w:bookmarkEnd w:id="335"/>
    </w:p>
    <w:p>
      <w:pPr>
        <w:pStyle w:val="Heading3"/>
        <w:numPr>
          <w:ilvl w:val="2"/>
          <w:numId w:val="1"/>
        </w:numPr>
        <w:rPr/>
      </w:pPr>
      <w:bookmarkStart w:id="336" w:name="__RefHeading___Toc3482797_2870459653"/>
      <w:bookmarkStart w:id="337" w:name="_Toc130"/>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إنّ مسألة دلالة الفعل على الزمن ذات الجذور النحوية، واستعار دلالته عليه قدامى الأصوليين من النحاة، وهو ما كان محلّ مناقشة ونكران من متأخّري الأصوليين الذين بسطوا البحث فيه، فاتّسعت دائرته بما له صلة بالبحث الفلسفي والكلامي، ولا سيّما في الحواضر الشيعية التي عمّقت البحث في مسائل عدّة لها صلة بالجوانب اللغوية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نتمنّى أن تنال هذه المسألة في ثوبها الأصولي اهتمام الدارسين المحدثين لما تضمّنته من تحليل عقلي يتمتّع بالدقّة والعمق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محاولة تقديم رؤية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امتداد ذلك العطاء الوارف والوافر</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دلالة الفعل على الزمن ذات جذور نحوية، واستعار دلالته عليه قدامى الأصوليين من النحاة، وهو ما كان محلّ مناقشة وإنكار من متأخّري الأصوليين الذين بسطوا البحث فيه، فاتّسعت دائرته بما له من صلة بالبحث الفلسفي والكلامي، ولا سيّما في الحواضر الشيعية التي عمّقت البحث في مسائل عدّة لها صلة بالجوانب اللغوية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نتمنّى أن تنال هذه المسألة في ثوبها الأصولي اهتمام الدارسين المحدثين لما تضمّنته من تحليل عقلي يتمتّع بالدقّة والعمق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محاولة تقديم رؤية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امتداد ذلك العطاء الوارف والوافر</w:t>
      </w:r>
      <w:r>
        <w:rPr>
          <w:rFonts w:eastAsia="Amiri" w:cs="Amiri" w:ascii="Amiri" w:hAnsi="Amiri"/>
          <w:color w:val="111111"/>
          <w:sz w:val="28"/>
          <w:szCs w:val="28"/>
          <w:rtl w:val="true"/>
          <w:lang w:bidi="ar-SA"/>
        </w:rPr>
        <w:t xml:space="preserve">. </w:t>
      </w:r>
      <w:bookmarkStart w:id="338" w:name="pg9159_85076"/>
    </w:p>
    <w:p>
      <w:pPr>
        <w:pStyle w:val="Heading3"/>
        <w:numPr>
          <w:ilvl w:val="2"/>
          <w:numId w:val="1"/>
        </w:numPr>
        <w:rPr/>
      </w:pPr>
      <w:bookmarkStart w:id="339" w:name="__RefHeading___Toc3482799_2870459653"/>
      <w:bookmarkStart w:id="340" w:name="_Toc131"/>
      <w:bookmarkEnd w:id="338"/>
      <w:bookmarkEnd w:id="339"/>
      <w:r>
        <w:rPr>
          <w:rtl w:val="true"/>
        </w:rPr>
        <w:t>تمهيد</w:t>
      </w:r>
      <w:bookmarkEnd w:id="340"/>
    </w:p>
    <w:p>
      <w:pPr>
        <w:pStyle w:val="BookText"/>
        <w:rPr/>
      </w:pPr>
      <w:r>
        <w:rPr>
          <w:rFonts w:ascii="Amiri" w:hAnsi="Amiri" w:eastAsia="Amiri" w:cs="Amiri"/>
          <w:color w:val="111111"/>
          <w:sz w:val="28"/>
          <w:sz w:val="28"/>
          <w:szCs w:val="28"/>
          <w:rtl w:val="true"/>
          <w:lang w:bidi="ar-SA"/>
        </w:rPr>
        <w:t>اتّفق النحاة على أنّ الفعل يدلّ على الزمان، ولذلك أخذوا الدلالة على الزمان في تعريفه بحسب ما نقل عنهم المحقّق الشريف،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اصطلاح النحاة ما دلّ على معنىً في نفسه مقترن بأحد الأزمنة الثلاثة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وهذا التعريف يشتمل على بندين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معنى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في هذا البند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المعنى؛ إذ لو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يعني ذلك أنّ المعنى في نفس الكلمة الدالّة، وكون المعنى في نفس الكلمة حاصل في كلّ كلمة حتّى الحرف، مع أنّهم عرّفوه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إرجاع الضمير إلى المعنى في تعريف الفعل، فيكون معناه شيئاً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 الضمير في تعريف الحرف إلى المعنى أيضاً، فيكون معناه شيئاً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مستقلّ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فبالبند الأوّل يخرج الحرف عن تعريف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البند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مقترن بأحد الأزمنة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وتوضيح هذا البند يتوقّف على بيان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الحدثي في الفعل له نسبتان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ما يقوم به، وهو الفاعل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ما يقع فيه وهو الظرف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الذي يكون مراداً للنحاة في تعريف الفعل هو مقدار حركة الفلك، كما كان معروفاً عند القدماء، وهذا الزمان ينقسم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الزمان الذي أنت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الزمان الذي انقضى قبل زمان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الزمان الذي يُترقّب وجوده بعد زمان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هذه الأقسام الثلاثة أقسامٌ للزمان الطبيعي بالمعنى المتقدّم فتكون أزمنة حقيقية، فبهذا البند يخرج الاسم من تعريف الفعل؛ إذ إنّهم عرّفوه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معنى في نفسه غير مقترن بأحد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عرفت هاتين النقطتين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النحاة اتّفقوا على أنّ الفعل يدلّ على أحد الأزمنة الثلاثة، وبما أنّ للفعل مادّة وهيئة، فبمادّته يدلّ على الحدث، وبهيئته يدلّ على النسبة الزمانيّة، وبما أنّ الفعل بهيئته يدلّ على النسبة الزمانيّة، فدلالته عليه تكون دلالة تضمّنية، وبما أنّ وقوع الحدث في الزمان لا بدّ له بحسب الخارج من فاعل يسند إليه لوقوعه منه، فينتقل الذهن منه إلى النسبة الفاعلية إلى ذاتٍ ما، فيدلّ عليها التزاماً، فتكون دلالة الفعل على النسبة الزمانيّة دلالة تضمّنية، ودلالته على النسبة الفاعلية التزامية بالالتزام البيّن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التوضيح للبندين في تعريف الفعل يتبيّن أنّ دلالة الفعل على اقتران الحدث بأحد الأزمنة تكون بالوضع؛ لكونه مدلولاً لهيئته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الفعل بهيئته على النسبة الزمانيّة تكون التزامية؛ لأنّ الفعل بهيئته يدلّ على نسبة الحدث إلى من يقوم به، وهو الفاعل، وبما أنّ وقوع الحدث من </w:t>
      </w:r>
    </w:p>
    <w:p>
      <w:pPr>
        <w:pStyle w:val="BookText"/>
        <w:rPr/>
      </w:pPr>
      <w:r>
        <w:rPr>
          <w:rFonts w:ascii="Amiri" w:hAnsi="Amiri" w:eastAsia="Amiri" w:cs="Amiri"/>
          <w:color w:val="111111"/>
          <w:sz w:val="28"/>
          <w:sz w:val="28"/>
          <w:szCs w:val="28"/>
          <w:rtl w:val="true"/>
          <w:lang w:bidi="ar-SA"/>
        </w:rPr>
        <w:t>الفاعل الزمانيّ لا يحصل إلّا في الزمان، فتدلّ بالالتزام على النسبة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الفعل على النسبة الزمانيّة من جهة وقوع الحدث من الفاعل الزمانيّ تكون على وقوعه في زمانٍ ما من دون تعيين، وهذا النحو من الدلالة على النسبة الزمانيّة لا تكون مقصود النحاة؛ إذ قصدوا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الأزمنة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تلك الأزمنة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التوضيح حول تعريف النحاة للفعل لا بدّ من القول بأنّ الزمان المدلول للفعل عند النحاة يتميّز بخصائص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الفعل هو مدلول هيئة الفعل لا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المدلول للفعل يكون مدلولاً تضمّنياً، وبالتالي يكون فصلاً مقوّماً للفعل بحيث يوجد الفعل عند وجوده، وينعدم عند عدمه، كما أنّه يقسّم الكلمة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وجوده تكون فعلاً، وعند عدمه اسماً أو حرفاً، فصارت الدلالة على الزمان فصلاً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الفعل هو مصداق الزمان الذي يقترن به الحدث لا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المدلول عليه بالفعل هو الزمان الطبيعي الذي ينقسم إلى الأزمنة الثلاثة وهي أزمنة حقيقية، كما تقدّم تعريفها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الخصائص الأربع متّفق عليها بين النحاة</w:t>
      </w:r>
      <w:r>
        <w:rPr>
          <w:rFonts w:eastAsia="Amiri" w:cs="Amiri" w:ascii="Amiri" w:hAnsi="Amiri"/>
          <w:color w:val="111111"/>
          <w:sz w:val="28"/>
          <w:szCs w:val="28"/>
          <w:rtl w:val="true"/>
          <w:lang w:bidi="ar-SA"/>
        </w:rPr>
        <w:t xml:space="preserve">. </w:t>
      </w:r>
      <w:bookmarkStart w:id="341" w:name="pg9159_85079"/>
    </w:p>
    <w:p>
      <w:pPr>
        <w:pStyle w:val="Heading3"/>
        <w:numPr>
          <w:ilvl w:val="2"/>
          <w:numId w:val="1"/>
        </w:numPr>
        <w:rPr/>
      </w:pPr>
      <w:bookmarkStart w:id="342" w:name="__RefHeading___Toc3482801_2870459653"/>
      <w:bookmarkStart w:id="343" w:name="_Toc132"/>
      <w:bookmarkEnd w:id="341"/>
      <w:bookmarkEnd w:id="342"/>
      <w:r>
        <w:rPr>
          <w:rtl w:val="true"/>
        </w:rPr>
        <w:t>موقف الأصوليين من مذهب النحاة</w:t>
      </w:r>
      <w:bookmarkEnd w:id="343"/>
    </w:p>
    <w:p>
      <w:pPr>
        <w:pStyle w:val="Heading4"/>
        <w:numPr>
          <w:ilvl w:val="3"/>
          <w:numId w:val="1"/>
        </w:numPr>
        <w:rPr/>
      </w:pPr>
      <w:bookmarkStart w:id="344" w:name="__RefHeading___Toc3482803_2870459653"/>
      <w:bookmarkStart w:id="345" w:name="_Toc133"/>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قد ردّ الأصوليون على مسلك النحاة في دلالة الفعل على الزمان بردود عدّة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482805_2870459653"/>
      <w:bookmarkStart w:id="347" w:name="_Toc134"/>
      <w:bookmarkEnd w:id="346"/>
      <w:r>
        <w:rPr>
          <w:rtl w:val="true"/>
        </w:rPr>
        <w:t>الردّ الأوّل</w:t>
      </w:r>
      <w:bookmarkEnd w:id="347"/>
    </w:p>
    <w:p>
      <w:pPr>
        <w:pStyle w:val="BookText"/>
        <w:rPr/>
      </w:pPr>
      <w:r>
        <w:rPr>
          <w:rFonts w:ascii="Amiri" w:hAnsi="Amiri" w:eastAsia="Amiri" w:cs="Amiri"/>
          <w:color w:val="111111"/>
          <w:sz w:val="28"/>
          <w:sz w:val="28"/>
          <w:szCs w:val="28"/>
          <w:rtl w:val="true"/>
          <w:lang w:bidi="ar-SA"/>
        </w:rPr>
        <w:t>أنّ وضع الفعل انحلالي، فالمادّة فيه موضوعة للدلالة على نفس الحدث، والهيئة فيه موضوعة للدلالة على النسبة بين الحدث وفاعلٍ ما، ومجموع المادّة والهيئة موضوع للدلالة على نسبة الحدث إلى فاعلٍ ما، فلم يبقَ في الفعل ما يدلّ على الزمان حتّى يكون جزء مدلوله، وهذا الردّ جاء في الكفاية على نحو الإشارة عندما أنكر دلالة فعل الأمر والنهي على الزمان؛ لأنّ إنكار دلالتهما عليه مبنيّ على انحلالية الوضع في الأفعال مطلقاً، فلذلك يكون الردّ المتقدّم موجباً لنفي دلالة الأفعال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الردّ تبيّن دفعه ممّا تقدّم في بيان كلام النحاة؛ فإنّ المادّة موضوعة للدلالة على الحدث، وأمّا الهيئة فغير موضوعة للدلالة على النسبة الفاعلية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للدلالة على الزمان، بل الهيئة موضوعة للدلالة على النسبة الزمانيّة، فتدلّ على وقوع الحدث في زمان معيّن من الأزمنة الثلاثة، والهيئة الدالّة على هذا الوقوع تدلّ على الزمان، ولمّا كان وقوعه في الزمان لا بدّ له بحسب الخارج من فاعل يستند إليه، فالذهن ينتقل إلى فاعلٍ ما، فتكون الدلالة على النسبة الفاعلية دلالة التزامية بالالتزام البيّن بالمعنى الأعمّ</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482807_2870459653"/>
      <w:bookmarkStart w:id="349" w:name="_Toc135"/>
      <w:bookmarkEnd w:id="348"/>
      <w:r>
        <w:rPr>
          <w:rtl w:val="true"/>
        </w:rPr>
        <w:t>الردّ الثاني</w:t>
      </w:r>
      <w:bookmarkEnd w:id="3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كفاية الأصول</w:t>
      </w:r>
      <w:r>
        <w:rPr>
          <w:rStyle w:val="FootnoteAnchor"/>
          <w:rtl w:val="true"/>
        </w:rPr>
        <w:footnoteReference w:id="341"/>
      </w:r>
      <w:r>
        <w:rPr>
          <w:rFonts w:ascii="Amiri" w:hAnsi="Amiri" w:eastAsia="Amiri" w:cs="Amiri"/>
          <w:color w:val="111111"/>
          <w:sz w:val="28"/>
          <w:sz w:val="28"/>
          <w:szCs w:val="28"/>
          <w:rtl w:val="true"/>
          <w:lang w:bidi="ar-SA"/>
        </w:rPr>
        <w:t xml:space="preserve">من أنّ فعلي الأمر والنهي لا يدلّان إلّا </w:t>
      </w:r>
    </w:p>
    <w:p>
      <w:pPr>
        <w:pStyle w:val="BookText"/>
        <w:rPr/>
      </w:pPr>
      <w:r>
        <w:rPr>
          <w:rFonts w:ascii="Amiri" w:hAnsi="Amiri" w:eastAsia="Amiri" w:cs="Amiri"/>
          <w:color w:val="111111"/>
          <w:sz w:val="28"/>
          <w:sz w:val="28"/>
          <w:szCs w:val="28"/>
          <w:rtl w:val="true"/>
          <w:lang w:bidi="ar-SA"/>
        </w:rPr>
        <w:t>على طلب وجود الفعل أو طلب تركه؛ فإنّ المادّة فيهما تدلّ على نفس الحدث، والهيئة فيهما تدلّ على طلب وجوده في الأمر، وعلى طلب تركه في النهي، أو تدلّ على البعث إليه في الأمر أو الزجر عنه في النهي، ولا دلالة لهما على عنصر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من النحاة بأنّ الأمر والنهي يدلّان على زمان الحال ردّ عليه الآخوند وتلميذه العلّامة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الحال المدلول لهما 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يكون ظرفاً لإنشاء الطلب المدلول للصيغة فيستلزم أن تدلّ الجملة الاسمية على زمان الحال وضعاً أيضاً؛ لكونه ظرفاً للإخبار عن النسبة الخبرية، إذ إنشاء الطلب فعل اختياري للمتكلّم، ويقع في زمان الحال، فكذلك الإخبار عن النسبة الخبرية في الماضي أو الحال أو المستقبل أيضاً فعل اختياري للمتكلّم يقع في زمان الحال، فلو كانت الصيغة فيهما دالّة على زمان الإنشاء لكانت الجملة الخبرية أيضاً دالّة على زمان الإخبار مع أنّ الجملة الاسمية لا تدلّ وضعاً على زمان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يعقل أن يكون زمان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ظرف للإنشاء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يكون ظرفاً للمطلوب المدلول للصيغتين فيستلزم التكليف بغير المقدور، أو التجريد والمجاز</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بانتهاء المتكلّم من النطق بالصيغة ينقضي زمان الحال، ومع انقضائه إمّا لا تُجرّد صيغة الأمر والنهي عن زمان الحال فيكون فعل المأمور به وترك </w:t>
      </w:r>
      <w:bookmarkStart w:id="350" w:name="pg9159_85081"/>
    </w:p>
    <w:p>
      <w:pPr>
        <w:pStyle w:val="BookText"/>
        <w:rPr/>
      </w:pPr>
      <w:bookmarkEnd w:id="350"/>
      <w:r>
        <w:rPr>
          <w:rFonts w:ascii="Amiri" w:hAnsi="Amiri" w:eastAsia="Amiri" w:cs="Amiri"/>
          <w:color w:val="111111"/>
          <w:sz w:val="28"/>
          <w:sz w:val="28"/>
          <w:szCs w:val="28"/>
          <w:rtl w:val="true"/>
          <w:lang w:bidi="ar-SA"/>
        </w:rPr>
        <w:t>المنهيّ عنه مطلوباً في الزمان الذي قد انقضى، وهذا تكليف بغير المقدور، وطلبه قبيح لا يصدر من الآمر الحكيم، وإمّا تجرّد عن زمان الحال، وتستعمل في طلب وجود الفعل أو تركه، فحينئذٍ تستعمل الصيغة في جزء معناه، فيكون الاستعمال مجازياً مع أنّ العرف يستعملها دون لحاظ أيّ علاقة بين المستعمل فيه للصيغتين ومعناهما الحقيقي، مضافاً إلى أنّ دخل زمان الحال في الموضوع له مع التجريد عنه دائماً حين الاستعمال خلاف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الردّ متين لا غبار عليه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482809_2870459653"/>
      <w:bookmarkStart w:id="352" w:name="_Toc136"/>
      <w:bookmarkEnd w:id="351"/>
      <w:r>
        <w:rPr>
          <w:rtl w:val="true"/>
        </w:rPr>
        <w:t>الردّ الثالث</w:t>
      </w:r>
      <w:bookmarkEnd w:id="352"/>
    </w:p>
    <w:p>
      <w:pPr>
        <w:pStyle w:val="Heading5"/>
        <w:numPr>
          <w:ilvl w:val="4"/>
          <w:numId w:val="1"/>
        </w:numPr>
        <w:rPr/>
      </w:pPr>
      <w:bookmarkStart w:id="353" w:name="__RefHeading___Toc3482811_2870459653"/>
      <w:bookmarkStart w:id="354" w:name="_Toc137"/>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يتضمّن هذا الردّ مجموعة من النقوض على مسلك النحاة، ونحن نقتصر على النقوض التي أوردها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Heading5"/>
        <w:numPr>
          <w:ilvl w:val="4"/>
          <w:numId w:val="1"/>
        </w:numPr>
        <w:rPr/>
      </w:pPr>
      <w:bookmarkStart w:id="355" w:name="__RefHeading___Toc3482813_2870459653"/>
      <w:bookmarkStart w:id="356" w:name="_Toc138"/>
      <w:bookmarkEnd w:id="355"/>
      <w:r>
        <w:rPr>
          <w:rtl w:val="true"/>
        </w:rPr>
        <w:t>النقض الأوّل</w:t>
      </w:r>
      <w:bookmarkEnd w:id="356"/>
    </w:p>
    <w:p>
      <w:pPr>
        <w:pStyle w:val="Heading6"/>
        <w:numPr>
          <w:ilvl w:val="5"/>
          <w:numId w:val="1"/>
        </w:numPr>
        <w:rPr/>
      </w:pPr>
      <w:bookmarkStart w:id="357" w:name="__RefHeading___Toc3482815_2870459653"/>
      <w:bookmarkStart w:id="358" w:name="_Toc139"/>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أنّه لو كان الزمان جزءاً من مدلول الفعل للزم التجريد عند الإسناد والمجاز فيما إذا كان الفاعل زماناً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المثال الأوّل 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والأمس زمان، وفي المثال الآخر 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والغد زمان، فلو كان الزمان جزءاً 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للزم أن يقع سبق الأمس في زمان سابق، ولحوق الغد في زمان لاحق، فيكون الزمان واقعاً في زمان، فيستلزم التسلسل، والتسلسل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تجريده من الزمان المأخوذ فيه، وعليه يكون الاستعمال مجازياً، والمجاز يحتاج إلى لحاظ العلاقة، ولا نرى في أنفسنا عند إسناد الفعل إلى الزمان أيّ لحاظ للعلاقة في استعماله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على هذا النقض بوجهين</w:t>
      </w:r>
      <w:r>
        <w:rPr>
          <w:rFonts w:eastAsia="Amiri" w:cs="Amiri" w:ascii="Amiri" w:hAnsi="Amiri"/>
          <w:color w:val="111111"/>
          <w:sz w:val="28"/>
          <w:szCs w:val="28"/>
          <w:rtl w:val="true"/>
          <w:lang w:bidi="ar-SA"/>
        </w:rPr>
        <w:t xml:space="preserve">: </w:t>
      </w:r>
      <w:bookmarkStart w:id="359" w:name="pg9159_85082"/>
    </w:p>
    <w:p>
      <w:pPr>
        <w:pStyle w:val="Heading6"/>
        <w:numPr>
          <w:ilvl w:val="5"/>
          <w:numId w:val="1"/>
        </w:numPr>
        <w:rPr/>
      </w:pPr>
      <w:bookmarkStart w:id="360" w:name="__RefHeading___Toc3482817_2870459653"/>
      <w:bookmarkStart w:id="361" w:name="_Toc140"/>
      <w:bookmarkEnd w:id="359"/>
      <w:bookmarkEnd w:id="360"/>
      <w:r>
        <w:rPr>
          <w:rtl w:val="true"/>
        </w:rPr>
        <w:t>الوجه الأوّل</w:t>
      </w:r>
      <w:r>
        <w:rPr>
          <w:rtl w:val="true"/>
        </w:rPr>
        <w:t xml:space="preserve">: </w:t>
      </w:r>
      <w:r>
        <w:rPr>
          <w:rtl w:val="true"/>
        </w:rPr>
        <w:t xml:space="preserve">ما أفاده المحقّق الأصفهاني </w:t>
      </w:r>
      <w:r>
        <w:rPr>
          <w:rtl w:val="true"/>
        </w:rPr>
        <w:t>(</w:t>
      </w:r>
      <w:r>
        <w:rPr>
          <w:rtl w:val="true"/>
        </w:rPr>
        <w:t>قدس سره</w:t>
      </w:r>
      <w:r>
        <w:rPr>
          <w:rtl w:val="true"/>
        </w:rPr>
        <w:t>)</w:t>
      </w:r>
      <w:bookmarkEnd w:id="361"/>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التقدّم والتأخّر الزمانيّين هو عدم اجتماعهما في الوجود، وعدم الاجتماع قد يكون ذاتياً، كتقدّم بعض أجزاء الزمان على البعض الآخر، مثل اليوم والغد والسنة الحالية والسنة المقبلة وهكذا، وقد يكون عرضياً، كتقدّم بعض الزمانيّات على البعض الآخر، كدرس اليوم ودرس الغد، فإنّهما لا يجتمعان؛ لوقوع أحدهما في الزمن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ووقوع الآخر في الزمن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والنحاة الذين ذهبوا إلى دلالة الفعل على الزمان أرادوا منه التقدّم الزمانيّ الذي هو أمر واقعي انتزاعي يحصل للزمان بالذات وللزمانيّات بالعرض، وليس مقصودهم من الزمان هو مقدار حركة الفلك، حتّى يقع مضي الأمس وإتيان الغد فيه، وبالتالي يكون للزمان زمان، فلذلك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سبق الأمس بالذات على اليوم، لا على وقوع سبقه في زمان سابق،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سبق الكلام بالزمان الماضي، وهكذا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لحوق الغد بالذات على اليوم، لا على وقوع لحوقه في الزمان اللاحق بينما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لحوق الكلام في الزمان اللاحق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الردّ يخالف ما قلناه في الخصوصية الرابعة من أنّ مقصود النحاة من الزمان هو الزمان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مقدار حركة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السبق واللحوق الزمانيّان </w:t>
      </w:r>
      <w:bookmarkStart w:id="362" w:name="pg9159_85083"/>
    </w:p>
    <w:p>
      <w:pPr>
        <w:pStyle w:val="BookText"/>
        <w:rPr/>
      </w:pPr>
      <w:bookmarkEnd w:id="362"/>
      <w:r>
        <w:rPr>
          <w:rFonts w:ascii="Amiri" w:hAnsi="Amiri" w:eastAsia="Amiri" w:cs="Amiri"/>
          <w:color w:val="111111"/>
          <w:sz w:val="28"/>
          <w:sz w:val="28"/>
          <w:szCs w:val="28"/>
          <w:rtl w:val="true"/>
          <w:lang w:bidi="ar-SA"/>
        </w:rPr>
        <w:t>حتّى يعمّم إلى ما بالذات وإلى ما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يكون هذا الكلام وجهة نظر جديدة غير ما هو المشهور بين النحاة، وبهذا الكلام لا يدفع هذا النقض على ما ذهب إليه النحاة</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482819_2870459653"/>
      <w:bookmarkStart w:id="364" w:name="_Toc141"/>
      <w:bookmarkEnd w:id="363"/>
      <w:r>
        <w:rPr>
          <w:rtl w:val="true"/>
        </w:rPr>
        <w:t>الوجه الآخر</w:t>
      </w:r>
      <w:r>
        <w:rPr>
          <w:rtl w:val="true"/>
        </w:rPr>
        <w:t xml:space="preserve">: </w:t>
      </w:r>
      <w:r>
        <w:rPr>
          <w:rtl w:val="true"/>
        </w:rPr>
        <w:t>ما أفاده بعض المعاصرين</w:t>
      </w:r>
      <w:bookmarkEnd w:id="364"/>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السبق واللحوق من المفاهيم الانتزاعية التي تنتزع من الموجودات المتعدّدة من دون الحاجة في انتزاعهما إلى ملاحظة شيء آخر يرسم الزمان بحركته مثل الفلك، وأذكر فرضاً واحداً لتصوير هذا الانتزاع من كلامه،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فرض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زيداً ثمّ أعدمه ثمّ أوجد عَمراً بحيث لم يقترن وجودهما وما بينهما بأيّ كائن متغيّر راسم للزمان، فإنّ وجود زيد يوصف بأنّه أسبق من وجود عمروٍ</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 أنّ السبق واللحوق هنا يُنتزعان من الوجودات المتعدّدة إذا قيس بعضها إلى بعض بغضّ النظر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فالفعل الماضي يدلّ على نسبة الحدث إلى فاعلٍ ما المتّصفة بالسبق والتقدّم، والفعل المضارع يدلّ على نسبة الحدث إلى فاعلٍ ما المتّصفة باللحوق والتأخّر، سواء أسند الحدث إلى الزمان،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أسند إلى الزمانيّ،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هذا الوجه والوجه السابق أنّ الوجه السابق كان مبنياً على أنّ السبق </w:t>
      </w:r>
    </w:p>
    <w:p>
      <w:pPr>
        <w:pStyle w:val="BookText"/>
        <w:rPr/>
      </w:pPr>
      <w:r>
        <w:rPr>
          <w:rFonts w:ascii="Amiri" w:hAnsi="Amiri" w:eastAsia="Amiri" w:cs="Amiri"/>
          <w:color w:val="111111"/>
          <w:sz w:val="28"/>
          <w:sz w:val="28"/>
          <w:szCs w:val="28"/>
          <w:rtl w:val="true"/>
          <w:lang w:bidi="ar-SA"/>
        </w:rPr>
        <w:t>واللحوق يكونان بحسب الزمان، إمّا بالذات إذا أسند الفعل إلى الزمان، أو بالعرض إذا أسند إلى الزمانيّ، وأمّا هذا الوجه فمبنيّ على أنّ السبق واللحوق يكون لشيء عندما يقاس إلى شيءٍ آخر بغضّ النظر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التقدّم والتأخّر لا ينتزعان من شيء بلا مصحّح، وهذا المصحّح يسمّى بالملاك، وهو أمر مشترك بين المتقدّم والمتأخّر، فيحصل للمتقدّم قبل حصوله للمتأخّر، ولا يحصل للمتأخّر إلّا بعد حصوله للمتقدّم، فالمتقدّم يكون سابقاً لحصول الملاك فيه قبل حصوله للمتأخّر، والمتأخّر يكون متأخّراً لحصول الملاك فيه بعد حصوله للمتقدّم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وجود هذا الملاك في المتقدّم والمتأخّر يتوقّف على ذكر الأقسام السبعة للمتقدّم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المتقدّم محتاجاً إليه المتأخّر في الوجود، مثل العلّة الناقصة بالنسبة إلى المعلول، والملاك فيه هو الوجود، فإنّه أمر مشترك بين المتقدّم والمتأخّر، ولا يوجد في المتأخّر إلّا بعد وجوده للمتقدّم، فما به التقدّم هو الوجود، وما فيه التقدّم هو العلّة الناقصة؛ لأنّها تتقدّم على المعلول بالوجود، فالوجود يحصل لها أوّلاً، ويحصل للمعلول آخراً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المتقدّم بالرتبة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المتقدّم أقرب من غيره إلى مبدأ محدود، </w:t>
      </w:r>
    </w:p>
    <w:p>
      <w:pPr>
        <w:pStyle w:val="BookText"/>
        <w:rPr/>
      </w:pPr>
      <w:r>
        <w:rPr>
          <w:rFonts w:ascii="Amiri" w:hAnsi="Amiri" w:eastAsia="Amiri" w:cs="Amiri"/>
          <w:color w:val="111111"/>
          <w:sz w:val="28"/>
          <w:sz w:val="28"/>
          <w:szCs w:val="28"/>
          <w:rtl w:val="true"/>
          <w:lang w:bidi="ar-SA"/>
        </w:rPr>
        <w:t>والتقدّم في هذا القسم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بحسب الطبع فيما إذا كان ترتّب المتأخّر على المتقدّم طبعياً، كالأجناس البعيدة مثل الجسم المطلق والجسم النامي، والجنس القريب كالحيوان بالنسبة إلى مبدأ محدود، فإنّك إذا جعلت الجوهر مبدأً كان الجسم المطلق والجسم النامي متقدّماً على الحيوان؛ لقربهما إلى الجوهر، وإن جعلت الإنسان مبدأً، يكون الحيوان أقرب إليه من الجسم المطلق والجسم النامي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بحسب الوضع فيما إذا كان ترتّب المتأخّر على المتقدّم مكانياً، كالإمام وصفوف المأمومين بالنسبة إلى مبدأ محدود، فإنّك إذا جعلت المحراب مبدأً، يكون الإمام متقدّماً على صفوف المأمومين؛ لقربه إلى المحراب وبُعد المأمومين عنه، وإذا جعلت الباب مبدأً ينعكس الحال، والملاك في هذا التقدّم هو النسبة إلى المبدأ، فإنّها أمر مشترك بين المتقدّم والمتأخّر، ولا تحصل للمتأخّر إلّا بعد حصولها للمتقدّم، وبما أنّ الملاك في هذا القسم هو النسبة المكانية إلى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نسبة المتقدّم والمتأخّر من حيث مكانهما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هذه النسبة يكون المتقدّم قريباً من المبدأ، والمتأخّر بعيداً عنه، وعليه يكون التقدّم والتأخّر باعتبار الوصول إليهما، فالمتحرّك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كالنملة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يتحرّك من المحراب إلى خارجه يصل إلى الإمام أوّلاً، ثمّ يصل إلى صفوف المأمومين لو جعلنا المحراب مبدأ، وليس الملاك هو مجرّد نسبة المتقدّم والمتأخّر إلى المبدأ، حتّى يقال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للأقرب حاصلة في الآن نفسه الذي حصلت فيه النسبة للأبعد، فلا تفاوت بينهما من هذه الجهة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ما به التقدّم هو النسبة إلى المبدأ المحدود، وما فيه التقدّم هو الإمام مثلاً؛ لأنّه يتقدّم على المأمومين بهذه النسبة، وهذه النسبة تحصل له أوّلاً، </w:t>
      </w:r>
    </w:p>
    <w:p>
      <w:pPr>
        <w:pStyle w:val="BookText"/>
        <w:rPr/>
      </w:pPr>
      <w:r>
        <w:rPr>
          <w:rFonts w:ascii="Amiri" w:hAnsi="Amiri" w:eastAsia="Amiri" w:cs="Amiri"/>
          <w:color w:val="111111"/>
          <w:sz w:val="28"/>
          <w:sz w:val="28"/>
          <w:szCs w:val="28"/>
          <w:rtl w:val="true"/>
          <w:lang w:bidi="ar-SA"/>
        </w:rPr>
        <w:t>وتحصل للمأمومين آخراً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المتقدّم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المتقدّم علّة موجبة لوجود المعلول، وهي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جميع ما يتوقّف عليه وجود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في هذا التقدّم هو وجوب الوجود، وهو أمر مشترك بين العلّة والمعلول، فيحصل للعلّة أوّلاً، ويحصل للمعلول آخراً، فما به التقدّم هو وجوب الوجود، وما فيه التقدّم هو العلّة التامّة؛ لأنّها تتقدّم على المعلول بوجوب الوجود، فوجوب الوجود يحصل لها أوّلاً، ويحصل للمعلول آخراً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المتقدّم بحسب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لا يكون كلّ من المتقدّم والمتأخّر موجوداً في فرض وجود الآخر، وهذا القسم من المتقدّم والمتأخّر لا يجتمعان في الوجود؛ لأنّه لا يوجد المتأخّر إلّا بعد انقضاء المتقدّم، والتقدّم إمّا في نفس الزمان، كتقدّم الأمس على اليوم، فيكون التقدّم وصفاً بالذات للزمان، وإمّا في الزمانيّ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الواقع في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كتقدّم موسى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لا يتقدّم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يتقدّم عليه بالزمان؛ لأنّه وُجد في زمان ثمّ انقضى زمانه بموته، وجاء زمان آخر، ووُجد فيه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 تقدّم موسى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بالزمان، والملاك في هذا التقدّم هو النسبة إلى الزمان باعتباره امتداداً طولياً من الأزل إلى الأبد، فقطعة منه هي الأمس تتقدّم على قطعة أخرى منه وهي اليوم؛ لأنّ النسبة إلى ذلك الكلّ الممتدّ تدريجي الحصول تحصل أوّلاً للأمس، وتحصل آخراً لليوم، فما به التقدّم هو النسبة إلى الزمان ككلّ، وما فيه التقدّم هو الزمان كجزء، فإنّ هذه النسبة تحصل للجزء الأوّل من الزمان أوّلاً، وتحصل للجزء الآخر آخراً، هذا بالنسبة إلى التقدّم والتأخّر في نفس الزمان، وأمّا بالنسبة إلى الزمانيّ كموسى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p>
    <w:p>
      <w:pPr>
        <w:pStyle w:val="BookText"/>
        <w:rPr/>
      </w:pPr>
      <w:r>
        <w:rPr>
          <w:rFonts w:ascii="IRNazanin" w:hAnsi="IRNazanin" w:eastAsia="IRNazanin"/>
          <w:color w:val="111111"/>
          <w:sz w:val="28"/>
          <w:sz w:val="28"/>
          <w:szCs w:val="28"/>
          <w:rtl w:val="true"/>
          <w:lang w:bidi="fa-IR"/>
        </w:rPr>
        <w:t xml:space="preserve">موسى له نسبة إلى زمان سابق،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نسبة إلى زمان لاحق، فصار تقدّم أحدهما على الآخر بالعرض، فما به التقدّم هو النسبة إلى زمان معيّن، وما فيه التقدّم هو الزمانيّ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المتقدّم بالتقدّم السرمدي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يكون كلّ من المتقدّم والمتأخّر موجوداً في فرض وجود الآخر، وهذا القسم من المتقدّم والمتأخّر لا يجتمعان في الوجود؛ لإشغال كلّ منهما مرتبة من المراتب الطولية للوجود، فلا يكون أحدهما في مرتبة الآخر، كتقدّم وجود الله تبارك وتعالى على العالم، أي ما سواه، وكلّ مرتبة غير المرتبة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أنّهما يجتمعان في مرتبة المتأخّر وجوداً، وإلّا كان العالم موجوداً ولم يكن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العالم موجوداً ولم يكن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تالٍ للمقدّم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الله في مرتبة المتأخّر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قُصد منه وجود العالم وعدم وجوده تعالى مطلقاً، لا في المرتبة المتقدّمة ولا في المرتبة المتأخّرة فهذا التالي باطلٌ، ولكنّه ليس لازماً للمقدّم؛ لأنّ نفي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وجوده في مرتبة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نفي العامّ، وهو نفي وجوده في المرتبة المتقدّمة والمتأخّرة، والأعمّ لا يلزم الأخصّ، فإذا لم يكن لازماً للمقدّم فلا يبطل ببطلانه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قصد منه وجود العالم وعدم وجود الله في مرتبته، فهذا التالي هو المطلوب، وليس بباطلٍ حتّى يؤدّي إلى بطلان المقدّم؛ إذ وجود المتقدّم لا يجتمع مع وجود المتأخّر في مرتبته، وإلّا استلزم أن يكون المتقدّم متأخّراً، وهذا خُلفٌ، إلّا أنّ وجود المتقدّم يكون مع المتأخّر مقوّماً له من دون التجافي عن مرتبته المتقدّمة، فاجتماعه </w:t>
      </w:r>
    </w:p>
    <w:p>
      <w:pPr>
        <w:pStyle w:val="BookText"/>
        <w:rPr/>
      </w:pPr>
      <w:r>
        <w:rPr>
          <w:rFonts w:ascii="Amiri" w:hAnsi="Amiri" w:eastAsia="Amiri" w:cs="Amiri"/>
          <w:color w:val="111111"/>
          <w:sz w:val="28"/>
          <w:sz w:val="28"/>
          <w:szCs w:val="28"/>
          <w:rtl w:val="true"/>
          <w:lang w:bidi="ar-SA"/>
        </w:rPr>
        <w:t>تعالى مع المتأخّر في مرتبته يعني أن يكون وجوده معه في تلك المرتبة، وهذا محال، وأمّا كونه مقوّماً للمتأخّر، يعني أنّ وجوده في مرتبته المتقدّمة قوام له من دون أن يتجافى عن مرتبته، وهذا واجب، وإلّا استلزم أن يكون المتأخّر قائماً بنفسه، وهو خُلف كونه قائماً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عدم اجتماع المتقدّم والمتأخّر في الوجود خصوصية مشتركة بين التقدّم بالزمان والتقدّم السرمدي، وليس ملاكاً فيهما، بل الملاك في التقدّم بالزمان ما ذُكر آنفاً، والملاك في هذا التقدّم هو الوقوع في عالم العين والخارج، فإنّه أمر مشترك بينهما إلّا أنّه حاصل للواجب تعالى أوّلاً، ويحصل لما سواه آخراً، فما به التقدّم هو الوقوع في عالم العين، وما فيه التقدّم هو الذي يملأ عالم العين، فإنّ الوقوع في عالم العين يحصل للمرتبة الأولى من عالم الوجود أوّلاً، ويحصل للمرتبة الأخرى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التقدّم بالزمان والتقدّم السرمدي هو أنّ التقدّم السرمدي في المراتب الطولية للوجود، بينما التقدّم في الزمان في مرتبة واحدة من الوجود، وهي عالم المادّة،</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التقدّم بالعلّية والتقدّم السرمدي أنّ السابق واللاحق في المتقدّم بالعلّية يجتمعان في الوجود، وتقدّم أحدهما على الآخر يكون بحكم العقل،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اليد فتحرّك المفتاح، بينما في التقدّم السرمدي السابق واللاحق لا يجتمعان في الوجود، فالسابق في مرتبة واللاحق في مرتبة أخرى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المتقدّم بالتجوهر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المتقدّم محتاجاً إليه المتأخّر في قوام ذاته، كتقدّم الجنس والفصل على النوع، مثل الحيوان الناطق على الإنسان؛ لأنّ الإنسان لا </w:t>
      </w:r>
    </w:p>
    <w:p>
      <w:pPr>
        <w:pStyle w:val="BookText"/>
        <w:rPr/>
      </w:pPr>
      <w:r>
        <w:rPr>
          <w:rFonts w:ascii="Amiri" w:hAnsi="Amiri" w:eastAsia="Amiri" w:cs="Amiri"/>
          <w:color w:val="111111"/>
          <w:sz w:val="28"/>
          <w:sz w:val="28"/>
          <w:szCs w:val="28"/>
          <w:rtl w:val="true"/>
          <w:lang w:bidi="ar-SA"/>
        </w:rPr>
        <w:t>تتمّ ذاته إلّا بالحيوان والناطق، والملاك في هذا التقدّم هو التقرّر الماهوي، فإنّه أمر مشترك بين المتقدّم والمتأخّر، فيحصل أوّلاً للمتقدّم ويحصل آخراً للمتأخّر؛ لأنّ المتأخّر لا تقوّم لذاته إلّا بقوام ذات المتقدّم، فما به التقدّم هو التقرّر الماهوي، وما فيه التقدّم هو المتقوّم بذاته، فإنّ التقرّر الماهوي يحصل للمتقوّم بذاته أوّلاً، ويحصل للمتقوّم بغيره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الأقسام الستّة لا يتّصف المتقدّم بالسبق على المتأخّر إلّا بلحاظ أوّلية حصول الملاك فيه، ولا يتّصف المتأخّر باللحوق إلّا بلحاظ آخرية حصول الملاك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المتقدّم بالشرف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يكون للمتقدّم زيادة كمالٍ عن المتأخّر في أمر مشترك بينهما، كتقدّم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والملاك في هذا التقدّم هو الفضائل والمقامات، فإنّها أمر مشترك بين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يتّصف بزيادة الفضائل والمقامات التي هي مفقودة في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هذا القسم لا يحصل الأمر المشترك في المتقدّم أوّلاً وفي المتأخّر آخراً، بل يحصل في المتقدّم بزيادة ويحصل في المتأخّر بنقيصة، ولذلك عدل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ملاك التقدّم إلى بيان آخر، وهو أنّ الملاك في المتقدّم أكمل منه في المتأخّر</w:t>
      </w:r>
      <w:r>
        <w:rPr>
          <w:rStyle w:val="FootnoteAnchor"/>
          <w:rtl w:val="true"/>
        </w:rPr>
        <w:footnoteReference w:id="346"/>
      </w:r>
      <w:r>
        <w:rPr>
          <w:rFonts w:ascii="Amiri" w:hAnsi="Amiri" w:eastAsia="Amiri" w:cs="Amiri"/>
          <w:color w:val="111111"/>
          <w:sz w:val="28"/>
          <w:sz w:val="28"/>
          <w:szCs w:val="28"/>
          <w:rtl w:val="true"/>
          <w:lang w:bidi="ar-SA"/>
        </w:rPr>
        <w:t>، ونحن اعتمدنا على البيان المعروف لملاك التقدّم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وبيت القصيد في هذه المقدّمة الطويلة هو أنّ السبق واللحوق لا ينتزعان من الكائنات عندما نقيس بعضها إلى بعض باعتبار عدم الاجتماع في الوجود، فلا بدّ من </w:t>
      </w:r>
    </w:p>
    <w:p>
      <w:pPr>
        <w:pStyle w:val="BookText"/>
        <w:rPr/>
      </w:pPr>
      <w:r>
        <w:rPr>
          <w:rFonts w:ascii="Amiri" w:hAnsi="Amiri" w:eastAsia="Amiri" w:cs="Amiri"/>
          <w:color w:val="111111"/>
          <w:sz w:val="28"/>
          <w:sz w:val="28"/>
          <w:szCs w:val="28"/>
          <w:rtl w:val="true"/>
          <w:lang w:bidi="ar-SA"/>
        </w:rPr>
        <w:t>أمر آخر عندما نقيس شيئاً إلى شيء آخر، وهو أنّ في الشيء الأوّل ما به التقدّم وفي الشيء الآخر ما به التأخّر، وهو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أساسه لا وجه لما قاله صاحب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أنّ الله تعالى أوجد زيداً، ثمّ أعدمه، ثمّ أوجد عمراً، بحيث لم يقترن وجودهما وما بينهما بأيّ كائن متغيّرٍ راسمٍ للزمان، فإنّ وجود زيد يوصف بأنّه أسبق من وجود عمرو</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فيقصد منه تجريد وجود زيد ووجود عمرو من الزمان، وأيضاً تجريد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وذلك بغضّ النظر عنه؛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السبق يُنتزع من وجود زيد، ومفهوم اللحوق من وجود عمرو؛ لعدم اجتماعهما بتخلّل العدم بينهما من دون لحاظ كائن متغيّر يرسم الزمان بتغيّره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عليه أنّ السبق لا يُنتزع من وجود زيد نفسه بالقياس إلى وجود عمرو، كما أنّ اللحوق أيضاً لا يُنتزع من وجود عمرو نفسه بالقياس إلى وجود زيد، وإلّا لصحّ أن ينتزع السبق واللحوق من أيّ شيءٍ يلحظ بالنسبة إلى شيءٍ آخر، كالإنسان عندما يلحظ بالنسبة إلى الحجر مثلاً، فلا بدّ من أمرٍ زائد عليهما، وهو لا يخلو من احتمالات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العدم الفاصل بينهما، وهذا الاحتمال غير صحيح؛ لأنّ فصل عدم زيد بين وجوده ووجود عمرو لا يصحّح انتزاع السبق من وجوده، واللحوق من </w:t>
      </w:r>
    </w:p>
    <w:p>
      <w:pPr>
        <w:pStyle w:val="BookText"/>
        <w:rPr/>
      </w:pPr>
      <w:r>
        <w:rPr>
          <w:rFonts w:ascii="Amiri" w:hAnsi="Amiri" w:eastAsia="Amiri" w:cs="Amiri"/>
          <w:color w:val="111111"/>
          <w:sz w:val="28"/>
          <w:sz w:val="28"/>
          <w:szCs w:val="28"/>
          <w:rtl w:val="true"/>
          <w:lang w:bidi="ar-SA"/>
        </w:rPr>
        <w:t>وجود عمرو، بل يصحّح عدم اجتماع وجود زيد بوجود عمرو،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زيد لا يجتمع بوجود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معدوماً عند وجود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اجتماع وجود زيد بوجود عمرو، وصاحب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صحيح أيضاً؛ لأنّ عدم الاجتماع متساوي النسبة إلى وجوديهما، فكما لا يجتمع وجود زيدٍ مع وجود عمرو كذلك وجود عمرو لا يجتمع مع وجود زيد، وعلى أساس هذا الأمر المساوي إليهما لا ينتزع السبق من وجود زيد، واللحوق من وجود عمرو، فلماذا لا يكون الأمر بالعكس، ما دام عدم الاجتماع متساوي النسبة إليهما؟</w:t>
      </w:r>
    </w:p>
    <w:p>
      <w:pPr>
        <w:pStyle w:val="BookText"/>
        <w:rPr/>
      </w:pPr>
      <w:r>
        <w:rPr>
          <w:rFonts w:ascii="Amiri" w:hAnsi="Amiri" w:eastAsia="Amiri" w:cs="Amiri"/>
          <w:color w:val="111111"/>
          <w:sz w:val="28"/>
          <w:sz w:val="28"/>
          <w:szCs w:val="28"/>
          <w:rtl w:val="true"/>
          <w:lang w:bidi="ar-SA"/>
        </w:rPr>
        <w:t xml:space="preserve">وردّ عليه بأنّه يأتي في تقدّم أجزاء الزمان بعضها على بعضٍ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اجتماعه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الردّ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ملاك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عدم الاجتماع، حتّى ينقض الردّ المتقدّم على الاحتمال الثاني بتقدّم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ملاكه هو نسبتهما إلى الزمان ككلٍّ تدريجي الحصول، فهذه النسبة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قبل حصولها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بهذا النقض على الردّ على الاحتمال الثاني، فإنّه ردٌّ نقضي، والردّ النقضي يزيد المشكلة ولا يحلّها، فإذا كان الملاك في التقدّم والتأخّر هو عدم الاجتماع في الوجود فيأتي الردّ عليه بأنّه متساوي النسبة إلى المتقدّم والمتأخّر، </w:t>
      </w:r>
    </w:p>
    <w:p>
      <w:pPr>
        <w:pStyle w:val="BookText"/>
        <w:rPr/>
      </w:pPr>
      <w:r>
        <w:rPr>
          <w:rFonts w:ascii="Amiri" w:hAnsi="Amiri" w:eastAsia="Amiri" w:cs="Amiri"/>
          <w:color w:val="111111"/>
          <w:sz w:val="28"/>
          <w:sz w:val="28"/>
          <w:szCs w:val="28"/>
          <w:rtl w:val="true"/>
          <w:lang w:bidi="ar-SA"/>
        </w:rPr>
        <w:t>فلماذا يكون أحدهما متقدّماً والآخر متأخّراً؟</w:t>
      </w:r>
    </w:p>
    <w:p>
      <w:pPr>
        <w:pStyle w:val="BookText"/>
        <w:rPr/>
      </w:pPr>
      <w:r>
        <w:rPr>
          <w:rFonts w:ascii="Amiri" w:hAnsi="Amiri" w:eastAsia="Amiri" w:cs="Amiri"/>
          <w:color w:val="111111"/>
          <w:sz w:val="28"/>
          <w:sz w:val="28"/>
          <w:szCs w:val="28"/>
          <w:rtl w:val="true"/>
          <w:lang w:bidi="ar-SA"/>
        </w:rPr>
        <w:t xml:space="preserve">وهذا الإشكال وارد على ما تفضّل به صاحب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شاهد، ووارد أيضاً على تقدّم أجزاء الزمان بعضها على بعض، وبذلك يظهر أن ما رأى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الملاك هو عدم الاجتماع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ملاك التقدّم والتأخّر الزمانيّين عدم مجامعة المتقدّم والمتأخّر في الوجود</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وقال 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أنّ ملاك السبق الزمانيّ عدم مجامعة المتأخّر مع المتقدّم في الوجود</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فلا بدّ من بيان مِلاكٍ آخر لتقدّم أجزاء الزمان بعضها على بعض، وهو ما تقدّم منّا، فإنّه موجودٌ في تقدّم أجزاء الزمان وغير موجودٍ في الشاهد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وجود زيد إلى زمان سابق، ونسبة وجود عمرو إلى زمان لاحق، وهذا الاحتمال هو الصحيح، والوجه في ذلك يتوقّف على بيان نقطةٍ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أنّه لا ميز بين الأعدام من حيث العدم، فإنّ عدم العين وعدم الأُذن من حيث كونهما عدماً لا ميز بينهما، وإنّما يحصل الميز بينهما من حيث الإضافة، ولذلك نجد أنّه في فقدان العين يعلم الأعمى مقاصد الآخرين بلمس كتابتهم، وفي فقدان السمع يعلم الأخرس مقاصد الآخرين بقراءة كتابتهم، وهذا يعني أنّ هناك ميزاً بين العدمين، حتّى يترتّب على كلٍّ منهما غير ما يترتّب على الآخر، وقد حصل هذا الميز </w:t>
      </w:r>
    </w:p>
    <w:p>
      <w:pPr>
        <w:pStyle w:val="BookText"/>
        <w:rPr/>
      </w:pPr>
      <w:r>
        <w:rPr>
          <w:rFonts w:ascii="Amiri" w:hAnsi="Amiri" w:eastAsia="Amiri" w:cs="Amiri"/>
          <w:color w:val="111111"/>
          <w:sz w:val="28"/>
          <w:sz w:val="28"/>
          <w:szCs w:val="28"/>
          <w:rtl w:val="true"/>
          <w:lang w:bidi="ar-SA"/>
        </w:rPr>
        <w:t>بالإضافة، وبما أنّ هذا العدم ليس له ما بإزائه في الخارج، فلا بدّ أن يكون هناك موجود في الخارج يُنتزع منه هذا العدم، وبالتعبير المعروف لا بدّ أن يكون هناك شيء راسم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النقطة، ما تقدّم فرضه من أنّ الله تبارك وتعالى أعدم زيداً ثمّ أوجد عمراً، يأتي فيه سؤال، وهو ما هو الراسم لعدم زيد فيه؟</w:t>
      </w:r>
    </w:p>
    <w:p>
      <w:pPr>
        <w:pStyle w:val="BookText"/>
        <w:rPr/>
      </w:pPr>
      <w:r>
        <w:rPr>
          <w:rFonts w:ascii="Amiri" w:hAnsi="Amiri" w:eastAsia="Amiri" w:cs="Amiri"/>
          <w:color w:val="111111"/>
          <w:sz w:val="28"/>
          <w:sz w:val="28"/>
          <w:szCs w:val="28"/>
          <w:rtl w:val="true"/>
          <w:lang w:bidi="ar-SA"/>
        </w:rPr>
        <w:t>فإمّا أن يكون الراسم له وجود عمروٍ فيكون هذا الفرض صحيحاً؛ لكون وجوده راسماً لعدم زيد، إلّا أنّه لا يكون فاصلاً بين وجوديهما؛ لانطباقه على وجود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الراسم له هو عالم الوجود على سطح هذا الكوكب الممتدّ زمانيّاً بين وجود زيد ووجود عمرو، وهذا الفرض صحيح أيضاً، وما دام هذا العدم يُنتزع منه فينطبق عليه، فيكون فاصلاً بين وجوديهما، وبذلك يثبت أنّ العدم زمانيّ، فلا يصحّ القول بأنّ العدم بينهما لا يقترن بأيّ كائن متغيّر راسم للزمان، والعدم الزمانيّ لا يكون فاصلاً إلّا بين وجودين زمانيّين، فيكون وجودهما واقعاً في الزمان، فيُنتزع السبق من وجود زيد؛ لنسبته إلى زمان سابق، ويُنتزع اللحوق من وجود عمرو؛ لنسبته إلى زمان لاحق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 مصحّح انتزاع السبق من وجود زيد هو نسبته إلى زمان سابق، ومصحّح انتزاع اللحوق من وجود عمرو هو نسبته إلى زمان لاحق، فصار السبق واللحوق زمانيّين كما قال المشهور، لا أنّهما يُنتزعان من وجوديهما بمجرّد ملاحظة أحدهما إلى الآخر بغضّ النظر عمّا هو المتغيّر الذي يرسم الزمان بتغيّره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فحينئذٍ لا فرق بين ما أتى به من شاهد وما مثّلنا في المتقدّم بحسب الزمان من تقدّم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فاصل بين وجوديهما، فتقدّم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صاحب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إشكالاً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اجتماع شيءٍ مع شيءٍ آخر لا يبرّر انتزاع السبق من الأوّل واللحوق من الآخر وإلّا فلماذا لا يكون الأمر عكس ذلك بحيث يُنتزع السبق من الآخر واللحوق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هناك مصحّح لهذا الانتزاع</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على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السبق واللحوق من الحيثيات الانتزاعية التي تتّصف بها الأشياء عندما يلاحظ بعضها إلى بعضٍ، ككون الإنسان مثلاً أقصر من النخلة، وككون السقف فوق الطاولة، فإنّ الأقصرية تنتزع من الإنسان عندما يلحظ إلى النخلة، وتنتزع الفوقية من السقف عندما يلحظ إلى الطاولة، ولو لم يكن قياس أحد الشيئين إلى الآخر كافياً لانتزاع السبق من أحدهما واللحوق من الآخر لتوجّه السؤال إلى الزمان نفسه عندما يُقاس الأمس إلى اليوم لماذا يُنتزع السبق من الأمس واللحوق من اليوم؟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الردّ غير صحيح؛ إذ انتزاع المفاهيم الثانوية يحتاج إلى مصحّح مثل انتزاع الإمكان من الإنسان باعتبار نسبته إلى الوجود والعدم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وانتزاع الفوقية من السماء باعتبار نسبتها إلينا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انتزاع مفهوم السبق واللحوق لا بدّ فيه من مصحّح، وهو ملاحظة الشيء إلى ما به التقدّم وما به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يجري في كلّ الأقسام الستّة للمتقدّم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البحث ينتزع مفهوم السبق واللحوق من قطعات الزمان باعتبار نسبتها إلى الزمان ككلّ سيّال من الأزل إلى الأبد، وانتزاعهما من الزمانيّات باعتبار نسبتها إلى قطعات الزمان، ولا يمكن انتزاعهما من قطعات الزمان بقطع النظر عن الزمان السيّال الذي يحصل فيها على نحو التدريج، ولا يُمكن انتزاعهما من الزمانيّات بقطع النظر عن نسبتها إلى قطعاته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بالنسبة إلى الأقصرية فغير صحيحٍ؛ إذ إنّها لا تنتزع من شيء بمجرّد قياسه إلى شيءٍ آخر، بل لا بدّ من مصحّحٍ له، وهو اشتراكهما في الطول، وعندما يلاحظ أنّ هذا الطول في أحدهما أقلّ من الآخر تنتزع الأقصرية من الأقلّ طولاً والأطولية من الأكثر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بالنسبة إلى الفوقية أيضاً غير صحيحٍ؛ إذ إنّها لا تنتزع من شيء بمجرّد قياسه إلى شيءٍ آخر، بل لا بدّ من مصحّحٍ وهو اشتراكهما في النسبة إلى المركز بتعبير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يُلاحظ أنّ هذه النسبة إلى أحدهما أبعد من الآخر تنتزع الفوقية من الأبعد والتحتية من الأقرب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المصحّح لانتزاع السبق واللحوق من أجزاء الزمان هو نسبتها إلى الزمان ككلّ سارٍ في الأزمنة، والمصحّح لانتزعهما من الزمانيّات هو نسبتها إلى أجزاء الزمان كظرفٍ لها، فليس مفهوم السبق واللحوق مثل مفهوم الشيء والوجود الذي </w:t>
      </w:r>
      <w:bookmarkStart w:id="365" w:name="pg9159_85096"/>
    </w:p>
    <w:p>
      <w:pPr>
        <w:pStyle w:val="BookText"/>
        <w:rPr/>
      </w:pPr>
      <w:bookmarkEnd w:id="365"/>
      <w:r>
        <w:rPr>
          <w:rFonts w:ascii="Amiri" w:hAnsi="Amiri" w:eastAsia="Amiri" w:cs="Amiri"/>
          <w:color w:val="111111"/>
          <w:sz w:val="28"/>
          <w:sz w:val="28"/>
          <w:szCs w:val="28"/>
          <w:rtl w:val="true"/>
          <w:lang w:bidi="ar-SA"/>
        </w:rPr>
        <w:t>ينتزع من شيء بقطع النظر عن أيّ أمر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يظهر الردّ على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الذي جعل ملاك انتزاع السبق واللحوق من شيء عدم اجتماع شيء على فرض وجود شيء آخر؛ إذ مجرّد ذلك لا يكفي لانتزاعهما، بل لا بدّ من ملاحظة الشيء إلى ما به التقدّم والشيء الآخر إلى ما به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صار قولاً آخر وهو دلالة الفعل على السبق واللحوق، وهذا القول يختلف عمّا قاله النحاة من أنّ الأفعال تدلّ على أحد الأزمنة الثلاثة، وبهذا الوجه لا يدفع نقض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482821_2870459653"/>
      <w:bookmarkStart w:id="367" w:name="_Toc142"/>
      <w:bookmarkEnd w:id="366"/>
      <w:r>
        <w:rPr>
          <w:rtl w:val="true"/>
        </w:rPr>
        <w:t>النقض الثاني</w:t>
      </w:r>
      <w:bookmarkEnd w:id="367"/>
    </w:p>
    <w:p>
      <w:pPr>
        <w:pStyle w:val="Heading6"/>
        <w:numPr>
          <w:ilvl w:val="5"/>
          <w:numId w:val="1"/>
        </w:numPr>
        <w:rPr/>
      </w:pPr>
      <w:bookmarkStart w:id="368" w:name="__RefHeading___Toc3482823_2870459653"/>
      <w:bookmarkStart w:id="369" w:name="_Toc143"/>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أنّه لو كان الزمان جزءاً من مدلول الفعل للزم تجريده عن الزمان في ما لو أُسند الفعل إلى الذات المقدّسة،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ولازم تجريده عن الزمان استعماله في غير ما وُضع له، وكلّ استعمال مجازي لا بدّ فيه من لحاظ العلاقة، ونحن نرى من أنفسنا أنّه لا 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إسناد الفعل بمعناه الحقيقيّ إلى الذات المقدّسة حقيقي، كما أنّ إسناده إلى الزمانيّ يكون بمعناه الحقيقيّ، وبذلك يثبت أنّ دعوى جزئية الزمان للفعل باطلة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على هذا النقض بوجهين</w:t>
      </w:r>
      <w:r>
        <w:rPr>
          <w:rFonts w:eastAsia="Amiri" w:cs="Amiri" w:ascii="Amiri" w:hAnsi="Amiri"/>
          <w:color w:val="111111"/>
          <w:sz w:val="28"/>
          <w:szCs w:val="28"/>
          <w:rtl w:val="true"/>
          <w:lang w:bidi="ar-SA"/>
        </w:rPr>
        <w:t xml:space="preserve">: </w:t>
      </w:r>
      <w:bookmarkStart w:id="370" w:name="pg9159_85097"/>
    </w:p>
    <w:p>
      <w:pPr>
        <w:pStyle w:val="Heading6"/>
        <w:numPr>
          <w:ilvl w:val="5"/>
          <w:numId w:val="1"/>
        </w:numPr>
        <w:rPr/>
      </w:pPr>
      <w:bookmarkStart w:id="371" w:name="__RefHeading___Toc3482825_2870459653"/>
      <w:bookmarkStart w:id="372" w:name="_Toc144"/>
      <w:bookmarkEnd w:id="370"/>
      <w:bookmarkEnd w:id="371"/>
      <w:r>
        <w:rPr>
          <w:rtl w:val="true"/>
        </w:rPr>
        <w:t>الوجه الأوّل</w:t>
      </w:r>
      <w:bookmarkEnd w:id="372"/>
    </w:p>
    <w:p>
      <w:pPr>
        <w:pStyle w:val="Heading6"/>
        <w:numPr>
          <w:ilvl w:val="5"/>
          <w:numId w:val="1"/>
        </w:numPr>
        <w:rPr/>
      </w:pPr>
      <w:bookmarkStart w:id="373" w:name="__RefHeading___Toc3482827_2870459653"/>
      <w:bookmarkStart w:id="374" w:name="_Toc145"/>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وبيانه يتوقّف على عدّة مقدّمات</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482829_2870459653"/>
      <w:bookmarkStart w:id="376" w:name="_Toc146"/>
      <w:bookmarkEnd w:id="375"/>
      <w:r>
        <w:rPr>
          <w:rtl w:val="true"/>
        </w:rPr>
        <w:t>المقدّمة الأولى</w:t>
      </w:r>
      <w:bookmarkEnd w:id="376"/>
    </w:p>
    <w:p>
      <w:pPr>
        <w:pStyle w:val="BookText"/>
        <w:rPr/>
      </w:pPr>
      <w:r>
        <w:rPr>
          <w:rFonts w:ascii="Amiri" w:hAnsi="Amiri" w:eastAsia="Amiri" w:cs="Amiri"/>
          <w:color w:val="111111"/>
          <w:sz w:val="28"/>
          <w:sz w:val="28"/>
          <w:szCs w:val="28"/>
          <w:rtl w:val="true"/>
          <w:lang w:bidi="ar-SA"/>
        </w:rPr>
        <w:t>أنّ علم الله تبارك وتعالى بما سواه في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هو حضور شيء لشيء، والذات المقدّسة حاضرة لدى ذاته بوجدان ذاته لذاته، وعدم غيبة ذاته عن ذاته، وبتبع حضور ذاته لذاته تحضر مصنوعاته من باب وجدانه لها؛ إذ معطي الشيء لا يفقده، فالله تبارك وتعالى معط الوجود لما سواه، فلا بدّ أن يكون واجداً له بنحو أعلى وأشرف، فصار حضور ما سواه له بتبع حضور ذاته لذاته، وهذا العلم يكون علماً في مرتبة الذات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علم في مرتبة الفعل، فإنّ ما سواه بنفسه حاضر لديه حضور المعلول في العلّة؛ إذ المعلول هو عين الربط بالعلّة، وهذا الربط بالعلّة هو نحو حضور عندها، ويكون الفرق بين العلم والمعلوم في كلتا المرتبتين بالاعتبار، فما سوى الله في نفسه في مرتبة الذات المقدّسة معلومٌ، وباعتبار حضوره لدى الذات المقدّسة بتبع حضور الذات علم، وما سوى الله في الخارج معلوم، وباعتبار كونه عين الربط بالباري تبارك وتعالى علم، والعلم في مرتبة الذات عُبّر عنه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إذ </w:t>
      </w:r>
      <w:bookmarkStart w:id="377" w:name="pg9159_85098"/>
    </w:p>
    <w:p>
      <w:pPr>
        <w:pStyle w:val="BookText"/>
        <w:rPr/>
      </w:pPr>
      <w:bookmarkEnd w:id="377"/>
      <w:r>
        <w:rPr>
          <w:rFonts w:ascii="Amiri" w:hAnsi="Amiri" w:eastAsia="Amiri" w:cs="Amiri"/>
          <w:color w:val="111111"/>
          <w:sz w:val="28"/>
          <w:sz w:val="28"/>
          <w:szCs w:val="28"/>
          <w:rtl w:val="true"/>
          <w:lang w:bidi="ar-SA"/>
        </w:rPr>
        <w:t>ليس المعلوم بالذات إلّا نفس الذات، وأمّا ما سواه في هذه المرتبة معلوم بتبعه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482831_2870459653"/>
      <w:bookmarkStart w:id="379" w:name="_Toc147"/>
      <w:bookmarkEnd w:id="378"/>
      <w:r>
        <w:rPr>
          <w:rtl w:val="true"/>
        </w:rPr>
        <w:t>المقدمة الثانية</w:t>
      </w:r>
      <w:bookmarkEnd w:id="379"/>
    </w:p>
    <w:p>
      <w:pPr>
        <w:pStyle w:val="BookText"/>
        <w:rPr/>
      </w:pPr>
      <w:r>
        <w:rPr>
          <w:rFonts w:ascii="Amiri" w:hAnsi="Amiri" w:eastAsia="Amiri" w:cs="Amiri"/>
          <w:color w:val="111111"/>
          <w:sz w:val="28"/>
          <w:sz w:val="28"/>
          <w:szCs w:val="28"/>
          <w:rtl w:val="true"/>
          <w:lang w:bidi="ar-SA"/>
        </w:rPr>
        <w:t>أنّ فعل الله هو الوجود المنبسط الذي يتّحد مع الوجودات الخاصّة التي تنتزع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والأرض والحيوان والنبات والإنسان وما إلى ذلك، فيكون الفرق بين الوجود المنبسط الذي هو الفعل الإطلاقي لله تبارك وتعالى والوجودات الخاصّة هو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باللا بشرط وبشرط شيء، فإنّ الوجود المنبسط لا بشرط عن الحدود الكذائية، والوجود الخاصّ بشرط الحدود الكذائية، فلذلك الموجودات في العالم تكون لها حيثيتان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محدودة بحدّ كذائي، وبهذا الوجه يكون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به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عللها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وجود، وبهذا الوجه يكون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منه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تبارك وتعالى، فالموجودات الخاصّة من حيث كونها وجوداً فاعلها هو الله، ومن هذا الحيث ليست بزمانيّة، والموجودات الخاصّة من حيث كونها محدودة فاعلها العلل الفاعلية، ومن هذا الحيث زمانيّة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هذه المقدّمة فالموجودات الخاصّة من جهة كونها وجوداً إطلاقياً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زمانيّة، ومن جهة كونها محدودة تكون زمانيّةً، فلا وجه لما استشكل به بعض المعاصرين على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قال بأنّ فعل الله لا يقع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قد يشكل فيه بأنّ الفعل المادّي من شؤون عالم المادّة فلا مانع من وقوعه في الزمان، كيف؟ ومطلق الكائنات مفاضة من الباري </w:t>
      </w:r>
      <w:bookmarkStart w:id="380" w:name="pg9159_85099"/>
    </w:p>
    <w:p>
      <w:pPr>
        <w:pStyle w:val="BookText"/>
        <w:rPr/>
      </w:pPr>
      <w:bookmarkEnd w:id="380"/>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إذ حصل له الخلط بين كون الكائنات مفاضة من الباري جلّ وعلا من حيث الوجود بما هو وجود؛ فإنّه تعالى مفيض الوجود لها، والكائنات بهذا الوجه لا زمان لها، وبين كونها محدودة بحدود كذائية معلولةً لعللها الطبيعية؛ إذ هي مجرى لوجوداتها المحدودة، والكائنات بهذا الوجه واقعة في الزمان</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3482833_2870459653"/>
      <w:bookmarkStart w:id="382" w:name="_Toc148"/>
      <w:bookmarkEnd w:id="381"/>
      <w:r>
        <w:rPr>
          <w:rtl w:val="true"/>
        </w:rPr>
        <w:t>المقدمة الثالثة</w:t>
      </w:r>
      <w:bookmarkEnd w:id="382"/>
    </w:p>
    <w:p>
      <w:pPr>
        <w:pStyle w:val="BookText"/>
        <w:rPr/>
      </w:pPr>
      <w:r>
        <w:rPr>
          <w:rFonts w:ascii="Amiri" w:hAnsi="Amiri" w:eastAsia="Amiri" w:cs="Amiri"/>
          <w:color w:val="111111"/>
          <w:sz w:val="28"/>
          <w:sz w:val="28"/>
          <w:szCs w:val="28"/>
          <w:rtl w:val="true"/>
          <w:lang w:bidi="ar-SA"/>
        </w:rPr>
        <w:t>الفعل الذي يسند إلى الله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صفاته الذاتية كالعلم، والمعلوم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ما فوق الزمان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بما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يكون زمانيّاً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بقتل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من صفاته الفعلية كالخلق، والمخلوق بهذا الخلق إمّا أن يكون ما فوق الزمان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يكون زمانيّاً</w:t>
      </w:r>
      <w:r>
        <w:rPr>
          <w:rStyle w:val="FootnoteAnchor"/>
          <w:rtl w:val="true"/>
        </w:rPr>
        <w:footnoteReference w:id="355"/>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هذا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المقدّمات يرى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الماضي يدلّ على سبق نسبة الحدث إلى فاعلٍ ما، والفعل المضارع يدلّ على لحوق نسبة الحدث إلى فاعلٍ ما، وعليه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أسند الفعل إلى الله تعالى وهو من الصفات الذاتية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المعلوم ما فوق الزمان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بما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سبق العلم على المعلوم يكون سبقاً بالذات؛ لأنّ ملاك السبق الزمانيّ هو عدم إمكان اجتماع السابق واللاحق في الوجود بحسب تعبير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الملاك كان موجوداً في قسمين من </w:t>
      </w:r>
    </w:p>
    <w:p>
      <w:pPr>
        <w:pStyle w:val="BookText"/>
        <w:rPr/>
      </w:pP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الزمانيّ والسبق السرمدي، وهذا الملاك في السبق السرمدي حاصل بين العلم والمعلوم؛ لأنّ الله يعلم ما سواه في مرتبة الذات، والذات في المرتبة الأولى من المراتب الطولية للوجود، وما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أخرى منها، وهذا لا يعني أنّه غير موجود في الصقع الربوبي بنحو الإجمال والبساطة؛ إذ الذات المقدّسة واجدة له بنحو أعلى وأشرف، ولا يعني أيضاً أنّه تبارك وتعالى غير موجود فيما سواه كمقوّم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لا يمكن اجتماع ما سوى الله مع العلم الذاتي، فيكون اتّصاف علمه بالسبق اتّصافاً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المعلوم زمانيّاً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بقتل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العلم في مرتبة الذات يكون عين ذاته، وذاته مقوّمة للوجود السابق للقتل، فيكون علمه سابقاً مع السابق وهو القتل، وإذا تعلّق علمه الذاتي بالزمانيّ في المستقبل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 قتل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عين ذاته، وذاته مقوّمة للوجود اللاحق للقتل، فيكون علمه لاحقاً مع اللاحق وهو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العلم في مرتبة الفعل فهو عين فعله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بقتل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فالفعل السابق بما له من وجود معلوم، وبما أنّ وجوده عين الربط علم، فيكون هذا العلم الفعلي سابقاً بسبق القتل،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 قتل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فالفعل اللاحق بما له وجود معلومٌ، وبما أنّ وجوده عين الربط علمٌ، فيكون هذا العلم الفعلي لاحقاً بلحوق القتل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فرض كون المعلوم زمانيّاً وكون العلم في مرتبة الذات يكون سبقه من جهة </w:t>
      </w:r>
    </w:p>
    <w:p>
      <w:pPr>
        <w:pStyle w:val="BookText"/>
        <w:rPr/>
      </w:pPr>
      <w:r>
        <w:rPr>
          <w:rFonts w:ascii="Amiri" w:hAnsi="Amiri" w:eastAsia="Amiri" w:cs="Amiri"/>
          <w:color w:val="111111"/>
          <w:sz w:val="28"/>
          <w:sz w:val="28"/>
          <w:szCs w:val="28"/>
          <w:rtl w:val="true"/>
          <w:lang w:bidi="ar-SA"/>
        </w:rPr>
        <w:t>معيّته القيّومية مع السابق ولحوقه من جهة معيّته القيّومية مع اللاحق، فحينئذٍ اتّصاف علمه سبحانه بالسبق واللحوق الزمانيّ يكون بالعرض، وفي فرض كون المعلوم زمانيّاً وكون العلم في مرتبة الفعل يكون سبقه من جهة اتّحاده مع السابق ولحوقه من جهة اتّحاده مع اللاحق، فحينئذٍ اتّصاف علمه سبحانه بالسبق واللحوق الزمانيّ يكون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الفعل المسند إليه من صفاته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الفعل المسند إليه تعالى من صفاته الفعلية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الفعل ما فوق الزمان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الفرق بين الخلق والمخلوق كالفرق بين الإيجاد والوجود، وبحسب الترتّب العقلي يكون الوجود متأخّراً عن الإيجاد، فيُقال أوجد الشيء فوجد، ولذلك الخلق باعتبار هذا الترتّب العقلي يكون سابقاً، وما سوى الله لاحقاً، فحينئذٍ اتّصاف خلقه سبحانه بالسبق يكون بالذات؛ لتقدّمه على المخلوق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الفعل زمانيّاً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هذا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الله طفلاً في عائلة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الوجود الإطلاقي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متّحداً مع الوجود الخاصّ للطفل، وبما أنّ الوجود الخاصّ حصل في الزمان السابق أو في الزمان اللاحق يكون الوجود الإطلاقي الذي هو فعل الله متّحداً معه، فالوجود الإطلاقي الذي هو فعل الله يكون سابقاً مع السابق ولاحقاً مع اللاحق، لا أنّه بنفسه وقع في الزمان السابق واللاحق، فحينئذٍ اتّصاف فعله سبحانه بالسبق واللحوق يكون بالعرض</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توضيح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فهمي القاصر، وهذا التحليل </w:t>
      </w:r>
      <w:bookmarkStart w:id="383" w:name="pg9159_85102"/>
    </w:p>
    <w:p>
      <w:pPr>
        <w:pStyle w:val="BookText"/>
        <w:rPr/>
      </w:pPr>
      <w:bookmarkEnd w:id="383"/>
      <w:r>
        <w:rPr>
          <w:rFonts w:ascii="Amiri" w:hAnsi="Amiri" w:eastAsia="Amiri" w:cs="Amiri"/>
          <w:color w:val="111111"/>
          <w:sz w:val="28"/>
          <w:sz w:val="28"/>
          <w:szCs w:val="28"/>
          <w:rtl w:val="true"/>
          <w:lang w:bidi="ar-SA"/>
        </w:rPr>
        <w:t xml:space="preserve">مبنيّ على أنّ الفعل الماضي يدلّ على تحقّق النسبة سابقاً والفعل المضارع يدلّ على تحقّق النسبة لاحقاً، والمقصود من السبق واللحوق هو الزمانيّ، ونجد في هذا البيان أنّ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واللحوق إلى ما بالذات وإلى ما بالعرض حتّى يشملان الفعل المسند إلى الزمان والزمانيّ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إلى الزمانيّ والسرمديّ، وذلك بأخذ السبق الزمانيّ في الفعل بمِلاك عدم اجتماع السابق واللاحق في الوجود؛ حتّى يشمل الفعل المسند إلى الزمانيّ وما فوق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واللحوق الزمانيين إلى ما يضاف إلى زمان النطق وإلى غيره، وتفصيل ذلك يأتي لاحقاً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وجهة نظر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نقض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النحاة القائلين بدلالة الفعل على الزمان</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3482835_2870459653"/>
      <w:bookmarkStart w:id="385" w:name="_Toc149"/>
      <w:bookmarkEnd w:id="384"/>
      <w:r>
        <w:rPr>
          <w:rtl w:val="true"/>
        </w:rPr>
        <w:t>الوجه الآخر</w:t>
      </w:r>
      <w:bookmarkEnd w:id="385"/>
    </w:p>
    <w:p>
      <w:pPr>
        <w:pStyle w:val="Heading6"/>
        <w:numPr>
          <w:ilvl w:val="5"/>
          <w:numId w:val="1"/>
        </w:numPr>
        <w:rPr/>
      </w:pPr>
      <w:bookmarkStart w:id="386" w:name="__RefHeading___Toc3482837_2870459653"/>
      <w:bookmarkStart w:id="387" w:name="_Toc150"/>
      <w:bookmarkEnd w:id="386"/>
      <w:r>
        <w:rPr>
          <w:rtl w:val="true"/>
        </w:rPr>
        <w:t>اشارة</w:t>
      </w:r>
      <w:bookmarkEnd w:id="38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أفاده بعض المعاصرين</w:t>
      </w:r>
      <w:r>
        <w:rPr>
          <w:rStyle w:val="FootnoteAnchor"/>
          <w:rtl w:val="true"/>
        </w:rPr>
        <w:footnoteReference w:id="356"/>
      </w:r>
      <w:r>
        <w:rPr>
          <w:rFonts w:ascii="Amiri" w:hAnsi="Amiri" w:eastAsia="Amiri" w:cs="Amiri"/>
          <w:color w:val="111111"/>
          <w:sz w:val="28"/>
          <w:sz w:val="28"/>
          <w:szCs w:val="28"/>
          <w:rtl w:val="true"/>
          <w:lang w:bidi="ar-SA"/>
        </w:rPr>
        <w:t xml:space="preserve">من أنّ السبق واللحوق يعقلان في الموجود الواحد بلحاظ امتداده الطولي سواء كان هذا الموجود قارّاً، كالجواهر وبعض الأعراض كالعلم والبخل، فالجسم بلحاظ امتداد بعض أجزائه المفروضة سابق على البعض، وهكذا العلم بلحاظ امتداد بعض أجزائه المفروضة سابق على البعض الآخر، أم غير قارّ، كالحركة ومقولة الفعل والانفعال، فإنّ حركة الإنسان </w:t>
      </w:r>
    </w:p>
    <w:p>
      <w:pPr>
        <w:pStyle w:val="BookText"/>
        <w:rPr/>
      </w:pPr>
      <w:r>
        <w:rPr>
          <w:rFonts w:ascii="Amiri" w:hAnsi="Amiri" w:eastAsia="Amiri" w:cs="Amiri"/>
          <w:color w:val="111111"/>
          <w:sz w:val="28"/>
          <w:sz w:val="28"/>
          <w:szCs w:val="28"/>
          <w:rtl w:val="true"/>
          <w:lang w:bidi="ar-SA"/>
        </w:rPr>
        <w:t>من مكان إلى آخر بلحاظ امتدادها بعض أجزائها المفروضة سابق على البعض الآخر، ومقولة الفعل هي التأثير التدريجي للفاعل في المنفعل كالنار، فهي تسخّن الماء، فلها ما دامت تسخّن حالة غير قارّة، وهي التأثير التسخيني، وهذا التأثير التدريجي بلحاظ امتداده يكون بعض أجزائه المفروضة سابقاً على البعض الآخر، ومقولة الانفعال هي التأثّر التدريجي للمنفعل من الفاعل كالماء، فهو يتسخّن بالنار، فله ما دام يتسخّن حالة غير قارّة وهي التأثّر التسخّني، وهذا التأثّر التدريجي بلحاظ امتداده يكون بعض أجزائه المفروضة سابقاً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فتصوير السبق واللحوق مبنيّ على لحاظ الامتداد الطولي، والامتداد الطولي وصف للوجود الذي يعبّر عنه بالبقاء، وصفة البقاء صفة عامّة سارية في كلّ الموجودات سواء كانت مادّية مثل ما مثّلنا أو مجرّدة، والله تبارك وتعالى يوصف بالبقاء، فيكون أزلياً وأبدياً، وبالتالي يوصف بالامتداد، ووصفه بالامتداد لا يقتضي تعدّداً فعلياً في ذاته ولا تغيّراً؛ فلذلك الله تبارك وتعالى بسيط ثابت مع كون وجوده ممتدّاً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هذا الوصف مصحّحاً للنظر إلى جهة من هذا الوجود الممتدّ دون جهة أخرى،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وجوده سبحانه وتعالى ممتدّ من الأزل إلى الأبد، وهذا الوجود الممتدّ من جهة الامتداد إلى الزمان الحاضر سابق، ومن جهة الامتداد من الحاضر إلى الأبد لاحق، فإذا لوحظ علمه سبحانه وتعالى من جهة امتداده من الأزل إلى الحاضر يكون العلم سابقاً،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لوحظ علمه سبحانه من جهة امتداده من الحاضر إلى الأبد يكون العلم لاحقاً، ويقال</w:t>
      </w:r>
      <w:r>
        <w:rPr>
          <w:rFonts w:eastAsia="Amiri" w:cs="Amiri" w:ascii="Amiri" w:hAnsi="Amiri"/>
          <w:color w:val="111111"/>
          <w:sz w:val="28"/>
          <w:szCs w:val="28"/>
          <w:rtl w:val="true"/>
          <w:lang w:bidi="ar-SA"/>
        </w:rPr>
        <w:t xml:space="preserve">: </w:t>
      </w:r>
      <w:bookmarkStart w:id="388" w:name="pg9159_85104"/>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اللحاظ لا يوجب تقطيعاً فعلياً في ذاته تعالى،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 بالنسبة إليه، بل يكفي النظر إلى بعض امتداده الوجودي من الأزل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الطريقة حلّ صاحب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دلالة الفعل على الزمان عندما يسند إلى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معقول، وتوضيحه يتوقّف على نقطتين</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3482839_2870459653"/>
      <w:bookmarkStart w:id="390" w:name="_Toc151"/>
      <w:bookmarkEnd w:id="389"/>
      <w:r>
        <w:rPr>
          <w:rtl w:val="true"/>
        </w:rPr>
        <w:t>النقطة الأولى</w:t>
      </w:r>
      <w:bookmarkEnd w:id="390"/>
    </w:p>
    <w:p>
      <w:pPr>
        <w:pStyle w:val="BookText"/>
        <w:rPr/>
      </w:pPr>
      <w:r>
        <w:rPr>
          <w:rFonts w:ascii="Amiri" w:hAnsi="Amiri" w:eastAsia="Amiri" w:cs="Amiri"/>
          <w:color w:val="111111"/>
          <w:sz w:val="28"/>
          <w:sz w:val="28"/>
          <w:szCs w:val="28"/>
          <w:rtl w:val="true"/>
          <w:lang w:bidi="ar-SA"/>
        </w:rPr>
        <w:t>الامتداد هو وجود شيء على نحو يمكن فرض أجزاء مشتركة في حدٍّ، والحدّ المشترك هو ذو وضع يكون نهاية لأحدهما وبداية للآخر، كالنقطة على الخطّ، فإنّها ذات وضع تقسّم الخطّ إلى جزئين، بحيث تكون هي بداية لأحدهما ونهاية للآخر، والممتدّ ينقسم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ممتدّ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اجتمعت أجزاؤه المفروضة في الوجود كالخطّ، فإنّ أجزاؤه المفروضة مجتمعة في الوجود، والسطح فإنّ أجزاؤه المفروضة مجتمعة في الوجود، وهكذا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ممتدّ غير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يمكن اجتماع أجزائه المفروضة في الوجود كالزمان، فإنّ جزءاً منه لا يجتمع مع الجزء الآخر، فإنّ اليوم لا يمكن أن يجتمع في الوجود مع الأمس، فإنّه لا يحصل إلّا بعد انقضاء 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وللزمان مجالان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الخاصّ، وهو لكلّ موجود مادّي ترسمه حركته الجوهرية، وهو مقدار امتداد وجوده المتحرّك في جوهره، مثل فرد من الإنسان، فإنّ مقدار امتداد </w:t>
      </w:r>
      <w:bookmarkStart w:id="391" w:name="pg9159_85105"/>
    </w:p>
    <w:p>
      <w:pPr>
        <w:pStyle w:val="BookText"/>
        <w:rPr/>
      </w:pPr>
      <w:bookmarkEnd w:id="391"/>
      <w:r>
        <w:rPr>
          <w:rFonts w:ascii="Amiri" w:hAnsi="Amiri" w:eastAsia="Amiri" w:cs="Amiri"/>
          <w:color w:val="111111"/>
          <w:sz w:val="28"/>
          <w:sz w:val="28"/>
          <w:szCs w:val="28"/>
          <w:rtl w:val="true"/>
          <w:lang w:bidi="ar-SA"/>
        </w:rPr>
        <w:t>وجوده يمثّل البعد الطولي له، كما أنّ الطول والعرض والعمق تمثّل البعد العرضي له، ولذلك تكون للأجسام أبعاد أربعة، وعلاقة هذا الزمان بالزمانيّ هي علاقة اللازم بالملزوم، فإنّ الجسم متحرّك بجوهره، والزمان مقدار هذه الحركة، والفرق بين هذه الحركة الجوهرية والزمان فرق المبهم والمعيّن، كالجسم الطبيعي والجسم 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الحركة الأينية للأرض حول الشمس وحول نفسها التي تتمثّل بالأيّام، ويؤخذ مقياساً لتقدير الحركات الأخر في الموجودات المادّية والحوادث، فتطبّق تلك الموجودات والحوادث على ما يؤخذ لهذا الزمان من الأجزاء كالسنين والشهور والأسابيع والأيّام والساعات والدقائق والثواني وغير ذلك، وعلاقة الحركات المتمثّلة بالموجودات المادّية والحوادث الكونية بهذا الزمان علاقة المقارنة التي يعتبرها العرف العامّ علاقة المظروف بالظرف</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3482841_2870459653"/>
      <w:bookmarkStart w:id="393" w:name="_Toc152"/>
      <w:bookmarkEnd w:id="392"/>
      <w:r>
        <w:rPr>
          <w:rtl w:val="true"/>
        </w:rPr>
        <w:t>النقطة الأخرى</w:t>
      </w:r>
      <w:bookmarkEnd w:id="393"/>
    </w:p>
    <w:p>
      <w:pPr>
        <w:pStyle w:val="BookText"/>
        <w:rPr/>
      </w:pPr>
      <w:r>
        <w:rPr>
          <w:rFonts w:ascii="Amiri" w:hAnsi="Amiri" w:eastAsia="Amiri" w:cs="Amiri"/>
          <w:color w:val="111111"/>
          <w:sz w:val="28"/>
          <w:sz w:val="28"/>
          <w:szCs w:val="28"/>
          <w:rtl w:val="true"/>
          <w:lang w:bidi="ar-SA"/>
        </w:rPr>
        <w:t>البقاء يأتي لعدّة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البقاء يكون في مقابل الحدوث؛ إذ هو وجود بعد العدم، ويمكن أن يقال إنّ هذا المعنى هو المعنى الأصولي للبقاء؛ إذ كثيراً ما يفسّر البقاء في الأصول بهذا المعنى، خاصّة في بحث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سلب العدم اللاحق للوجود، والبقاء بهذا المعنى يكون في مقابل الفناء، وهذا المعنى هو المعنى الكلامي للبقاء؛ إذ يوصف الله تبارك وتعالى بالبقاء، عند البحث عن صفاته تعالى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وجود شيء في أكثر من زمان بعد الزمان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في مقابل الانقطاع بعد الزمان الأوّل، وهذا المعنى هو المعنى اللغوي للبقاء؛ إذ فسّر </w:t>
      </w:r>
    </w:p>
    <w:p>
      <w:pPr>
        <w:pStyle w:val="BookText"/>
        <w:rPr/>
      </w:pPr>
      <w:r>
        <w:rPr>
          <w:rFonts w:ascii="Amiri" w:hAnsi="Amiri" w:eastAsia="Amiri" w:cs="Amiri"/>
          <w:color w:val="111111"/>
          <w:sz w:val="28"/>
          <w:sz w:val="28"/>
          <w:szCs w:val="28"/>
          <w:rtl w:val="true"/>
          <w:lang w:bidi="ar-SA"/>
        </w:rPr>
        <w:t>اللغويون البقاء بالدوام، كما في المعجم 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الشيء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وثبت</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وفي أقرب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يبقى ل بقاءً وبقي ض بقياً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وثبت</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وفسّروا الدوام بالاستمرار، كما في أقرب الموارد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 الشيء سكن واستمرّ</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ولذلك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الخبر كان عمل رسول الله صلّى الله عليه وآله ديمة، أي دائماً غير منقطعٍ</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يثبت أنّ البقاء لغةً هو الاستمرار في مقابل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عرفت هاتين المقدّمتين نقول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الله تبارك وتعالى بالبقاء لا يوجب أن يكون لله تعالى امتداد طولي بحيث يمكن فرض تقدّم وتأخّر في ذاته تبارك وتعالى بالقياس إلى الزمان الحاضر؛ إذ البقاء إذا كان بالمعنى الأصولي الذي هو في مقابل الحدوث يستلزم أن يكون الله تدريجي الحصول كالممتدّ غير القارّ، وهذا بديهي البطلان، وإذا كان البقاء بالمعنى الكلامي الذي كان في مقابل الفناء، يكون وجوده غير ملحوق بالعدم، وهذا يعني أنّه لا يفنى، وعدم الفناء لا يستدعي أن يكون الموجود ممتدّاً بحيث يمكن فرض جزء متقدّم على الزمان الحاضر، وجزء متأخّر عنه؛ إذ إنّه مفهوم عدمي انتزاعي من جهة ومن جهة أخرى إنّ الله صرف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هاتين الجهتين لو لوحظ صرف الوجود من دون لحاظ أي شيء آخر ينتزع منه أنّه لا يفنى وإلّا استلزم اجتماع النقيضين، فاتّصاف صرف الوجود بعدم الفناء لا يستدعي شيئاً آخر كالامتداد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بالمعنى اللغوي الذي كان في مقابل الانقطاع، فالاستمرار يكون بمعنى الثابت وجوده في أزمنة متعاقبة في مقابل الانقطاع لا في مقابل التغيّر، وهذا يعني أنّ الوجود لا ينقطع في الأزمنة المتعاقبة بعد الزمان الأوّل، والباقي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موجوداً زمانيّاً، فحينئذٍ للباقي بهذا المعنى خصوصيتان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 بالزمان علاقة المقارنة على نحو يطبّق على مقاطعه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عليه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الخصوصية الأولى بقاؤه يقتضي أن يكون ممتدّاً بالامتداد الطولي بحيث تُفرض له أجزاء يكون بعضها متقدّماً على الزمان الحاضر، وبعضها الآخر متأخّراً عنه؛ إذ لو كانت علاقة الموجود بالزمان علاقة المقارنة بحيث يُطبّق على مقاطعه، فالزمان له امتداد طولي فلا بدّ أن يكون ما يطبّق عليه أيضاً ممتدّاً بالامتداد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الخصوصية الأخرى يكون بقاؤه بالغير حيث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موجوداً فوق الزمان، فحينئذٍ للباقي بهذا المعنى خصوصيتان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 بالزمان علاقة تقويم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المقوّم لشيءٍ هو ما يقوم به الشيء،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قائماً بذاته عليه يكون المقوّم ذاتياً كالإنسان، فإنّه بذاته قائمٌ على الحيوان والناطق، فهما </w:t>
      </w:r>
    </w:p>
    <w:p>
      <w:pPr>
        <w:pStyle w:val="BookText"/>
        <w:rPr/>
      </w:pPr>
      <w:r>
        <w:rPr>
          <w:rFonts w:ascii="Amiri" w:hAnsi="Amiri" w:eastAsia="Amiri" w:cs="Amiri"/>
          <w:color w:val="111111"/>
          <w:sz w:val="28"/>
          <w:sz w:val="28"/>
          <w:szCs w:val="28"/>
          <w:rtl w:val="true"/>
          <w:lang w:bidi="ar-SA"/>
        </w:rPr>
        <w:t>مقوّمان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قائماً بوجوده عليه يكون المقوّم وجودياً كالمعلول، فإنّه قائمٌ بوجوده على العلّة، فهي مقوّمةٌ لوجود المعلول، فالعلاقة بين المقوّم والمتقوّم تكون علاقة 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عليه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الخصوصية الأولى بقاؤه لا يقتضي امتداده الطولي؛ إذ إنّه تعالى وإن كان يُضاف إلى الأزمنة المتعدّدة عقلاً، لكن هذه الإضافة في الخارج إضافة إشراقية، وهذا يعني أنّ علاقته بالزمان علاقة تقويم لا علاقة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الموجودات المادّية التي يكون الزمان من لوازم وجودها متقوّمةٌ بالله تبارك وتعالى في وجودها، فالزمان الذي يكون لازماً لها متقوّمٌ به تعالى تَبعاً، وعليه تكون الأشياء في جميع الأزمنة من الأزل إلى الأبد بالقياس إليه تبارك وتعالى حاضرة لديه حضور المعلول للعلّة، كالحاضر في زمان واحد، فلا يكون لها مضيّ وحضور واستقبال بالقياس إليه تعالى، فلا يكون الله ممتدّاً بالامتداد الطولي بحسب امتداد الزمان، وإلّا فلا يعقل؛ إذ الأشياء ليس لها امتداد بالقياس إليه تعالى، فكيف يتّصف بالامتداد بالإضافة إلى ما لا امتداد له بالقياس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الخصوصية الأخرى يكون بقاؤه بالذات حيث لا يفنى، ومن هذه الجهة الباقي بهذا المعنى يرجع إلى المعنى الكلامي، فيكون وجود الله تبارك وتعالى باقياً، أي مستمرّاً إلى غير نهاية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البقاء يقتضي امتداداً طولياً، فإنّه في وجود الله تبارك وتعالى محال؛ لأنّ 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الوجود بحيث يمكن </w:t>
      </w:r>
      <w:bookmarkStart w:id="394" w:name="pg9159_85109"/>
    </w:p>
    <w:p>
      <w:pPr>
        <w:pStyle w:val="BookText"/>
        <w:rPr/>
      </w:pPr>
      <w:bookmarkEnd w:id="394"/>
      <w:r>
        <w:rPr>
          <w:rFonts w:ascii="Amiri" w:hAnsi="Amiri" w:eastAsia="Amiri" w:cs="Amiri"/>
          <w:color w:val="111111"/>
          <w:sz w:val="28"/>
          <w:sz w:val="28"/>
          <w:szCs w:val="28"/>
          <w:rtl w:val="true"/>
          <w:lang w:bidi="ar-SA"/>
        </w:rPr>
        <w:t xml:space="preserve">فرض أجزاء مفروضة مشتركة في حدٍّ واحد، والعقل لا يُجوّز ذلك على الله؛ إذ القسمة إلى الأجزاء مستحيلة في حقّه تعالى، لا قسمة فعلية ولا قسمة فرضية مطابقة للواقع، إلّا إذا قصد صاحب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بالأجزاء الفرضية الأجزاء التصوّرية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تبرّر وقوع وصف علم الله في جزءٍ مفروضٍ قبل زمان النطق؛ لأنّ هذا الجزء موجودٌ بتصوّر الإنسان لا في الواقع، مع أنّ علمه موجودٌ في الواقع، فكيف يقع العلم الواقعي لله في جزئه التصوّري في ذهن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أنّ الامتداد الطولي لوجود الله تبارك وتعالى لا يقتضي الأجزاء الفعلية، ولكنّه اعترف بالأجزاء الفرضية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النظر لا يقتضي تقطيعاً فعلياً لهذا الوجود حتّى يقال بأنّه لا يعقل في شأن الله سبحانه، بل يكفي فيه النظر إلى بعض امتداده الوجودي</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فيه النظر إلى بعض امتداده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بأجزائه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مستغرب منه، وعلى كلّ حال هذا الوجه لا ينبغي الالتفات إليه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3482843_2870459653"/>
      <w:bookmarkStart w:id="396" w:name="_Toc153"/>
      <w:bookmarkEnd w:id="395"/>
      <w:r>
        <w:rPr>
          <w:rtl w:val="true"/>
        </w:rPr>
        <w:t>النقض الثالث</w:t>
      </w:r>
      <w:bookmarkEnd w:id="396"/>
    </w:p>
    <w:p>
      <w:pPr>
        <w:pStyle w:val="BookText"/>
        <w:rPr/>
      </w:pPr>
      <w:r>
        <w:rPr>
          <w:rFonts w:ascii="Amiri" w:hAnsi="Amiri" w:eastAsia="Amiri" w:cs="Amiri"/>
          <w:color w:val="111111"/>
          <w:sz w:val="28"/>
          <w:sz w:val="28"/>
          <w:szCs w:val="28"/>
          <w:rtl w:val="true"/>
          <w:lang w:bidi="ar-SA"/>
        </w:rPr>
        <w:t>أنّ النحاة ذهبوا إلى أنّ المضارع مشترك معنوي بين الحال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ويعيّنه للحال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التوكيد،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لَيَحْزُنُنِي أَنْ تَذْهَبُوا بِهِ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أَدْرِي أَقَرِيبٌ أَمْ بَعِيدٌ مَا تُوعَدُونَ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يضرب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ويعيّنه للاستقبال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يُرَى</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تَصُومُوا خَيْرٌ لَكُمْ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يَتَفَرَّقَا يُغْنِ اللَّهُ كُلًّا مِنْ سَعَتِهِ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المقصود بذلك أنّ المضارع يدلّ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غير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w:t>
      </w:r>
    </w:p>
    <w:p>
      <w:pPr>
        <w:pStyle w:val="BookText"/>
        <w:rPr/>
      </w:pPr>
      <w:r>
        <w:rPr>
          <w:rFonts w:ascii="Amiri" w:hAnsi="Amiri" w:eastAsia="Amiri" w:cs="Amiri"/>
          <w:color w:val="111111"/>
          <w:sz w:val="28"/>
          <w:sz w:val="28"/>
          <w:szCs w:val="28"/>
          <w:rtl w:val="true"/>
          <w:lang w:bidi="ar-SA"/>
        </w:rPr>
        <w:t>للحال والمستقبل؛ وذلك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أخذ ذلك المفهوم في معنى المضارع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يخالف الخصوصية الثالثة المسلّمة، وهي أنّ الزمان المأخوذ في الفعل هو مصداقه لا مفهومه، فحينئذٍ إن وُضع لكلّ واحد من الحال والاستقبال بوضع على حدة غير وضع الآخر يلزم الاشتراك اللفظي، وإن وُضع لأحدهما دون الآخر يلزم أن يكون حقيقةً في أحدهما ومجازاً في الآخر، وكلّ منهما منافٍ للاشتراك المعنوي، فلا يتمّ الاشتراك المعنوي في المضارع إلّا على أن يكون المضارع دالَّاً على خصوصية في نسبة الحدث إلى فاعلٍ ما التي تنطبق على النسبة الخارجية الواقعة في الحال مرّة، وفي الاستقبال مرّة أخرى بحسب القرائن المتقدّمة في كلام النحاة، وهذه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تلميذ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الترقّبية، فالفعل الماضي يدلّ على نسبة الحدث إلى فاعلٍ ما بالنسبة التحقّقية، وهذه الخصوصية تقتضي وقوع الحدث في الزمان الماضي، وفعل المضارع يدلّ على نسبة الحدث إلى فاعلٍ ما بالنسبة الترقّبية، وهذه الخصوصية تقتضي وقوع الحدث في زمان الحال أو الاستقبال، وإذا صحّ ذلك فلا فرق بين الجملة الاسمية والجملة الفعلية؛ 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النسبة الاتّحادية بين الموضوع والمحمول، وهذه النسبة تنطبق على النسبة الخارجية سواء كانت في الماضي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الحال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الاستقبال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دلالتها وضعاً على واحد منها، فتكون الجملة الفعلية المشتملة على الفعل المضارع مثلها، غاية الأمر </w:t>
      </w:r>
    </w:p>
    <w:p>
      <w:pPr>
        <w:pStyle w:val="BookText"/>
        <w:rPr/>
      </w:pPr>
      <w:r>
        <w:rPr>
          <w:rFonts w:ascii="Amiri" w:hAnsi="Amiri" w:eastAsia="Amiri" w:cs="Amiri"/>
          <w:color w:val="111111"/>
          <w:sz w:val="28"/>
          <w:sz w:val="28"/>
          <w:szCs w:val="28"/>
          <w:rtl w:val="true"/>
          <w:lang w:bidi="ar-SA"/>
        </w:rPr>
        <w:t>دائرة انطباق معنى الجملة الاسمية أوسع من دائرة انطباق معنى الفعل المضارع؛ إذ يدلّ على زمان الحال أو الاستقبال بالقرينة لا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هذا المورد من قبل تلميذه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ففي فعل المضارع قبال الماضي أخذ عدم السبق، فدلالة المضارع على أحد الزمانين من الحال أو الاستقبال إنّما هو من لوازم طبع نسبته التصديقية المأخوذة فيه لا جهة زائدة، وإنّما الجهة الزائدة دلالتها على عدم سبق وجود المبدأ قبال الماضي المأخوذ فيه جهة سبقه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كلامه أنّ المادّة في الأفعال موضوعة للدلالة على نفس الحدث، والهيئة فيها موضوعة للربط القائم بالحدث، وهذا الربط يُحلّل إلى ربطين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ربط له بالنسبة إلى ما يقوم به، وهو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ربط له بالنسبة إلى الظرف الذي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ربطه بما يقع فيه تدلّ الهيئة في الفعل الماضي عليه من حيث سبقه، فيكون السبق زمانيّاً فيما لو انتسب إلى الزمانيّات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وذاتياً فيما لو انتسب إلى نفس الزمان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ورتبياً فيما لو انتسب إلى المجرّدات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بما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علمه تعالى لا يسبق ما سواه بحسب الزمان، بل يسبقه بالرتبة؛ لتقدّمه عليه تقدّم العلّة على المعلول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والهيئة في فعل المضارع تدلّ على عدم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اللحوق زمانيّاً لو انتسب إلى الزمانيّات،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وذاتياً فيما لو انتسب إلى نفس الزمان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ورتبياً إذا انتسب إلى المجرّد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العلّة فيوجد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عدم تأخّر المعلول عن علّته بحسب الزمان، بل يتأخّر عنها رتبة، والنسبة بخصوصية اللحوق تشمل النسبة في الحال والاستقبال، فتدلّ الهيئة بالالتزام على زمان الحال وزمان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الردّ لا يكون ردّاً على نقض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القول بالاشتراك المعنوي يريد أن ينفي الدلالة الوضعية للفعل المضارع على الحال والاستقبال، 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ينفي الدلالة الوضعية للفعل المضارع عليهما، وبما أنّ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 الخصوصية في النسبة المدلولة لفعل الماضي والمضارع التي تقتضي الوقوع في الزمان الماضي، أو الوقوع في زمان الحال أو الاستقبال يمكن تفسيرها بالتحقّقية في الماضي، والترقّبية في المضارع، كما قال تلميذه العلّامة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تفسيرها بالسبق في الماضي واللحوق في المضارع، كما قال تلميذه الآخر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كلّ حال هذا المورد ينفي الدلالة الوضعية التضمّنية للفعل المضارع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 لا بدّ من الإشارة إلى أنّ ما أفاده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من مقارنة الجملة الفعلية بالجملة الاسمية لا وجه له؛ إذ قلنا في توضيح هذه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الجملة الاسمية هو النسبة الاتّحادية، وهي في الخارج تنطبق على النسبة الخارجية في الماضي والحاضر والمستقبل، فلا محدودية لهذه النسبة بزمان معيّن، بينما مفاد الجملة الفعلية هو النسبة التحقّقية في الماضي والنسبة الترقّبية في المضارع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فصارت النسبة في الأفعال محدودة بزمان معيّن، وهو الماضي في فعله، وبزمان الحال أو الاستقبال في الفعل المضارع، ومع هذا الفرق لا تصحّ مقارنة الجملة </w:t>
      </w:r>
      <w:bookmarkStart w:id="397" w:name="pg9159_85114"/>
    </w:p>
    <w:p>
      <w:pPr>
        <w:pStyle w:val="BookText"/>
        <w:rPr/>
      </w:pPr>
      <w:bookmarkEnd w:id="397"/>
      <w:r>
        <w:rPr>
          <w:rFonts w:ascii="Amiri" w:hAnsi="Amiri" w:eastAsia="Amiri" w:cs="Amiri"/>
          <w:color w:val="111111"/>
          <w:sz w:val="28"/>
          <w:sz w:val="28"/>
          <w:szCs w:val="28"/>
          <w:rtl w:val="true"/>
          <w:lang w:bidi="ar-SA"/>
        </w:rPr>
        <w:t xml:space="preserve">الفعلية بالجملة الاسمية، فلذلك الجملة الاسمية لا تدلّ على أحد الأزمنة لا تضمّناً ولا التزاماً، بينما الجملة الفعلية تدلّ على أحدها التزاماً باعتبار الخصوصية المأخوذة في النسبة المدلولة لها لو أسند إلى الزمانيّ بشرط الإطلاق بحسب مبنى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توضيحه بعد قليل عند الحديث عن الفرق بين الماضي والمضارع من وجهة نظره الشريف</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3482845_2870459653"/>
      <w:bookmarkStart w:id="399" w:name="_Toc154"/>
      <w:bookmarkEnd w:id="398"/>
      <w:r>
        <w:rPr>
          <w:rtl w:val="true"/>
        </w:rPr>
        <w:t>النقض الرابع</w:t>
      </w:r>
      <w:bookmarkEnd w:id="399"/>
    </w:p>
    <w:p>
      <w:pPr>
        <w:pStyle w:val="Heading6"/>
        <w:numPr>
          <w:ilvl w:val="5"/>
          <w:numId w:val="1"/>
        </w:numPr>
        <w:rPr/>
      </w:pPr>
      <w:bookmarkStart w:id="400" w:name="__RefHeading___Toc3482847_2870459653"/>
      <w:bookmarkStart w:id="401" w:name="_Toc155"/>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إنّ الفعل إذا كان مقيّداً بالإضافة إلى شيء آخر فإنّ الزمان الماضي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ماضياً حقيقةً، بل مستقبلاً حقيقة، وكذلك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حالاً أو استقبالاً حقيقةً، بل ماضياً حقيقةً، ويتّضح ذلك من خلال هذين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يجيئني زيد بعد شهر، وقد نجح في الامتحان قبله بأيّام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فعل النجاح مقيّد بكونه قبل المجيء، وهو يحصل في المستقبل، فالزمان الماضي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زمان مستقبل، ولا يكون ماضياً إلّا بالإضافة إلى مجيء زيد الحاصل بعد شهر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قبل شهر وهو يضرب غلامه في ذلك الوقت أو فيما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فعل الضرب مقيّد بكونه عند المجيء، وهو حاصل في الماضي، فالزمان الحال والاستقبال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زمان ماضٍ، ولا يكون حالاً واستقبالاً إلّا بالإضافة إلى مجيء زيد، فلو كان الزمان جزءاً من مدلول الفعل للزم تجريده من الزمان، فيكون الفعل الماضي والمضارع في هذين القولين قد استعملا مجازاً؛ لأنّ المضي والاستقبال فيهما ليس بالنسبة إلى زمان النطق، بل إلى زمان المجيء، والاستعمال المجازي يحتاج إلى لحاظ العلاقة، ولا نرى في أنفسنا لحاظ علاقة في هذا </w:t>
      </w:r>
    </w:p>
    <w:p>
      <w:pPr>
        <w:pStyle w:val="BookText"/>
        <w:rPr/>
      </w:pPr>
      <w:r>
        <w:rPr>
          <w:rFonts w:ascii="Amiri" w:hAnsi="Amiri" w:eastAsia="Amiri" w:cs="Amiri"/>
          <w:color w:val="111111"/>
          <w:sz w:val="28"/>
          <w:sz w:val="28"/>
          <w:szCs w:val="28"/>
          <w:rtl w:val="true"/>
          <w:lang w:bidi="ar-SA"/>
        </w:rPr>
        <w:t>الاستعمال، وبذلك يثبت أنّ الزمان ليس جزءاً من مدلول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مقصود النحاة من اقتران الفعل بالزمان هو المضي والاستقبال الإضافيان مطلقاً، سواء كانت الإضافة إلى زمان النطق، فيكون الزمان الماضي والحال والاستقبال حقيقياً، أو كانت الإضافة إلى غيره، فتكون تلك الأزمنة إضافية، فإذا أسند على 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 مضافاً إلى زمان النطق، فيدلّ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الحقيقي،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أو الاستقبال الحقيقيين، وإذا أسند على نحو التقييد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يجيئني زيد بعد شهر وقد نجح قبله بأيّام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بقبل المجيء قرينة على إرادة الماضي الإضافي،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جائني زيد قبل شهر وهو يضرب غلامه في ذلك الوقت أو فيما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تقييد الضرب بذلك الوقت أو بعده قرينة على إرادة الحال أو الاستقبال الإضافيين، ولأجل احتمال أن يكون المراد من الأزمنة الثلاثة هو الأزمنة المضافة مطلقاً، سواء كانت مضافة إلى زمان النطق أو إلى غيره، قال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الماضي في فعله، وزمان الحال أو الاستقبال في المضارع، لا يكون ماضياً أو مستقبلاً حقيقة لا محالة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الردود على مسلك النحاة في دلالة الفعل على الزمان، يظهر أنّه لا إشكال في عدم دلالة الفعل على الزمان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لم يكن الفعل دالَّاً على الزمان فما هي جهة الفرق </w:t>
      </w:r>
      <w:bookmarkStart w:id="402" w:name="pg9159_85116"/>
    </w:p>
    <w:p>
      <w:pPr>
        <w:pStyle w:val="BookText"/>
        <w:rPr/>
      </w:pPr>
      <w:bookmarkEnd w:id="402"/>
      <w:r>
        <w:rPr>
          <w:rFonts w:ascii="Amiri" w:hAnsi="Amiri" w:eastAsia="Amiri" w:cs="Amiri"/>
          <w:color w:val="111111"/>
          <w:sz w:val="28"/>
          <w:sz w:val="28"/>
          <w:szCs w:val="28"/>
          <w:rtl w:val="true"/>
          <w:lang w:bidi="ar-SA"/>
        </w:rPr>
        <w:t>الوجداني بين الفعل الماضي والمضارع؛ إذ من الواضح أنّه لا يصحّ استعمال أحدهما مكان الآخر؟</w:t>
      </w:r>
    </w:p>
    <w:p>
      <w:pPr>
        <w:pStyle w:val="BookText"/>
        <w:rPr/>
      </w:pPr>
      <w:r>
        <w:rPr>
          <w:rFonts w:ascii="Amiri" w:hAnsi="Amiri" w:eastAsia="Amiri" w:cs="Amiri"/>
          <w:color w:val="111111"/>
          <w:sz w:val="28"/>
          <w:sz w:val="28"/>
          <w:szCs w:val="28"/>
          <w:rtl w:val="true"/>
          <w:lang w:bidi="ar-SA"/>
        </w:rPr>
        <w:t xml:space="preserve">وقد بيّن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الفرق هذه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يبعد أن يكون لكلّ من الماضي والمضارع بحسب المعنى خصوصية أخرى موجبة للدلالة على وقوع النسبة في الزمان الماضي في الماضي، وفي الحال أو الاستقبال في المضارع، فيما كان الفاعل من الزمانيّات</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وبحسب كلام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 الفعل الماضي والمضارع خصوصية بحسب معناه تختلف عنها في الآخر، تلازم هذه الخصوصية في الفعل الماضي الوقوع في الزمان الماضي، وفي الفعل المضارع الوقوع في الحال أو الاستقبال فيما لو أسندا إلى الفواعل الزمانيّة، ولم تكن قرينة على الخلاف، وتلك الخصوصية هي جهة الفرق بين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بين تلامذة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حقيقة هذه الخصوصية، فذُكرت عدّة تفسيرات</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482849_2870459653"/>
      <w:bookmarkStart w:id="404" w:name="_Toc156"/>
      <w:bookmarkEnd w:id="403"/>
      <w:r>
        <w:rPr>
          <w:rtl w:val="true"/>
        </w:rPr>
        <w:t>التفسير الأوّل</w:t>
      </w:r>
      <w:bookmarkEnd w:id="404"/>
    </w:p>
    <w:p>
      <w:pPr>
        <w:pStyle w:val="Heading6"/>
        <w:numPr>
          <w:ilvl w:val="5"/>
          <w:numId w:val="1"/>
        </w:numPr>
        <w:rPr/>
      </w:pPr>
      <w:bookmarkStart w:id="405" w:name="__RefHeading___Toc3482851_2870459653"/>
      <w:bookmarkStart w:id="406" w:name="_Toc157"/>
      <w:bookmarkEnd w:id="405"/>
      <w:r>
        <w:rPr>
          <w:rtl w:val="true"/>
        </w:rPr>
        <w:t>اشارة</w:t>
      </w:r>
      <w:bookmarkEnd w:id="40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هيئة الفعل الماضي تدلّ على النسبة التحقّقية، وخصوصية التحقّق تقتضي وقوع الحدث في الزمان الماضي إذا أسند إلى الزمانيّ ولم تكن هناك قرينة على خلافه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تحقّق النسبة بين الحدث وفاعلٍ ما، وبما أنّ زيداً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واقع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ففعله زمانيّ أيضاً، فيحتاج إلى الزمان، فضربه المتحقّق لا بدّ أن يقع في الزمان الماضي، وأمّا إذا كان هناك قرينة على خلافه، فلا تحصل النسبة التحقّقية في الزمان الماضي، كما تقدّم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يجيئني زيد </w:t>
      </w:r>
    </w:p>
    <w:p>
      <w:pPr>
        <w:pStyle w:val="BookText"/>
        <w:rPr/>
      </w:pPr>
      <w:r>
        <w:rPr>
          <w:rFonts w:ascii="Amiri" w:hAnsi="Amiri" w:eastAsia="Amiri" w:cs="Amiri"/>
          <w:color w:val="111111"/>
          <w:sz w:val="28"/>
          <w:sz w:val="28"/>
          <w:szCs w:val="28"/>
          <w:rtl w:val="true"/>
          <w:lang w:bidi="ar-SA"/>
        </w:rPr>
        <w:t>بعد شهر، وقد نجح في الامتحان قبله بأيّام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النسبة التحقّقية، وهي لا تقتضي وقوع النجاح في الزمان الماضي، بل يقع في المستقبل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يجيئني زيد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الفعل المضارع تدلّ على النسبة الترقّبية، وخصوصية الترقّب تقتضي وقوع الحدث في الزمان الحال أو الاستقبال إذا أسند إلى الزمانيّ ولم تكن هناك قرينة على خلافه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ترقّب النسبة بين الحدث وفاعلٍ ما، وبما أنّ عَمراً زمانيّ، ففعله زمانيّ أيضاً، فضربه المترقّب لا بدّ أن يقع في الزمان الحال أو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هناك قرينة على خلافه فلا تحصل النسبة الترقّبية في الزمان الحال أو الاستقبال، كما تقدّم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قبل شهر وهو يضرب غلامه في ذلك الوقت أو فيما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النسبة الترقّبية، وهي لا تقتضي الوقوع في الحال أو الاستقبال، بل وقع في الماضي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 أو فيما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الفعل يدلّ على الزمان التزاماً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أسند إلى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أي عدم التقييد بزمان آخر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هناك قرينة على خلاف ما تقتضيه تلك الخصوصية، فإذا لم يتحقّق الشرط الأوّل بحيث أسند إلى الزمان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أسند إلى ما هو فوق الزمان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فالنسبة التحقّقية لا تقتضي الوقوع في الزمان الماضي، وهكذا الفعل المضارع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فالنسبة الترقّبية لا تقتضي الوقوع في الحال أو الاستقبال</w:t>
      </w:r>
      <w:r>
        <w:rPr>
          <w:rFonts w:eastAsia="Amiri" w:cs="Amiri" w:ascii="Amiri" w:hAnsi="Amiri"/>
          <w:color w:val="111111"/>
          <w:sz w:val="28"/>
          <w:szCs w:val="28"/>
          <w:rtl w:val="true"/>
          <w:lang w:bidi="ar-SA"/>
        </w:rPr>
        <w:t xml:space="preserve">. </w:t>
      </w:r>
      <w:bookmarkStart w:id="407" w:name="pg9159_85118"/>
    </w:p>
    <w:p>
      <w:pPr>
        <w:pStyle w:val="BookText"/>
        <w:rPr/>
      </w:pPr>
      <w:bookmarkEnd w:id="407"/>
      <w:r>
        <w:rPr>
          <w:rFonts w:ascii="Amiri" w:hAnsi="Amiri" w:eastAsia="Amiri" w:cs="Amiri"/>
          <w:color w:val="111111"/>
          <w:sz w:val="28"/>
          <w:sz w:val="28"/>
          <w:szCs w:val="28"/>
          <w:rtl w:val="true"/>
          <w:lang w:bidi="ar-SA"/>
        </w:rPr>
        <w:t xml:space="preserve">وبالنتيجة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بعض تلامذته مثل العلّامة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والفقيه السيّد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يرى أنّ خصوصية نسبة الحدث إلى فاعلٍ ما في الفعل الماضي هي التحقّق، وخصوصية نسبة الحدث إلى فاعلٍ ما في الفعل المضارع هي الترقّب، فاختلف سنخ معنى الماضي عن سنخ معنى المضارع، واختار هذا التفسير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هذا التفسير بعض المعاصرين</w:t>
      </w:r>
      <w:r>
        <w:rPr>
          <w:rStyle w:val="FootnoteAnchor"/>
          <w:rtl w:val="true"/>
        </w:rPr>
        <w:footnoteReference w:id="378"/>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3482853_2870459653"/>
      <w:bookmarkStart w:id="409" w:name="_Toc158"/>
      <w:bookmarkEnd w:id="408"/>
      <w:r>
        <w:rPr>
          <w:rtl w:val="true"/>
        </w:rPr>
        <w:t>الوجه الأوّل</w:t>
      </w:r>
      <w:bookmarkEnd w:id="4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خصوصية التحقّق في الفعل الماضي توجب شمول مدلوله للحال، وخروجه عن المضارع؛ لأنّ النسبة في المضارع للحال نسبة تحقّقية،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زيد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ماضياً، وهذا خلاف الوجدان بوضوح، وخصوصية الترقّب في الفعل المضارع لا تعقل في المضارع للحال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زيد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الترقّب بمعنى الانتظار، والانتظار لا يُعقل فيما يحصل في الزمان الحاضر، بل الانتظار يتعلّق بما يحصل في المستقبل، وهذا البند من الإشكال لم يطرحه كما طرحناه، بل طرحه بهذا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ينشأ الإشكال في المثال من أنّ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أرجوا وآمل وأحذر وأخاف 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الزمان الحاضر، ولا معنى للترقّب فيما أفيد حصوله في الزمان الحاضر</w:t>
      </w:r>
      <w:r>
        <w:rPr>
          <w:rFonts w:eastAsia="Amiri" w:cs="Amiri" w:ascii="Amiri" w:hAnsi="Amiri"/>
          <w:color w:val="111111"/>
          <w:sz w:val="28"/>
          <w:szCs w:val="28"/>
          <w:rtl w:val="true"/>
          <w:lang w:bidi="ar-SA"/>
        </w:rPr>
        <w:t xml:space="preserve">). </w:t>
      </w:r>
      <w:bookmarkStart w:id="410" w:name="pg9159_85119"/>
    </w:p>
    <w:p>
      <w:pPr>
        <w:pStyle w:val="BookText"/>
        <w:rPr/>
      </w:pPr>
      <w:bookmarkEnd w:id="410"/>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المضارع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أترقّب سفر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فالترقّب في هذا الفعل كالرجاء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والحذر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هذه المعاني حاصلة في الزمان الحاضر، فلو كان المضارع المأخوذ من هذه الموادّ دالَّاً على الترقّب يعني ذلك أنّ ما هو حاصلٌ في الزمان الحاضر يترقّب حصوله، وذلك غير معقولٍ، وهذا البيان يتعلّق بالمضارع في مادّة معيّنة،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بياننا فيتعلّق بالمضارع في أيّة مادّة كانت</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3482855_2870459653"/>
      <w:bookmarkStart w:id="412" w:name="_Toc159"/>
      <w:bookmarkEnd w:id="411"/>
      <w:r>
        <w:rPr>
          <w:rtl w:val="true"/>
        </w:rPr>
        <w:t>الوجه الآخر</w:t>
      </w:r>
      <w:bookmarkEnd w:id="412"/>
    </w:p>
    <w:p>
      <w:pPr>
        <w:pStyle w:val="BookText"/>
        <w:rPr/>
      </w:pPr>
      <w:r>
        <w:rPr>
          <w:rFonts w:ascii="Amiri" w:hAnsi="Amiri" w:eastAsia="Amiri" w:cs="Amiri"/>
          <w:color w:val="111111"/>
          <w:sz w:val="28"/>
          <w:sz w:val="28"/>
          <w:szCs w:val="28"/>
          <w:rtl w:val="true"/>
          <w:lang w:bidi="ar-SA"/>
        </w:rPr>
        <w:t>أنّ خصوصية الترقّب لا تناسب مدلول المضارع في جملة من الموارد، كموارد صرف المضارع إلى المستقبل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المصروف إليه هو الحدث دون الترقّب، ومورد 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أترقّب أن يسافر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معنى لاشتمال الفعل في مثل المثال على خصوصية الترقّب؛ إذ يكون المعنى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أترقّب ترقّب سفر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مقصود بلا كلام، وهذا المورد الأخير ذكره تبعاً للسيّد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بدّ من تجريد الفعل المضارع من خصوصية الترقّب، واستعماله في تحقّق النسبة فقط، وبذلك يكون هذا الاستعمال مجازاً، وفي الاستعمال المجازي لا بدّ من ملاحظة العلاقة بينه وبين النسبة الترقّبية، والحال أنّ العرف لا يلاحظ أيّ علاقة في استعمال المضارع في هذين الموردين، وهذان الوجهان للردّ على التفسير المتقدّم وجيهان</w:t>
      </w:r>
      <w:r>
        <w:rPr>
          <w:rFonts w:eastAsia="Amiri" w:cs="Amiri" w:ascii="Amiri" w:hAnsi="Amiri"/>
          <w:color w:val="111111"/>
          <w:sz w:val="28"/>
          <w:szCs w:val="28"/>
          <w:rtl w:val="true"/>
          <w:lang w:bidi="ar-SA"/>
        </w:rPr>
        <w:t xml:space="preserve">. </w:t>
      </w:r>
      <w:bookmarkStart w:id="413" w:name="pg9159_85120"/>
    </w:p>
    <w:p>
      <w:pPr>
        <w:pStyle w:val="Heading6"/>
        <w:numPr>
          <w:ilvl w:val="5"/>
          <w:numId w:val="1"/>
        </w:numPr>
        <w:rPr/>
      </w:pPr>
      <w:bookmarkStart w:id="414" w:name="__RefHeading___Toc3482857_2870459653"/>
      <w:bookmarkStart w:id="415" w:name="_Toc160"/>
      <w:bookmarkEnd w:id="413"/>
      <w:bookmarkEnd w:id="414"/>
      <w:r>
        <w:rPr>
          <w:rtl w:val="true"/>
        </w:rPr>
        <w:t>التفسير الثاني</w:t>
      </w:r>
      <w:bookmarkEnd w:id="415"/>
    </w:p>
    <w:p>
      <w:pPr>
        <w:pStyle w:val="Heading6"/>
        <w:numPr>
          <w:ilvl w:val="5"/>
          <w:numId w:val="1"/>
        </w:numPr>
        <w:rPr/>
      </w:pPr>
      <w:bookmarkStart w:id="416" w:name="__RefHeading___Toc3482859_2870459653"/>
      <w:bookmarkStart w:id="417" w:name="_Toc161"/>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أنّ المادّة في الفعل الماضي تدلّ على الحدث الذي خرج من العدم إلى الوجود، والمادّة في الفعل المضارع تدلّ على الحدث الذي لم يخرج من العدم إلى الوجود سابقاً، بل يخرج بعده، والخصوصية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الخروج من العدم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وقوع الحدث في الزمان الماضي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إلى فاعل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وعدم التقييد بزمان آخر غير الزمان الماضي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والخصوصية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الخروج من العدم إلى الوجود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وقوع الحدث في الحال أو الاستقبال بالشرطين المتقدّمين، وهذا التفسير اقترحه تلميذ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 في حقائق الأصول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هذا التفسير بعض المعاصرين</w:t>
      </w:r>
      <w:r>
        <w:rPr>
          <w:rStyle w:val="FootnoteAnchor"/>
          <w:rtl w:val="true"/>
        </w:rPr>
        <w:footnoteReference w:id="381"/>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482861_2870459653"/>
      <w:bookmarkStart w:id="419" w:name="_Toc162"/>
      <w:bookmarkEnd w:id="418"/>
      <w:r>
        <w:rPr>
          <w:rtl w:val="true"/>
        </w:rPr>
        <w:t>الوجه الأوّل</w:t>
      </w:r>
      <w:bookmarkEnd w:id="419"/>
    </w:p>
    <w:p>
      <w:pPr>
        <w:pStyle w:val="BookText"/>
        <w:rPr/>
      </w:pPr>
      <w:r>
        <w:rPr>
          <w:rFonts w:ascii="Amiri" w:hAnsi="Amiri" w:eastAsia="Amiri" w:cs="Amiri"/>
          <w:color w:val="111111"/>
          <w:sz w:val="28"/>
          <w:sz w:val="28"/>
          <w:szCs w:val="28"/>
          <w:rtl w:val="true"/>
          <w:lang w:bidi="ar-SA"/>
        </w:rPr>
        <w:t xml:space="preserve">أنّ خصوصية الخروج تنسجم مع الحال كالماضي،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زيد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الضرب من العدم إلى الوجود، فلو بني عليه لزم شمول مدلول الماضي للحال، وخروجه عن المضارع، وهذا خلاف الوجدان بداهة</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482863_2870459653"/>
      <w:bookmarkStart w:id="421" w:name="_Toc163"/>
      <w:bookmarkEnd w:id="420"/>
      <w:r>
        <w:rPr>
          <w:rtl w:val="true"/>
        </w:rPr>
        <w:t>الوجه الآخر</w:t>
      </w:r>
      <w:bookmarkEnd w:id="42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الخروج لو عبّر بالفعل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الحدث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الدور؛ لأنّ معرفة مدلول الفعل الماضي تتوقّف على معرفة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ومعرفة معناه تتوقّف على معرفة الفعل الماضي، وإن عبّر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w:t>
      </w:r>
    </w:p>
    <w:p>
      <w:pPr>
        <w:pStyle w:val="BookText"/>
        <w:rPr/>
      </w:pPr>
      <w:r>
        <w:rPr>
          <w:rFonts w:ascii="Amiri" w:hAnsi="Amiri" w:eastAsia="Amiri" w:cs="Amiri"/>
          <w:color w:val="111111"/>
          <w:sz w:val="28"/>
          <w:sz w:val="28"/>
          <w:szCs w:val="28"/>
          <w:rtl w:val="true"/>
          <w:lang w:bidi="ar-SA"/>
        </w:rPr>
        <w:t>الحدث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الخروج أعمّ من أن يحصل في الماضي أو غيره، فلا يحدّد معنى الفعل الماضي، وبالتالي لا يكون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الردّ غير مقبول؛ إذ يمكن أن يقال إنّ المقصود من الخروج في الفعل الماضي هو تمامية الخروج، ومن عدم الخروج في الفعل المضارع عدم تماميته، وعلى هذا المعنى يدفع الوجه الأوّل بأنّ خروج الحدث من العدم إلى الوجود غير حاصل في الفعل المضارع للحال؛ إذ الخروج لم يتمّ فيه، فلا يدخل المضارع للحال في الفعل الماضي، ويدفع الوجه الآخر أيضاً؛ إذ يعبّر عن الخروج بالاسم، وهو تمامية الخروج، وهي لا تعمّ المضارع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أنّه لا بدّ من ذكر شواهد تساعد على استظهار ما رُدّ به، وإلّا كانت دعوى مجرّدة، فغير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شاهد على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وخصوصية المضارع أنّ الحدث المدلول عليه به لم يخرج في الماضي من القوّة إلى الفعل، بل يخرج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النصّ الذي يتحدّث عن خصوصية المضارع إشارتان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يخرج في الماضي من القوّة إلى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يشير إلى أنّ في الفعل الماضي الذي هو في مقابل المضارع خرج الحدث من القوّة إلى الفعل في الماضي، وهذا يعني أنّ الخروج مفروغ عنه، وهذا يساوق التمامية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يخرج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يشير إلى أنّ في الفعل المضارع يخرج الحدث من القوّة إلى الفعل بعد الماضي، وهذا يعني أنّ الخروج ليس مفروغاً عنه، وهذا يساوق عدم التمامية</w:t>
      </w:r>
      <w:r>
        <w:rPr>
          <w:rFonts w:eastAsia="Amiri" w:cs="Amiri" w:ascii="Amiri" w:hAnsi="Amiri"/>
          <w:color w:val="111111"/>
          <w:sz w:val="28"/>
          <w:szCs w:val="28"/>
          <w:rtl w:val="true"/>
          <w:lang w:bidi="ar-SA"/>
        </w:rPr>
        <w:t xml:space="preserve">. </w:t>
      </w:r>
      <w:bookmarkStart w:id="422" w:name="pg9159_85122"/>
    </w:p>
    <w:p>
      <w:pPr>
        <w:pStyle w:val="BookText"/>
        <w:rPr/>
      </w:pPr>
      <w:bookmarkEnd w:id="422"/>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بعدم الشاهد في كلام القائل، فإنّ مجرّد احتمال أن يكون المقصود من الخروج هو تماميته، ومن عدمه هو عدم تماميته كافٍ لدحض الردّ المتقدّم، فلا حاجة إلى شاهد على ذلك؛ إذ الردّ على كلام الخصم بمثابة الاستدلال على بطلانه، فإذا جاء في كلامه احتمال قصد ما ينقض الردّ يبطل الردّ، من باب 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المشكلة في هذا التفسير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يصدق على الفعل المسند إلى ما فوق الزمان،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العلم في الله تبارك وتعالى ليس معدوماً حتّى يتصوّر فيه الخروج من العدم إلى الوجود أو عدم خروجه من العدم إلى الوجود، والحال أنّ إسناد الفعل إلى الزمانيّ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كإسناده إلى ما فوق الزمان، وعليه فلا بدّ من بيان خصوصية أخرى غير ما ذكر في التفسير الأوّل والثاني</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482865_2870459653"/>
      <w:bookmarkStart w:id="424" w:name="_Toc164"/>
      <w:bookmarkEnd w:id="423"/>
      <w:r>
        <w:rPr>
          <w:rtl w:val="true"/>
        </w:rPr>
        <w:t>التفسير الثالث</w:t>
      </w:r>
      <w:bookmarkEnd w:id="424"/>
    </w:p>
    <w:p>
      <w:pPr>
        <w:pStyle w:val="Heading6"/>
        <w:numPr>
          <w:ilvl w:val="5"/>
          <w:numId w:val="1"/>
        </w:numPr>
        <w:rPr/>
      </w:pPr>
      <w:bookmarkStart w:id="425" w:name="__RefHeading___Toc3482867_2870459653"/>
      <w:bookmarkStart w:id="426" w:name="_Toc165"/>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وحاصله أنّ النسبة الثبوتية بين الحدث وفاعلٍ ما هي مدلولة الفعل إلّا أنّها ليست مطلقة، بل مقيّدة بالسبق في الفعل الماضي بحيث يكون القيد خارجاً والتقييد داخلاً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من النسبة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المقارنة بالسبق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مدلولة للفعل الماضي، وتلك النسبة تكون مقيّدةً باللحوق في الفعل المضارع بحيث يكون القيد خارجاً والتقييد داخلاً، وذهب إلى هذا النحو من أخذ السبق واللحوق في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يستشكل أنّهما من المعاني الاسمية، فكيف أخذا في مدلول الهيئة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من السبق واللحوق هو السبق واللحوق بمِلاك أنّ المتقدّم والمتأخّر لا يجتمعان في الوجود، وهما بهذا الملاك يشملان السبق واللحوق الزمانيّين والسرمديّين، وتقدّم توضيحهما آنفاً، ففي كليهما لا يجتمع المتقدّم والمتأخّر في الوجود، وارتكب هذا التعميم لتصحيح السبق فيما لو أسند الفعل إلى الباري سبحانه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بما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توضيح ذلك في الردّ على النقض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من السبق واللحوق الزمانيّين هو الأعمّ من أن يكونا بالذات أو بالعرض، وارتكب هذا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السبق واللحوق فيما لو أسند الفعل إلى الزمان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الردّ على النقض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السبق واللحوق فيما لو أسند الفعل إلى الباري سبحانه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بقتل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 بقتل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المقصود من العلم هو العلم في مرتبة الذات لكان علمه سابقاً ولاحقاً بالعرض لمعيّته القيّومية للسابق واللاحق، وإذا كان المقصود من العلم هو العلم في مرتبة الفعل فيكون علمه سابقاً ولاحقاً بالعرض لاتّحاده مع السابق واللاحق كما تقدّم في الردّ على النقض الثاني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من اللحوق هو الحصول بالنسبة إلى السابق فيكون اللاحق ما يوجد بعده، وهذا المعنى يعمّ الحال والمستقبل في الزمان والزمانيات لكونهما بعد الماضي وارتكب هذا التعميم للردّ على النقض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من السبق واللحوق الزمانيّين هو الأعمّ من أن يكونا مضافين إلى زمان النطق حتّى يكون السبق واللحوق حقيقيّين أو إلى غيره، حتى يكونا إضافيّين، وارتكب هذا التعميم للردّ على النقض الرابع، وبارتكاب هذه التعميمات الأربعة ردّ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نواقض أستاذه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ما ذُكر من التفسيرين من قِبل العلّامة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للخصوصية التي اقترحها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هذا التفسير، أنّه بحسب التفسيرين الفعل الماضي يدلّ على خصوصية التحقّق أو الخروج من العدم إلى الوجود مطابقةً، ويدلّ على الزمان الماضي التزاماً، والفعل المضارع يدلّ على الترقّب أو عدم الخروج مطابقةً، ويدلّ على زمان الحال أو الاستقبال التزاماً، بينما على التفسير الثالث الذي اختاره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الفعل الماضي على نسبة خاصّة، وهي النسبة السابقة، فيدلّ على السبق تضمّناً؛ لأنّه قيد لمدلوله، ويدلّ المضارع على نسبة خاصّة، وهي النسبة اللاحقة، فيدلّ على اللحوق تضمّناً؛ لأنّه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صرّح به تلميذه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السبق أو الزمان مدلولاً ضمنياً للفعل، بخلافه على الأوّل فإنّه مدلول التزاميّ</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لا نوافق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بل نستفيد من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يدلّ على السبق في الماضي واللحوق في المضارع التزاماً؛ لأنّه يقول بأنّ تقييد النسبة بالسبق واللحوق داخل في مدلول الهيئة، والقيد خارج، </w:t>
      </w:r>
      <w:bookmarkStart w:id="427" w:name="pg9159_85125"/>
    </w:p>
    <w:p>
      <w:pPr>
        <w:pStyle w:val="BookText"/>
        <w:rPr/>
      </w:pPr>
      <w:bookmarkEnd w:id="427"/>
      <w:r>
        <w:rPr>
          <w:rFonts w:ascii="Amiri" w:hAnsi="Amiri" w:eastAsia="Amiri" w:cs="Amiri"/>
          <w:color w:val="111111"/>
          <w:sz w:val="28"/>
          <w:sz w:val="28"/>
          <w:szCs w:val="28"/>
          <w:rtl w:val="true"/>
          <w:lang w:bidi="ar-SA"/>
        </w:rPr>
        <w:t>ونصُّ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هيئة الماضي موضوعة للنسبة المتقيّدة بسبق الزمانيّ على ما أضيفت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من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التقيّد داخلاً والقيد خارجاً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ومع خروج القيد كيف يكون مدلولاً تضمّنياً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الفرق بين كلام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التفسيرين الأوّل والثاني، وبين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الزمان يكون مدلولاً التزامياً بشرطين على حسب التفسيرين لأخذ خصوصية في معنى الفعل، بينما السبق واللحوق الزمانيّان يكونان مدلولين التزاميين على قول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لأخذهما قيداً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المنتقى على التفسير الثالث بإشكالين</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3482869_2870459653"/>
      <w:bookmarkStart w:id="429" w:name="_Toc166"/>
      <w:bookmarkEnd w:id="428"/>
      <w:r>
        <w:rPr>
          <w:rtl w:val="true"/>
        </w:rPr>
        <w:t>الإشكال الأوّل</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أخذ التقيّد بالسبق أو بالزمان في مدلول الفعل يستدعي لحاظ الطرفين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عند استعمال الفعل لا يلحظ السبق أو الزمان تفصيلاً، والمفروض أخذ أحدهما طرفاً للتقيّد والنسبة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الإشكال يقول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السبق قيداً لمدلول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نسبة الحدث إلى فاعلٍ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للوحظ هذا المعنى عند سماعه، والحال أنّه لم يلحظ السبق من سماع الفعل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غير مقبول؛ لأنّ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السبق </w:t>
      </w:r>
      <w:bookmarkStart w:id="430" w:name="pg9159_85126"/>
    </w:p>
    <w:p>
      <w:pPr>
        <w:pStyle w:val="BookText"/>
        <w:rPr/>
      </w:pPr>
      <w:bookmarkEnd w:id="430"/>
      <w:r>
        <w:rPr>
          <w:rFonts w:ascii="Amiri" w:hAnsi="Amiri" w:eastAsia="Amiri" w:cs="Amiri"/>
          <w:color w:val="111111"/>
          <w:sz w:val="28"/>
          <w:sz w:val="28"/>
          <w:szCs w:val="28"/>
          <w:rtl w:val="true"/>
          <w:lang w:bidi="ar-SA"/>
        </w:rPr>
        <w:t>أو اللحوق أخذا قيداً لمدلول الفعل حتّى يلحظ مفهومهما عند سماعه،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مع خصوصية السبق أو اللحوق أخذت في مدلول الفعل، ويعني ذلك أنّ النسبة المندمجة مع السبق أو اللحوق مدلولة، والتي تُحلّل إلى نسبة وسبق في الفعل الماضي، ونسبة ولحوق في الفعل المضارع، فلم يلحظ مفهومهما، بل يتبادر إلى الذهن النسبة بخصوصية السبق أو اللحوق</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3482871_2870459653"/>
      <w:bookmarkStart w:id="432" w:name="_Toc167"/>
      <w:bookmarkEnd w:id="431"/>
      <w:r>
        <w:rPr>
          <w:rtl w:val="true"/>
        </w:rPr>
        <w:t>الإشكال الآخر</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اختلاف نسبة المضارع والماضي إذا كانت بالتقيّد كان مقتضى ذلك جواز استعمال أحدهما موضع الآخر مجازاً كما لا يخفى على من لاحظ الأمثلة العرفية، مع بداهة غلطية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زيد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فيكشف ذلك عن اختلاف مفهوميهما سنخاً وحقيقةً، وهو ما التزمنا به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وفي هذا الإشكال يقول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معنى الماضي والمضارع إذا كان بالقيد والمعنى متّحداً فكلاهما يدلّان على النسبة الثبوتية، غاية الأمر تلك النسبة في الماضي مقيّدة بالسبق، وفي المضارع مقيّدة باللحوق لجاز استعمال أحدهما مكان الآخر، والحال أنّه لا يجوز حتّى مجازاً،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ولا مجازاً، وهكذا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زيد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ولا مجازاً، وهذا يعني أنّ المعنى للفعلين مختلفان سنخاً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غير مقبول؛ لأنّ الاستعمال المجازي لا يصحّ إلّا بلحاظ العلاقة بين المعنى المجازي والمعنى الحقيقي، وعليه نتساءل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استعمل في النسبة الثبوتية المقيّدة باللحوق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لا علاقة </w:t>
      </w:r>
    </w:p>
    <w:p>
      <w:pPr>
        <w:pStyle w:val="BookText"/>
        <w:rPr/>
      </w:pPr>
      <w:r>
        <w:rPr>
          <w:rFonts w:ascii="Amiri" w:hAnsi="Amiri" w:eastAsia="Amiri" w:cs="Amiri"/>
          <w:color w:val="111111"/>
          <w:sz w:val="28"/>
          <w:sz w:val="28"/>
          <w:szCs w:val="28"/>
          <w:rtl w:val="true"/>
          <w:lang w:bidi="ar-SA"/>
        </w:rPr>
        <w:t>بين هذا المستعمل فيه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الحقيقي، وهو النسبة الثبوتية المقيّدة بالسبق؛ للتضادّ بينهما، فلا يكون الاستعمال مجازاً، أو استعمل في النسبة الثبويتة فقط، ولكن قيد اللحوق استفيد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هذا الاستعمال بعلاقة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الثبوتية المقيّدة بالسبق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الاستعمال لا يصحّ إلّا مع المناسبة المصحّحة، وإلّا لجاز استعمال كلّ لفظٍ موضوعٍ لشيءٍ في ما هو أعمّ منه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هذا الاستعمال بعلاقة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المقيّدة بالسبق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الاستعمال لا يصحّ على مسلك السكاكي في المجاز إلّا بتنزيل الجزء منزلة الكلّ، وهذا التنزيل لا يتحقّق في ما نحن فيه؛ إذ لا معنى لتنزيل ذات المعنى بمنزلة المعنى بقيد السبق، ولا يصحّ على المسلك المشهور في المجاز إلّا إذا كان الكلّ كلَّاً عينياً، والجزء من الأجزاء المهمّة بحيث يعبّر به عن الكلّ، كالرقبة من الإنسان في نحو تحرير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وكالرأس من الإنسان في نحو جاء رأسٌ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وكالروح من الإنسان في نحو استهدف روح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وقصدت رؤية وجهه قد استعملت زيداً في وجهه، وهو جزءٌ منه، ويكون هذا الاستعمال مجازاً؛ لتوفّر الشرطين، وأمّا في مقام البحث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 عينياً فإنّه النسبة الثبوتية والتقيّد بالسبق، وهذا المعنى كلٌّ ذهنيٌ تحليليٌ، فلا يجوز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الثبوتية مجازاً، فعلى كلا المسلكين لا يجوز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في النسبة الثبوتية فقط، واللحوق 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العلاقة المصحّحة للاستعمال المجازي، وبالنتيجة لا يصحّ استعمال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الحقيقة ولا على نحو المجاز، والكلام نفسه يجري في المثال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زيد أمس</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 ما تقدّم نرى أنّ أرجح الأقوال في مسألة دلالة الأفعال على الزمان هو قول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bookmarkStart w:id="433" w:name="pg9159_85129"/>
    </w:p>
    <w:p>
      <w:pPr>
        <w:pStyle w:val="Heading3"/>
        <w:numPr>
          <w:ilvl w:val="2"/>
          <w:numId w:val="1"/>
        </w:numPr>
        <w:rPr/>
      </w:pPr>
      <w:bookmarkStart w:id="434" w:name="__RefHeading___Toc3482873_2870459653"/>
      <w:bookmarkStart w:id="435" w:name="_Toc168"/>
      <w:bookmarkEnd w:id="433"/>
      <w:bookmarkEnd w:id="434"/>
      <w:r>
        <w:rPr>
          <w:rtl w:val="true"/>
        </w:rPr>
        <w:t>مصادر البحث</w:t>
      </w:r>
      <w:bookmarkEnd w:id="435"/>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أقرب الموارد في فصح العربية والشوارد، سعيد بن عبد الله الخوري الشرتوني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منظمة الأوقاف والشؤون الخيرية، دار الأسوة للطباعة والنشر،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النحوي عند الأصوليين، السيّد مصطفى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الأصول، العلّامة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الوصول في شرح كفاية الأصول، الشيخ محمّد طاهر آل الشيخ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أشرف على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البكّاء،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الثانية،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المحقّق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الرابعة،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معالم الأصول السيّد عليّ الموسوي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تعليقه بر شرح منظومه حكمت سبزواري، الحكيم ميرزا مهدي 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العلّامة الآشتياني،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حقائق الأصول،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بصيرتي،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الخامسة،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شرح المنظومة 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إسماعليان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المنظومة، الحكيم الملا هادي بن مهدي بن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فرهنك علوم عقلي، سيّد جعفر سجادي – أنجمن إسلامي حكمت وفلسفة إيران،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المحقّق الشيخ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السامي الخفاجي،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الحكمة،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الأصول، تقرير أبحاث السيّد محمّد باقر السيستاني،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أمجد رياض والشيخ نزار يوسف، نسخة محدودة التداول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محاضرات في أصول الفقه، تقرير أبحاث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 الشيخ محمّد إسحاق الفيّاض،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النحو، عبد الغني الدقر، بإشراف أحمد عبيد،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محمّد هاشم الكتبي،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مَجمع اللغة العربية، الإدارة العامة للمعجمات وإحياء التراث، قام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مصطفى وأحمد حسن الزيّات وحامد عبد القادر ومحمّد عليّ النجّار،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الأصول، تقرير أبحاث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الأصول، 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محمّد تقي البروجردي،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الأفكار، تقرير أبحاث 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محمّد تقي البروجردي،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 بتعليقة غلام رضا الفياضي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انتشارات الإمام الخميني،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الرابعة،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الدراية في شرح الكفاية، المحقّق الشيخ محمّد حسين الغروي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الوصول إلى حقائق الأصول، تقرير أبحاث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الميرزا حسن السيادتي،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9159_85133"/>
      <w:bookmarkStart w:id="437" w:name="pg9159_85133"/>
      <w:bookmarkEnd w:id="437"/>
    </w:p>
    <w:p>
      <w:pPr>
        <w:pStyle w:val="Heading2"/>
        <w:numPr>
          <w:ilvl w:val="1"/>
          <w:numId w:val="1"/>
        </w:numPr>
        <w:rPr/>
      </w:pPr>
      <w:bookmarkStart w:id="438" w:name="pg9159_85133"/>
      <w:bookmarkStart w:id="439" w:name="__RefHeading___Toc3482875_2870459653"/>
      <w:bookmarkStart w:id="440" w:name="_Toc169"/>
      <w:bookmarkEnd w:id="438"/>
      <w:bookmarkEnd w:id="439"/>
      <w:r>
        <w:rPr>
          <w:rtl w:val="true"/>
        </w:rPr>
        <w:t xml:space="preserve">القرائن المعنويّة العامّة وأثرها في الدّلالة </w:t>
      </w:r>
      <w:r>
        <w:rPr>
          <w:rtl w:val="true"/>
        </w:rPr>
        <w:t>(</w:t>
      </w:r>
      <w:r>
        <w:rPr>
          <w:rtl w:val="true"/>
        </w:rPr>
        <w:t>مناسبة الحكم والموضوع أنموذجاً</w:t>
      </w:r>
      <w:r>
        <w:rPr>
          <w:rtl w:val="true"/>
        </w:rPr>
        <w:t>) (</w:t>
      </w:r>
      <w:r>
        <w:rPr>
          <w:rtl w:val="true"/>
        </w:rPr>
        <w:t>الحلقة الثانیة</w:t>
      </w:r>
      <w:r>
        <w:rPr>
          <w:rtl w:val="true"/>
        </w:rPr>
        <w:t xml:space="preserve">) - </w:t>
      </w:r>
      <w:r>
        <w:rPr>
          <w:rtl w:val="true"/>
        </w:rPr>
        <w:t xml:space="preserve">الشّيخ عليّ الجزيريّ </w:t>
      </w:r>
      <w:r>
        <w:rPr>
          <w:rtl w:val="true"/>
        </w:rPr>
        <w:t>(</w:t>
      </w:r>
      <w:r>
        <w:rPr>
          <w:rtl w:val="true"/>
        </w:rPr>
        <w:t>دام عزه</w:t>
      </w:r>
      <w:r>
        <w:rPr>
          <w:rtl w:val="true"/>
        </w:rPr>
        <w:t>)</w:t>
      </w:r>
      <w:bookmarkEnd w:id="440"/>
    </w:p>
    <w:p>
      <w:pPr>
        <w:pStyle w:val="Heading3"/>
        <w:numPr>
          <w:ilvl w:val="2"/>
          <w:numId w:val="1"/>
        </w:numPr>
        <w:rPr/>
      </w:pPr>
      <w:bookmarkStart w:id="441" w:name="__RefHeading___Toc3482877_2870459653"/>
      <w:bookmarkStart w:id="442" w:name="_Toc170"/>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 xml:space="preserve">يتناول هذا البحث مفردة هامّة من مفردات الفقه الحديث، لها حضور واسع في كلمات علمائنا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عصر الفقيه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يومنا هذا،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مناسبات الحكم والموضوع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حاولنا من خلاله استنطاق كلمات العلماء في موارد توظيفهم لهذه المناسبات، وما تنطوي عليه هذه الكلمات من فوائد وفرائد علميّة كثيرة لها دورها البارز في استنباط الحكم الشرعيّ من مظانّه المقرّرة، وما ذاك إلّا من أجل رسم حدود القاعدة وأبعاد المسألة، وإعطاء القانون وتأصيل الضابطة</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تقدّم في الحلقة الأولى كثرة اعتماد العلماء المتأخّرين على قرينة مناسبة الحكم والموضوع، وحيث إنّهم لم يبيّنوا مرادهم بها وجب علينا سلوك طريقين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المدلول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تحليل مستندهم في الموارد التي اعتمدوا فيها على 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الحلقة الأولى عن الطريق الأوّل ضمن جهتين كانت الجهة الأولى منهما في إشارة لتاريخ المسألة، والأخرى في تحديد المفاد اللغوي لمناسبة الحكم والموضوع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في هذه الحلقة عن الطريق الآخر ضمن جهات ثلاث</w:t>
      </w:r>
      <w:r>
        <w:rPr>
          <w:rFonts w:eastAsia="Amiri" w:cs="Amiri" w:ascii="Amiri" w:hAnsi="Amiri"/>
          <w:color w:val="111111"/>
          <w:sz w:val="28"/>
          <w:szCs w:val="28"/>
          <w:rtl w:val="true"/>
          <w:lang w:bidi="ar-SA"/>
        </w:rPr>
        <w:t xml:space="preserve">: </w:t>
      </w:r>
      <w:bookmarkStart w:id="443" w:name="pg9159_85136"/>
    </w:p>
    <w:p>
      <w:pPr>
        <w:pStyle w:val="Heading3"/>
        <w:numPr>
          <w:ilvl w:val="2"/>
          <w:numId w:val="1"/>
        </w:numPr>
        <w:rPr/>
      </w:pPr>
      <w:bookmarkStart w:id="444" w:name="__RefHeading___Toc3482879_2870459653"/>
      <w:bookmarkStart w:id="445" w:name="_Toc171"/>
      <w:bookmarkEnd w:id="443"/>
      <w:bookmarkEnd w:id="444"/>
      <w:r>
        <w:rPr>
          <w:rtl w:val="true"/>
        </w:rPr>
        <w:t>الجهة الأولى</w:t>
      </w:r>
      <w:r>
        <w:rPr>
          <w:rtl w:val="true"/>
        </w:rPr>
        <w:t xml:space="preserve">: </w:t>
      </w:r>
      <w:r>
        <w:rPr>
          <w:rtl w:val="true"/>
        </w:rPr>
        <w:t>في الدليل على اعتبار مناسبة الحكم والموضوع ومقدار حجّيتها وموارد جريانها</w:t>
      </w:r>
      <w:bookmarkEnd w:id="445"/>
    </w:p>
    <w:p>
      <w:pPr>
        <w:pStyle w:val="BookText"/>
        <w:rPr/>
      </w:pPr>
      <w:r>
        <w:rPr>
          <w:rFonts w:ascii="Amiri" w:hAnsi="Amiri" w:eastAsia="Amiri" w:cs="Amiri"/>
          <w:color w:val="111111"/>
          <w:sz w:val="28"/>
          <w:sz w:val="28"/>
          <w:szCs w:val="28"/>
          <w:rtl w:val="true"/>
          <w:lang w:bidi="ar-SA"/>
        </w:rPr>
        <w:t>خرّج بعض العلماء حجّية مناسبة الحكم والموضوع باندراجها في كبرى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ربّما فهمت لمناسبة الحكم والموضوع تفسيرات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قرينة غير لفظية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ارتكاز يكشف حكمة التشريع</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بنفي الخصوصية توسعةً، والجزم بإرادتها تضييقاً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وإنّما تفسّر به المناسبة المضيّقة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تدخل مناسبة الحكم والموضوع في باب الظهورات بناءً على تفسيرها بأنّها قرينة على المراد، أو تفسيرها بالانصراف، دون تفسيرها بالارتكاز، أو تنقيح المناط، أو الجزم بالخصوصية أو بعدمها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تفسيرها بالارتكاز الكاشف عن حكمة التشريع فمن الواضح أنّه لا صلة لها بالظهور أصلاً؛ لأنّ الارتكاز لا يمسّ دلالة الكلام ولا يغيّرها، فلو قال المشرّع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ذكر أخاه بعيب في غيبته فكأنّما أكل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دلالته، ولا نقول إنّ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نستكشف بالارتكاز أنّ هذا الحكم تطبيق لحكمٍ 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إنسان رجلاً كان أم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نقول إنّه بهذا الخطاب أراد تحريم الغيبة مطلقاً حتّى على النساء، بل نقول إنّه أراد بيان تحريم الغيبة على الرجال خاصّة، ولكنّنا استكشفنا أنّ هذا التحريم لم يكن تشريعاً مستقلَّاً، بل هو تطبيق لتشريع أوسع، وهو تحريم الغيبة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تفسيرها بتنقيح المناط فهي أيضاً أجنبية عن الظهور؛ إذ هي داخلة في حجّية القطع أو الاطمئنان؛ باعتبار أنّ مرجع تنقيح المناط إلى القطع أو الاطمئنان بعلّة الحكم، والغرض من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تفسيرها بالجزم بالخصوصية، أو بعدم الخصوصية فكونها أجنبية عن الظهور واضح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التفسير وسابقه هو أنّ الأوّل يدّعي العلم بعلّة الحكم من طريق موضوعي، وهو الارتكاز أو الترابط بين الحكم والموضوع، وقد لا يدّعي النظر إلى علّة الحكم، بل يدّعي العلم بحكمٍ أوسع، كما في مثال تحريم الغيبة، وأمّا هذا فيدّعي العلم بعلّة الحكم علماً ذاتياً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البيان يظهر لك وجه التفصيل الذي ذكره بعض العلماء</w:t>
      </w:r>
      <w:r>
        <w:rPr>
          <w:rStyle w:val="FootnoteAnchor"/>
          <w:rtl w:val="true"/>
        </w:rPr>
        <w:footnoteReference w:id="390"/>
      </w:r>
      <w:r>
        <w:rPr>
          <w:rFonts w:ascii="Amiri" w:hAnsi="Amiri" w:eastAsia="Amiri" w:cs="Amiri"/>
          <w:color w:val="111111"/>
          <w:sz w:val="28"/>
          <w:sz w:val="28"/>
          <w:szCs w:val="28"/>
          <w:rtl w:val="true"/>
          <w:lang w:bidi="ar-SA"/>
        </w:rPr>
        <w:t xml:space="preserve">من جريانها </w:t>
      </w:r>
    </w:p>
    <w:p>
      <w:pPr>
        <w:pStyle w:val="BookText"/>
        <w:rPr/>
      </w:pPr>
      <w:r>
        <w:rPr>
          <w:rFonts w:ascii="Amiri" w:hAnsi="Amiri" w:eastAsia="Amiri" w:cs="Amiri"/>
          <w:color w:val="111111"/>
          <w:sz w:val="28"/>
          <w:sz w:val="28"/>
          <w:szCs w:val="28"/>
          <w:rtl w:val="true"/>
          <w:lang w:bidi="ar-SA"/>
        </w:rPr>
        <w:t>في خصوص الأدلّة اللفظية دون اللبّية؛ فإنّها على تقدير كونها صغرى لحجّية الظهور تختصّ بالأدلّة اللفظية، ولكنّها على تقدير آخر لا تأبى أن تجري في الأدلّة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يظهر لك وجه التفصيل بين المعاملات والعبادات المشوبة بغير التعبّد، فتجري فيها، وبين العبادات المحضة، فلا تجري فيها، فإنّها إذا كانت ترجع إلى حكمة التشريع، أو تنقيح المناط فإنّما يصحّ الاعتماد عليها في باب المعاملات والعبادات غير المحضة خاصّة؛ لأنّ حكمة تشريعها معلومة، ومناطها معروف، ولا تجري في العبادات المحضة؛ لأنّ العالم بحكمة تشريعها وبمناطها هو الله تعالى، ومن أظهره على ذلك من طريق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فهل التعبير عنها بتنقيح المناط، أو إلغاء الخصوصية، أو الانصراف من سهو القلم، أو لاعتقاد وحدة المراد؟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العبارات المختلفة هو اختلاف المراد، فينبغي التأمّل لاستخراج ما يميّز مسألتنا عن هذه المسائل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بأنّ مناسبة الحكم والموضوع أجنبية عن الظهور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منتقى الأصول،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والمراد به ما يفهمه العرف بحسب مرتكزاته من قياسات الأحكام والموضوعات، في قبال ما يفهمه بحسب متفاهم الألفاظ وفي مقام المحاورة الذي هو مفاد تحكيم الدليل، فقد يفهم العرف بحسب لفظ الدليل كون الموضوع للحكم هو الأمر الكذائي، ولكن بحسب مرتكزاته من مناسبة الحكم وموضوعه يرى عدم تبدّل الموضوع عند زوال بعض صفاته المقوّمة بحسب الدليل، وأنّ الحكم ثابت للأعمّ، فهو يرى بحسب الدليل أنّ </w:t>
      </w:r>
    </w:p>
    <w:p>
      <w:pPr>
        <w:pStyle w:val="BookText"/>
        <w:rPr/>
      </w:pPr>
      <w:r>
        <w:rPr>
          <w:rFonts w:ascii="Amiri" w:hAnsi="Amiri" w:eastAsia="Amiri" w:cs="Amiri"/>
          <w:color w:val="111111"/>
          <w:sz w:val="28"/>
          <w:sz w:val="28"/>
          <w:szCs w:val="28"/>
          <w:rtl w:val="true"/>
          <w:lang w:bidi="ar-SA"/>
        </w:rPr>
        <w:t>الحنطة هي موضوع الحلّية، ولكنّه بحسب مرتكزاته يرى أنّ عروض الحلّية لا يختصّ بالحنطة، بل يعمّها ويعمّ الدقيق، كما يرى بحسب مرتكزاته أنّ موضوع النجاسة هو ذات الماء وأنّ التغيّر يؤثّر فيه بنحو العلّية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أن لا يكون الفهم العرفي المذكور من القوّة بحيث يكون من القرائن المتّصلة أو المنفصلة الموجبة لانقلاب ظهور اللفظ من معناه وانعقاده في المفهوم العرفي، أو المانعة عن حجّيته في ما هو ظاهر فيه، وإلّا رجع الأمر الثاني، أعني لسان الدليل</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46" w:name="pg9159_85140"/>
    </w:p>
    <w:p>
      <w:pPr>
        <w:pStyle w:val="Heading3"/>
        <w:numPr>
          <w:ilvl w:val="2"/>
          <w:numId w:val="1"/>
        </w:numPr>
        <w:rPr/>
      </w:pPr>
      <w:bookmarkStart w:id="447" w:name="__RefHeading___Toc3482881_2870459653"/>
      <w:bookmarkStart w:id="448" w:name="_Toc172"/>
      <w:bookmarkEnd w:id="446"/>
      <w:bookmarkEnd w:id="447"/>
      <w:r>
        <w:rPr>
          <w:rtl w:val="true"/>
        </w:rPr>
        <w:t>الجهة الثانية</w:t>
      </w:r>
      <w:r>
        <w:rPr>
          <w:rtl w:val="true"/>
        </w:rPr>
        <w:t xml:space="preserve">: </w:t>
      </w:r>
      <w:r>
        <w:rPr>
          <w:rtl w:val="true"/>
        </w:rPr>
        <w:t>في الفرق بينها وبين القياس</w:t>
      </w:r>
      <w:bookmarkEnd w:id="448"/>
    </w:p>
    <w:p>
      <w:pPr>
        <w:pStyle w:val="BookText"/>
        <w:rPr/>
      </w:pPr>
      <w:r>
        <w:rPr>
          <w:rFonts w:ascii="Amiri" w:hAnsi="Amiri" w:eastAsia="Amiri" w:cs="Amiri"/>
          <w:color w:val="111111"/>
          <w:sz w:val="28"/>
          <w:sz w:val="28"/>
          <w:szCs w:val="28"/>
          <w:rtl w:val="true"/>
          <w:lang w:bidi="ar-SA"/>
        </w:rPr>
        <w:t>إنّ الفرق بينها وبين القياس يستدعي النظر في حقيقة القياس وأقسامه، لمعرفة الأحكام المترتّبة على ذلك، وهل كلّ قياس عندنا باطل في الشريعة أو لا؟</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للقياس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يعدّونه دليلاً ومستنداً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وعمل الشخص الذي يقيس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بمساواة محلّ لآخر في علّة حكمه،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حكم الأصل للفرع؛ لظن اشتراكهما في العلّة الموجبة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اشتراك الأصل والفرع في العلّة مبنيّ على تخمين المستدلّ بالقياس وظنّه لاعتقاده التشابه بينهما، ولو كان أهل القياس يدّعون حصول العلم بالعلّة لكان ذلك عذراً لهم، ولكنّهم لا يدّعون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باطل عندنا؛ لأنّه ليس للعباد طريق لمعرفة علل الأحكام وملاكاتها، إلّا بيان الشرع، والظنّ لا يغني من الحقّ شيئاً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مناسبة الحكم والموضوع فقد عرفت أنّ الذي يظهر من تطبيقات الفقهاء لها هو أنّها اطمئنان الفقيه بحكمة التشريع، فالقياس ظنّ بالعلّة، والمناسبة اطمئنان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أنّه يظهر من ملاحظة الروايات التي تذمّ القياس معنى آخر غير ما اصطلح عليه علماء أصول الفقه بالقياس، والذي يظهر من الروايات هو إعمال الرأي، ونسبة الحكم للشرع اقتراحاً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فالمهمّ أنّ هذه الكلمة التي بقيت في تراثنا بسبب النصّ الروائي قد طرأ عليها تغيّر في المفهوم بسبب المعنى الاصطلاحي، فلا ينبغي إغفال ذلك</w:t>
      </w:r>
      <w:r>
        <w:rPr>
          <w:rFonts w:eastAsia="Amiri" w:cs="Amiri" w:ascii="Amiri" w:hAnsi="Amiri"/>
          <w:color w:val="111111"/>
          <w:sz w:val="28"/>
          <w:szCs w:val="28"/>
          <w:rtl w:val="true"/>
          <w:lang w:bidi="ar-SA"/>
        </w:rPr>
        <w:t xml:space="preserve">. </w:t>
      </w:r>
      <w:bookmarkStart w:id="449" w:name="pg9159_85142"/>
    </w:p>
    <w:p>
      <w:pPr>
        <w:pStyle w:val="Heading3"/>
        <w:numPr>
          <w:ilvl w:val="2"/>
          <w:numId w:val="1"/>
        </w:numPr>
        <w:rPr/>
      </w:pPr>
      <w:bookmarkStart w:id="450" w:name="__RefHeading___Toc3482883_2870459653"/>
      <w:bookmarkStart w:id="451" w:name="_Toc173"/>
      <w:bookmarkEnd w:id="449"/>
      <w:bookmarkEnd w:id="450"/>
      <w:r>
        <w:rPr>
          <w:rtl w:val="true"/>
        </w:rPr>
        <w:t>الجهة الثالثة</w:t>
      </w:r>
      <w:r>
        <w:rPr>
          <w:rtl w:val="true"/>
        </w:rPr>
        <w:t xml:space="preserve">: </w:t>
      </w:r>
      <w:r>
        <w:rPr>
          <w:rtl w:val="true"/>
        </w:rPr>
        <w:t>موارد اعتماد العلماء على مناسبة الحكم والموضوع</w:t>
      </w:r>
      <w:bookmarkEnd w:id="451"/>
    </w:p>
    <w:p>
      <w:pPr>
        <w:pStyle w:val="Heading4"/>
        <w:numPr>
          <w:ilvl w:val="3"/>
          <w:numId w:val="1"/>
        </w:numPr>
        <w:rPr/>
      </w:pPr>
      <w:bookmarkStart w:id="452" w:name="__RefHeading___Toc3482885_2870459653"/>
      <w:bookmarkStart w:id="453" w:name="_Toc174"/>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تقدّم منّا أنّ الاعتماد على مناسبات الحكم والموضوع قد بلغ في زماننا هذا بل وقبله مبلغاً عظيماً، فلا بأس أن ننظر في بعض المواضع التي اعتمد العلماء فيها على هذه القرينة، لنصل إلى فهم حقيقة مرادهم، فنقول مستعينين بالله</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482887_2870459653"/>
      <w:bookmarkStart w:id="455" w:name="_Toc175"/>
      <w:bookmarkEnd w:id="454"/>
      <w:r>
        <w:rPr>
          <w:rtl w:val="true"/>
        </w:rPr>
        <w:t>الأوّل</w:t>
      </w:r>
      <w:r>
        <w:rPr>
          <w:rtl w:val="true"/>
        </w:rPr>
        <w:t xml:space="preserve">: </w:t>
      </w:r>
      <w:r>
        <w:rPr>
          <w:rtl w:val="true"/>
        </w:rPr>
        <w:t xml:space="preserve">موارد اعتماد المحقّق آغا رضا الهمداني </w:t>
      </w:r>
      <w:r>
        <w:rPr>
          <w:rtl w:val="true"/>
        </w:rPr>
        <w:t>(</w:t>
      </w:r>
      <w:r>
        <w:rPr>
          <w:rtl w:val="true"/>
        </w:rPr>
        <w:t>قدس سره</w:t>
      </w:r>
      <w:r>
        <w:rPr>
          <w:rtl w:val="true"/>
        </w:rPr>
        <w:t>) (</w:t>
      </w:r>
      <w:r>
        <w:rPr>
          <w:rtl w:val="true"/>
        </w:rPr>
        <w:t xml:space="preserve">ت </w:t>
      </w:r>
      <w:r>
        <w:rPr/>
        <w:t>1322</w:t>
      </w:r>
      <w:r>
        <w:rPr>
          <w:rtl w:val="true"/>
        </w:rPr>
        <w:t>ﻫ</w:t>
      </w:r>
      <w:r>
        <w:rPr>
          <w:rtl w:val="true"/>
        </w:rPr>
        <w:t>)</w:t>
      </w:r>
      <w:bookmarkEnd w:id="455"/>
    </w:p>
    <w:p>
      <w:pPr>
        <w:pStyle w:val="Heading5"/>
        <w:numPr>
          <w:ilvl w:val="4"/>
          <w:numId w:val="1"/>
        </w:numPr>
        <w:rPr/>
      </w:pPr>
      <w:bookmarkStart w:id="456" w:name="__RefHeading___Toc3482889_2870459653"/>
      <w:bookmarkStart w:id="457" w:name="_Toc176"/>
      <w:bookmarkEnd w:id="456"/>
      <w:r>
        <w:rPr>
          <w:rtl w:val="true"/>
        </w:rPr>
        <w:t>المورد الأوّل</w:t>
      </w:r>
      <w:bookmarkEnd w:id="457"/>
    </w:p>
    <w:p>
      <w:pPr>
        <w:pStyle w:val="BookText"/>
        <w:rPr/>
      </w:pPr>
      <w:r>
        <w:rPr>
          <w:rFonts w:ascii="Amiri" w:hAnsi="Amiri" w:eastAsia="Amiri" w:cs="Amiri"/>
          <w:color w:val="111111"/>
          <w:sz w:val="28"/>
          <w:sz w:val="28"/>
          <w:szCs w:val="28"/>
          <w:rtl w:val="true"/>
          <w:lang w:bidi="ar-SA"/>
        </w:rPr>
        <w:t xml:space="preserve">تعرَّض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الفضولي للاستدلال بعموم وجوب الوفاء بالعقود لإثبات كفاية رضا المالك في صحّة العقد مطلقاً، وقال إنّه يثبت المطلوب إذا كان المراد بالعقود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 عن كلّ أحد متعلّق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معناه أنّه يجب على المالك الوفاء بكلّ عقد تعلّق بماله سواء كان العاقد نفسه أو غيره، وغاية ما في الباب تخصيص ذلك العموم بدليل طيب النفس بما لا يكون المالك راضياً بالعقد مطلقاً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لم يرتضِ هذا المعنى محتجّاً بأنّه خلاف ظاهر الآية، فالظاهر منها بضميمة مناسبة الحكم والموضوع أنّه يجب الوفاء على كلّ شخص يكون من شأنه الوفاء بكلّ عقد صدر منه، لا عنه وعن غيره مطلقاً؛ إذ المناسب للحكم بوجوب الوفاء إنّما هو كونه صادراً عنه، كما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عهود نفسه، لا كلّ عهد وقع في الدنيا، ولو كان مرتبطاً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تعاهد شخصان أجنبيان عليه </w:t>
      </w:r>
      <w:bookmarkStart w:id="458" w:name="pg9159_85143"/>
    </w:p>
    <w:p>
      <w:pPr>
        <w:pStyle w:val="BookText"/>
        <w:rPr/>
      </w:pPr>
      <w:bookmarkEnd w:id="458"/>
      <w:r>
        <w:rPr>
          <w:rFonts w:ascii="Amiri" w:hAnsi="Amiri" w:eastAsia="Amiri" w:cs="Amiri"/>
          <w:color w:val="111111"/>
          <w:sz w:val="28"/>
          <w:sz w:val="28"/>
          <w:szCs w:val="28"/>
          <w:rtl w:val="true"/>
          <w:lang w:bidi="ar-SA"/>
        </w:rPr>
        <w:t>شيئاً، ومعلوم أنّ عموم هذا الأمر لا يشمل هذا المورد من أوّل الأمر، فعلى هذا فليس مفاد الآية إلّا كمفاد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وَالْمُوفُونَ بِعَهْدِهِمْ إِذا عاهَدُوا، في أنّ الوفاء إنّما تعلّق بما عاهد، فمفاد الآية أنّه يجب على العاقد الوفاء بعقده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فأثر مناسبة الحكم والموضوع في هذا المورد هو تضييق موضوع الحكم، وقد صرّح في عموم وجوب الوفاء بالعهد بأنّ الحكم ينصرف إلى عهد نفسه، ولكن لا يسعنا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بداية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 بأنّ ما يريده المحقّق الهمداني من مناسبة الحكم والموضوع في كلّ مورد اعتمد فيه على هذه القرينة هو موجبات الانصراف</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3482891_2870459653"/>
      <w:bookmarkStart w:id="460" w:name="_Toc177"/>
      <w:bookmarkEnd w:id="459"/>
      <w:r>
        <w:rPr>
          <w:rtl w:val="true"/>
        </w:rPr>
        <w:t>المورد الثاني</w:t>
      </w:r>
      <w:bookmarkEnd w:id="460"/>
    </w:p>
    <w:p>
      <w:pPr>
        <w:pStyle w:val="BookText"/>
        <w:rPr/>
      </w:pPr>
      <w:r>
        <w:rPr>
          <w:rFonts w:ascii="Amiri" w:hAnsi="Amiri" w:eastAsia="Amiri" w:cs="Amiri"/>
          <w:color w:val="111111"/>
          <w:sz w:val="28"/>
          <w:sz w:val="28"/>
          <w:szCs w:val="28"/>
          <w:rtl w:val="true"/>
          <w:lang w:bidi="ar-SA"/>
        </w:rPr>
        <w:t>في عدم وجوب غسل موضع النجو إذا كان الظاهر لم يتلوّث بالنجاسة،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واحتمال وجوب الغسل تعبّداً كما عن ظاهر المنتهى لإطلاقات الأمر بالغسل ضعيف في الغاية؛ لأنّ الأوامر المطلقة منزّلة على الغالب، 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الفهم العرفي الناشئ من مناسبة الحكم وموضوعه، أعني وجوب الغسل ونجاسة موضع النجو بمقتضى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النقاء وإذهاب الغائط حدّاً للاستنجاء في حسنة ابن المغيرة، وموثّقة يونس بن يعقوب المتقدّمتين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يمكن إرجاعه إلى تشخيص الغرض من تشريع وجوب الغسل، ويمكن إرجاعه أيضاً إلى الانصراف إلى الغالب</w:t>
      </w:r>
      <w:r>
        <w:rPr>
          <w:rFonts w:eastAsia="Amiri" w:cs="Amiri" w:ascii="Amiri" w:hAnsi="Amiri"/>
          <w:color w:val="111111"/>
          <w:sz w:val="28"/>
          <w:szCs w:val="28"/>
          <w:rtl w:val="true"/>
          <w:lang w:bidi="ar-SA"/>
        </w:rPr>
        <w:t xml:space="preserve">. </w:t>
      </w:r>
      <w:bookmarkStart w:id="461" w:name="pg9159_85144"/>
    </w:p>
    <w:p>
      <w:pPr>
        <w:pStyle w:val="Heading5"/>
        <w:numPr>
          <w:ilvl w:val="4"/>
          <w:numId w:val="1"/>
        </w:numPr>
        <w:rPr/>
      </w:pPr>
      <w:bookmarkStart w:id="462" w:name="__RefHeading___Toc3482893_2870459653"/>
      <w:bookmarkStart w:id="463" w:name="_Toc178"/>
      <w:bookmarkEnd w:id="461"/>
      <w:bookmarkEnd w:id="462"/>
      <w:r>
        <w:rPr>
          <w:rtl w:val="true"/>
        </w:rPr>
        <w:t>المورد الثالث</w:t>
      </w:r>
      <w:bookmarkEnd w:id="463"/>
    </w:p>
    <w:p>
      <w:pPr>
        <w:pStyle w:val="BookText"/>
        <w:rPr/>
      </w:pPr>
      <w:r>
        <w:rPr>
          <w:rFonts w:ascii="IRNazanin" w:hAnsi="IRNazanin" w:eastAsia="IRNazanin"/>
          <w:color w:val="111111"/>
          <w:sz w:val="28"/>
          <w:sz w:val="28"/>
          <w:szCs w:val="28"/>
          <w:rtl w:val="true"/>
          <w:lang w:bidi="fa-IR"/>
        </w:rPr>
        <w:t xml:space="preserve">في التمسّك بمناسبة الحكم والموضوع لتعميم موضوع حرمة مسّ الجنب ما عليه لفظ الجلالة في موثّقة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 الجنب درهماً ولا ديناراً عليه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يختصّ الحكم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يعمّ كلّ اسم من أسمائه سبحانه وتعالى المختصّة به من أيّ لغة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المتعارف في أزمنة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لفظ خاصّ على الدينار والدرهم لا يقتضي قصر الحكم عليه، خصوصاً مع وضوح مناطه، بل المتبادر من اسم الله تعالى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لأجل وضوح المناسبة بين الحكم وموضوعه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ما أنبأ عن الذات المقدّسة، سواء كان بالوضع أو بانضمام القيود والقرائن، فيعمّ الأوصاف المختصّة والمشتركة، بل مطلق الألفاظ العامّة، وصفاً كان أم غيره بشرط احتفافها بما يعيّن إرادة الذات المقدّسة منها،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كلّ شيء</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التعميم لا يمكن إرجاعه إلى الانصراف؛ فإنّ الانصراف تضييق للمطلق، ومنشأ التعميم هنا هو معرفة الغرض من تشريع الحكم جزماً، فإنّ الغرض منه هو تعظيم الله جلّ شأنه، وهذا الغرض لا يختصّ بلفظ الجلالة، كما أنّ مناسبة الحكم والموضوع في هذا المقام توجب تضييقاً من جهة أخرى، فإنّ موضوع الحكم في الموثّقة هو الدينار والدرهم الذي عليه اسم الله، لكن ينبغي رفع اليد عن إطلاق الدينار والدرهم، وتقييده بموضع اسم الله فيهما، فيجوز له أن يمسّ أطرافهما ممّا ليس فيه هذه الكتابة، ويجوز في جانب التضييق أن يكون المراد بمناسبة الحكم </w:t>
      </w:r>
      <w:bookmarkStart w:id="464" w:name="pg9159_85145"/>
    </w:p>
    <w:p>
      <w:pPr>
        <w:pStyle w:val="BookText"/>
        <w:rPr/>
      </w:pPr>
      <w:bookmarkEnd w:id="464"/>
      <w:r>
        <w:rPr>
          <w:rFonts w:ascii="Amiri" w:hAnsi="Amiri" w:eastAsia="Amiri" w:cs="Amiri"/>
          <w:color w:val="111111"/>
          <w:sz w:val="28"/>
          <w:sz w:val="28"/>
          <w:szCs w:val="28"/>
          <w:rtl w:val="true"/>
          <w:lang w:bidi="ar-SA"/>
        </w:rPr>
        <w:t>والموضوع معرفة غرض التشريع جزماً، ويجوز أن يكون المراد بها الانصراف</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3482895_2870459653"/>
      <w:bookmarkStart w:id="466" w:name="_Toc179"/>
      <w:bookmarkEnd w:id="465"/>
      <w:r>
        <w:rPr>
          <w:rtl w:val="true"/>
        </w:rPr>
        <w:t>المورد الرابع</w:t>
      </w:r>
      <w:bookmarkEnd w:id="466"/>
    </w:p>
    <w:p>
      <w:pPr>
        <w:pStyle w:val="BookText"/>
        <w:rPr/>
      </w:pPr>
      <w:r>
        <w:rPr>
          <w:rFonts w:ascii="Amiri" w:hAnsi="Amiri" w:eastAsia="Amiri" w:cs="Amiri"/>
          <w:color w:val="111111"/>
          <w:sz w:val="28"/>
          <w:sz w:val="28"/>
          <w:szCs w:val="28"/>
          <w:rtl w:val="true"/>
          <w:lang w:bidi="ar-SA"/>
        </w:rPr>
        <w:t xml:space="preserve">في إلحاق الأمة والزوجة المنقطعة بالزوجة الدائمة في جواز تغسيل كلّ منهما للآخر، فقد 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حكمهما من الأخبار الدالّة على جواز تغسيل كلّ من الزوجين صاحبه،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في تلك الأخبار وإن كان الزوجين، والمتبادر منهما لدى الإطلاق غير الأمة وسيّدها، لكنّ المناط الذي يتعقّله العرف منشأً للجواز ليس إلّا المعنى القائم بالزوجين، الموجود بين الأمة وسيّدها من حلّية النظر واللمس والاستمتاع، فلا يتعقّل العرف من الزوجة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المناسبة بين الحكم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يعمّ الأمة والمنقطعة كالدائمة، مع أنّ المتبادر منها لدى الإطلاق ليس إلّا الأخيرة</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يريد بمناسبة الحكم والموضوع معرفة الغرض من تشريع هذا الحكم</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3482897_2870459653"/>
      <w:bookmarkStart w:id="468" w:name="_Toc180"/>
      <w:bookmarkEnd w:id="467"/>
      <w:r>
        <w:rPr>
          <w:rtl w:val="true"/>
        </w:rPr>
        <w:t>المورد الخامس</w:t>
      </w:r>
      <w:bookmarkEnd w:id="4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حرمة تمكين الغير وبعثه على ارتكاب ما حرّمه الله على عباده وإن كان ذلك الغير صبيّاً أو مجنوناً أو غافلاً، هذا إذا لم يكن عنوان البلوغ أو العقل أو العمد والاختيار مأخوذاً في الأدلّة السمعية قيداً لمتعلّق التكليف، ولو من حيث الانصراف الناشئ من المناسبة بين الحكم وموضوعه أو غير ذلك من الأمور المقتضية للصرف، وإلّا فلا تأمّل في أنّه لو كان مفاد الدليل السمعي الدالّ على حرمته أنّه يحرم على العاقل أو على البالغ أو الملتفت أو نحو ذلك، لا يحرم تمكين من لم يندرج في موضوع متعلّق الحكم، وبعثه على ذلك الفعل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69" w:name="pg9159_85146"/>
    </w:p>
    <w:p>
      <w:pPr>
        <w:pStyle w:val="Heading5"/>
        <w:numPr>
          <w:ilvl w:val="4"/>
          <w:numId w:val="1"/>
        </w:numPr>
        <w:rPr/>
      </w:pPr>
      <w:bookmarkStart w:id="470" w:name="__RefHeading___Toc3482899_2870459653"/>
      <w:bookmarkStart w:id="471" w:name="_Toc181"/>
      <w:bookmarkEnd w:id="469"/>
      <w:bookmarkEnd w:id="470"/>
      <w:r>
        <w:rPr>
          <w:rtl w:val="true"/>
        </w:rPr>
        <w:t>المورد السادس</w:t>
      </w:r>
      <w:bookmarkEnd w:id="471"/>
    </w:p>
    <w:p>
      <w:pPr>
        <w:pStyle w:val="BookText"/>
        <w:rPr/>
      </w:pPr>
      <w:r>
        <w:rPr>
          <w:rFonts w:ascii="IRNazanin" w:hAnsi="IRNazanin" w:eastAsia="IRNazanin"/>
          <w:color w:val="111111"/>
          <w:sz w:val="28"/>
          <w:sz w:val="28"/>
          <w:szCs w:val="28"/>
          <w:rtl w:val="true"/>
          <w:lang w:bidi="fa-IR"/>
        </w:rPr>
        <w:t xml:space="preserve">في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للمريض أن يقرأ في الفريضة فاتحة الكتاب وحدها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يختصّ جواز الاقتصار على فاتحة الكتاب بحصول المشقّة بقراءة السورة؟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بحصول المشقّة؛ لأنّ المنساق إلى الذهن من المريض في مثل هذه الموارد بواسطة المناسبات المغروسة فيه ليس إلّا المريض الذي يشقّ عليه إطالة الصلاة، ويطلب تخفيفها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المريض بأيّ مرحلة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المصلّي مستلقياً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مشقّة عليه غالباً في التكلّم بسورة يسيرة كالتوحيد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تفرض شدّة المرض بمثابة يشقّ عليه ذلك أيضاً لاقترانه بثقل في لسانه، أو شدّة المرض بحيث تصعب عليه حتّى تلك التلاوة اليسيرة، لكنّه فرض نادر جدّاً لا يمكن حمل الإطلاق عليه، فالأقوى في النظر تعميم السقوط لصورتي المشقّة وعدمها، عملاً بإطلاق الدليل بعد امتناع حمله على الفرد النادر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ومناسبة الحكم والموضوع التي اعتمد عليها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من باب الاعتماد على حكمة التشريع؛ لأنّ تشريع كفاية الفاتحة للإرفاق، والذي يناسب الإرفاق هو من يشقّ عليه ذلك، ويحتمل أن يكون مراده الانصراف</w:t>
      </w:r>
      <w:r>
        <w:rPr>
          <w:rFonts w:eastAsia="Amiri" w:cs="Amiri" w:ascii="Amiri" w:hAnsi="Amiri"/>
          <w:color w:val="111111"/>
          <w:sz w:val="28"/>
          <w:szCs w:val="28"/>
          <w:rtl w:val="true"/>
          <w:lang w:bidi="ar-SA"/>
        </w:rPr>
        <w:t xml:space="preserve">. </w:t>
      </w:r>
      <w:bookmarkStart w:id="472" w:name="pg9159_85147"/>
    </w:p>
    <w:p>
      <w:pPr>
        <w:pStyle w:val="BookText"/>
        <w:rPr/>
      </w:pPr>
      <w:bookmarkEnd w:id="472"/>
      <w:r>
        <w:rPr>
          <w:rFonts w:ascii="Amiri" w:hAnsi="Amiri" w:eastAsia="Amiri" w:cs="Amiri"/>
          <w:color w:val="111111"/>
          <w:sz w:val="28"/>
          <w:sz w:val="28"/>
          <w:szCs w:val="28"/>
          <w:rtl w:val="true"/>
          <w:lang w:bidi="ar-SA"/>
        </w:rPr>
        <w:t>ولنقتصر على هذه الموارد من كلامه رفع الله في الخلد مقامه؛ لأنّنا نريد فهم مراد سائر العلماء بمناسبة الحكم والموضوع، وليس مقصودنا فهم خصوص مراده؛ لأنّ هذا المصطلح ربّما طرأ عليه من التطوّر في الدلالة ما يستحقّ الوقوف عليه، فلا بدّ أن ننظر أيضاً في موارد توظيف هذه القرينة في كلمات من تلاه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تحصّل لنا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سبقه في اكتشافها وتوظيفه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فيحتمل أن يريد بها ما يوجب الانصراف، ويحتمل أن يريد بها معرفة ملاك الحكم وحكمة التشريع، وهو ما يعبّر عنه بالعلّة المستنبطة بيقين، هذا فيما إذا استند إليها في تضييق موضوع الحكم، وأمّا الموارد التي استند فيها إلى هذه القرينة لتوسعة موضوع الحكم فلا مجال للانصراف، بل يكون مراده منها مردّداً بين معنيين آخرين، وهما حكمة التشريع، وإلغاء الخصوصية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482901_2870459653"/>
      <w:bookmarkStart w:id="474" w:name="_Toc182"/>
      <w:bookmarkEnd w:id="473"/>
      <w:r>
        <w:rPr>
          <w:rtl w:val="true"/>
        </w:rPr>
        <w:t>الثاني</w:t>
      </w:r>
      <w:r>
        <w:rPr>
          <w:rtl w:val="true"/>
        </w:rPr>
        <w:t xml:space="preserve">: </w:t>
      </w:r>
      <w:r>
        <w:rPr>
          <w:rtl w:val="true"/>
        </w:rPr>
        <w:t xml:space="preserve">موارد اعتماد المحقّق النائيني </w:t>
      </w:r>
      <w:r>
        <w:rPr>
          <w:rtl w:val="true"/>
        </w:rPr>
        <w:t>(</w:t>
      </w:r>
      <w:r>
        <w:rPr>
          <w:rtl w:val="true"/>
        </w:rPr>
        <w:t>قدس سره</w:t>
      </w:r>
      <w:r>
        <w:rPr>
          <w:rtl w:val="true"/>
        </w:rPr>
        <w:t>) (</w:t>
      </w:r>
      <w:r>
        <w:rPr>
          <w:rtl w:val="true"/>
        </w:rPr>
        <w:t xml:space="preserve">ت </w:t>
      </w:r>
      <w:r>
        <w:rPr/>
        <w:t>1355</w:t>
      </w:r>
      <w:r>
        <w:rPr>
          <w:rtl w:val="true"/>
        </w:rPr>
        <w:t>ﻫ</w:t>
      </w:r>
      <w:r>
        <w:rPr>
          <w:rtl w:val="true"/>
        </w:rPr>
        <w:t>)</w:t>
      </w:r>
      <w:bookmarkEnd w:id="474"/>
    </w:p>
    <w:p>
      <w:pPr>
        <w:pStyle w:val="Heading5"/>
        <w:numPr>
          <w:ilvl w:val="4"/>
          <w:numId w:val="1"/>
        </w:numPr>
        <w:rPr/>
      </w:pPr>
      <w:bookmarkStart w:id="475" w:name="__RefHeading___Toc3482903_2870459653"/>
      <w:bookmarkStart w:id="476" w:name="_Toc183"/>
      <w:bookmarkEnd w:id="475"/>
      <w:r>
        <w:rPr>
          <w:rtl w:val="true"/>
        </w:rPr>
        <w:t>اشارة</w:t>
      </w:r>
      <w:bookmarkEnd w:id="4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المكثرين لتوظيف هذه القرينة في الأبحاث الفقهية المختلفة، وقد أبرزت كلماته جوانب مهمّة في تشخيص المقصود منها، فهو يصرّح بأنّ مناسبات الحكم والموضوع وحدها لا تكفي؛ فإنّها بنفسها ليست دليلاً ما لم توجب انعقاد ظهور الدليل على خلاف ما كان ظاهراً فيه لولا المناسبة، فلا يمكن الركون إليها في الموارد التي لا يكون هناك دليل توجب المناسبة انعقاد ظهوره في مورد المناسبة؛ لأنّها من سنخ القرائن التي تؤثّر في دلالة الكلام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خلال بيانه هذا نستفيد أنّ الوجه في حجّيتها راجع إلى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 بحث القرائن لم يحرّر في علم الأصول ببحثٍ مستقلّ،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 بأبعاده وخصوصياته، وشروط تطبيقه، مع أنّه غير مسبوق بتحليل الفارق بين الدليل والقرينة، ولم يكتفِ بذلك بل سجّل اعتراضاً على من يستند إلى مناسبة الحكم والموضوع وحدها من دون وجود دليل تصرّفت في دلالته؛ لأنّ دور مناسبة الحكم والموضوع كغيرها من القرائن يقتصر على تغيير ظهور الكلام</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الرجوع هنا إلى الفهم العرفي بواسطة هذه القرينة رجوعاً إلى الفهم العرفي من لسان الدليل؛ إذ ليس في البين دليل لفظي، ولا أنّ العرف يكون شارحاً لحال القيد، وأنّه علّة في الحكم لا قيد في موضوعه، لأنّه لا مسرح للعرف في ذلك، بل هو رجوع إلى العرف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وحينئذٍ يكون المقام من الشبهة الصدقية لا المصداقية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النظر في موارد توظيفه لهذه القرينة لا يوجب جزمنا بالمقصود منها؛ فإنّ المراد بها في ثنايا كلامه يحتمل وجوهاً شتّى، وهذه الوجوه تختلف من مورد إلى آخر، فتارةً تحتمل الانصراف، وتارة تحتمل تنقيح المناط، وأخرى تحتمل الجزم بنفي الخصوصية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فلنقف على بعض الموارد التي اعتمد فيها على هذه القرينة، لنستكشف </w:t>
      </w:r>
      <w:bookmarkStart w:id="477" w:name="pg9159_85149"/>
    </w:p>
    <w:p>
      <w:pPr>
        <w:pStyle w:val="BookText"/>
        <w:rPr/>
      </w:pPr>
      <w:bookmarkEnd w:id="477"/>
      <w:r>
        <w:rPr>
          <w:rFonts w:ascii="Amiri" w:hAnsi="Amiri" w:eastAsia="Amiri" w:cs="Amiri"/>
          <w:color w:val="111111"/>
          <w:sz w:val="28"/>
          <w:sz w:val="28"/>
          <w:szCs w:val="28"/>
          <w:rtl w:val="true"/>
          <w:lang w:bidi="ar-SA"/>
        </w:rPr>
        <w:t>قاعدة عامّة تأصيلية يمكن الركون إليها في سائر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ذلك لا بأس أن نشير إلى بعض الأمور التي أشار إليها في كلماته المختلفة ممّا له ربط بالمسألة، وهي تحظى بأهمّية خاصّة في الفقه والأصول؛ لما اشتملت عليه من بيان أبعاد قد تكون غائبة عنّا في معرفة حقيقة هذه القرينة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482905_2870459653"/>
      <w:bookmarkStart w:id="479" w:name="_Toc184"/>
      <w:bookmarkEnd w:id="478"/>
      <w:r>
        <w:rPr>
          <w:rtl w:val="true"/>
        </w:rPr>
        <w:t>الأمر الأوّل</w:t>
      </w:r>
      <w:bookmarkEnd w:id="479"/>
    </w:p>
    <w:p>
      <w:pPr>
        <w:pStyle w:val="BookText"/>
        <w:rPr/>
      </w:pPr>
      <w:r>
        <w:rPr>
          <w:rFonts w:ascii="Amiri" w:hAnsi="Amiri" w:eastAsia="Amiri" w:cs="Amiri"/>
          <w:color w:val="111111"/>
          <w:sz w:val="28"/>
          <w:sz w:val="28"/>
          <w:szCs w:val="28"/>
          <w:rtl w:val="true"/>
          <w:lang w:bidi="ar-SA"/>
        </w:rPr>
        <w:t>أنّ مناسبة الحكم والموضوع، بل القرائن بشكل عامّ، قد تقتضي ثبوت الحكم الثابت لعنوان خاصّ لذاتِ المعنون ولو مع زوال عنوانه، كما في الحلّية الثابتة لعنوان الحنطة مثلاً؛ حيث إنّ العرف يفهم من الدليل الدالّ عليها حلّية الدقيق والخبز من دون التماس دليلٍ آخر، فلا يكون الحكم تابعاً للعنوان، ولا يدور مداره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تقتضي ثبوته للمعنون بما هو كذلك، فيحكم بارتفاعه عند ارتفاعه، كما في النجاسة الثابتة للعذرة؛ فإنّ العرف يراها ثابتةً لنفس العذرة، فلا يحتملون بقاءها عند تبدّلها حيواناً، وفي مثل ذلك يدور الحكم مدار تحقّق عنوان موضوعه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ذلك أنّ العرف بحسب ما هو المرتكز في ذهنه من مناسبة الحكم والموضوع يرى أنّ العناوين المأخوذة في موضوعات الأحكام تختلف باختلاف الموارد، ولا بأس أن نذكر مثالين ذكرهما في مواضع متعدّدة من كلامه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إعطاء الزكاة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أُخذ الفقر في لسان الدليل عنواناً أو وصفاً أو شرطاً؛ فإنّ العرف يرى عنوان الفقر مقوّماً للموضوع، فيدور الحكم مداره، وذلك بواسطة مناسبة الحكم والموضوع فإنّها تقضي بأنّ عنوان </w:t>
      </w:r>
      <w:bookmarkStart w:id="480" w:name="pg9159_85150"/>
    </w:p>
    <w:p>
      <w:pPr>
        <w:pStyle w:val="BookText"/>
        <w:rPr/>
      </w:pPr>
      <w:bookmarkEnd w:id="480"/>
      <w:r>
        <w:rPr>
          <w:rFonts w:ascii="Amiri" w:hAnsi="Amiri" w:eastAsia="Amiri" w:cs="Amiri"/>
          <w:color w:val="111111"/>
          <w:sz w:val="28"/>
          <w:sz w:val="28"/>
          <w:szCs w:val="28"/>
          <w:rtl w:val="true"/>
          <w:lang w:bidi="ar-SA"/>
        </w:rPr>
        <w:t>الفقر له دخل في وجوب إعطاء الزكاة، فيرتفع موضوع الحكم عرفاً إذا صار الفقير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بنظر العرف من باب ارتفاع الموضوع وتبدّله إلى موضوع آخر، بحيث لو قام دليل على جواز إعطاء الزكاة لمن زال عنه وصف الفقر كان ذلك بنظر العرف تسرية 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مناسبة الحكم والموضوع تقضي بأنّ عنوان التغيّر حيثية تعليلية من دون أن يكون له دخل في الموضوع عرفاً؛ فإنّ النجاسة بنظر العرف من الأعراض القائمة بذوات الأشياء، فيكون موضوع النجاسة ومعروضها ذات الماء، لا الماء المتغيّر، بل التغيّر إنّما يكون عرفاً علّة لعروض النجاسة على الماء، فيكون الموضوع محفوظاً عرفاً عند زوال التغيّر عن الماء، بحيث لو قام دليل على طهارته كان ذلك بنظر العرف من رفع الحكم عن موضوعه، لا رفع الحكم بارتفاع موضوعه</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3482907_2870459653"/>
      <w:bookmarkStart w:id="482" w:name="_Toc185"/>
      <w:bookmarkEnd w:id="481"/>
      <w:r>
        <w:rPr>
          <w:rtl w:val="true"/>
        </w:rPr>
        <w:t>الأمر الثاني</w:t>
      </w:r>
      <w:bookmarkEnd w:id="48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مناسبة الحكم والموضوع ربّما تختلف باختلاف الموارد، فقد يكون المأخوذ في موضوعات أحكام متعدّدة عنواناً واحداً، لكن العرف يرى دخله في موضوع بعضها، فيحكم بارتفاعه عند ارتفاعه، ولا يرى دخله في موضوع بعضها الآخر، ومثّل لذلك بما ورد في خيار العيب من جواز ردّ المعيب إذا كان قائماً بعينه، وما ورد في التفليس من أنّ الغريم يرجع ماله إذا كان قائماً بعينه، مع أنّ الفقهاء حكموا في باب الخيار أنّ مجرّد تغيّر العين ولو بأدنى تغيّر يوجب المنع عن الردّ، وهذا بخلاف التفليس فإنّهم حكموا فيه بجواز الرجوع ولو مع تغيّرها بتلك التغيّرات، وليس الاختلاف في الأبواب إلّا من جهة اختلاف مناسبات الأحكام مع </w:t>
      </w:r>
      <w:bookmarkStart w:id="483" w:name="pg9159_85151"/>
    </w:p>
    <w:p>
      <w:pPr>
        <w:pStyle w:val="BookText"/>
        <w:rPr/>
      </w:pPr>
      <w:bookmarkEnd w:id="483"/>
      <w:r>
        <w:rPr>
          <w:rFonts w:ascii="IRNazanin" w:hAnsi="IRNazanin" w:eastAsia="IRNazanin"/>
          <w:color w:val="111111"/>
          <w:sz w:val="28"/>
          <w:sz w:val="28"/>
          <w:szCs w:val="28"/>
          <w:rtl w:val="true"/>
          <w:lang w:bidi="fa-IR"/>
        </w:rPr>
        <w:t>موضوعاتها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3482909_2870459653"/>
      <w:bookmarkStart w:id="485" w:name="_Toc186"/>
      <w:bookmarkEnd w:id="484"/>
      <w:r>
        <w:rPr>
          <w:rtl w:val="true"/>
        </w:rPr>
        <w:t>الأمر الثالث</w:t>
      </w:r>
      <w:bookmarkEnd w:id="485"/>
    </w:p>
    <w:p>
      <w:pPr>
        <w:pStyle w:val="Heading6"/>
        <w:numPr>
          <w:ilvl w:val="5"/>
          <w:numId w:val="1"/>
        </w:numPr>
        <w:rPr/>
      </w:pPr>
      <w:bookmarkStart w:id="486" w:name="__RefHeading___Toc3482911_2870459653"/>
      <w:bookmarkStart w:id="487" w:name="_Toc187"/>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أنّ المتّبع في بقاء الموضوع هو ما تقتضيه مناسبات الحكم والموضوع، ولا عبرة بظاهر الدليل بعدما كان المرتكز العرفي على خلاف ما يقتضيه ظاهر الدليل ابتداءً، فإنّه بعد الالتفات إلى المرتكز العرفي وما تقتضيه المناسبة المذكورة لم يبقَ للدليل ظهور على خلاف المرتكز العرفي، فإنّ مفاد الدليل يرجع بالآخرة إلى ما يقتضيه نظر العرف؛ لأنّه يكون قرينة متّصلة صارفة عمّا يكون الدليل ظاهراً فيه ابتداءً، فلو كان الدليل ظاهراًَ بدواً في قيدية العنوان، وكانت مناسبة الحكم والموضوع تقتضي عدمه، فاللازم هو العمل على ما تقتضيه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ولنرجع إلى ما كنّا بصدده من تطبيقات هذه القرينة في كلام المحقّق النائيني</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3482913_2870459653"/>
      <w:bookmarkStart w:id="489" w:name="_Toc188"/>
      <w:bookmarkEnd w:id="488"/>
      <w:r>
        <w:rPr>
          <w:rtl w:val="true"/>
        </w:rPr>
        <w:t>المورد الأوّل</w:t>
      </w:r>
      <w:bookmarkEnd w:id="489"/>
    </w:p>
    <w:p>
      <w:pPr>
        <w:pStyle w:val="BookText"/>
        <w:rPr/>
      </w:pPr>
      <w:r>
        <w:rPr>
          <w:rFonts w:ascii="Amiri" w:hAnsi="Amiri" w:eastAsia="Amiri" w:cs="Amiri"/>
          <w:color w:val="111111"/>
          <w:sz w:val="28"/>
          <w:sz w:val="28"/>
          <w:szCs w:val="28"/>
          <w:rtl w:val="true"/>
          <w:lang w:bidi="ar-SA"/>
        </w:rPr>
        <w:t>في تعميم حكم الشكّ في عدد الركعات في النافلة إلى الشكّ في الأفعال، بتقريب أنّ مناسبة الحكم والموضوع تقتضي عدم الالتفات إلى الشكّ في الأفعال، ولكنّه اعترض على ذلك بأنّ مناسبة الحكم والموضوع وحدها لا تكفي، فإنّها بنفسها ليست دليلاً ما لم توجب انعقاد ظهور الدليل على خلاف ما كان ظاهراً فيه لولا المناسبة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والموضوع إنّما نقول بها فيما إذا كان هناك دليل توجب المناسبة انعقاد ظهوره في مورد المناسبة، وإلّا فهي بنفسها ليست من الأدلّة</w:t>
      </w:r>
      <w:r>
        <w:rPr>
          <w:rFonts w:eastAsia="Amiri" w:cs="Amiri" w:ascii="Amiri" w:hAnsi="Amiri"/>
          <w:color w:val="111111"/>
          <w:sz w:val="28"/>
          <w:szCs w:val="28"/>
          <w:rtl w:val="true"/>
          <w:lang w:bidi="ar-SA"/>
        </w:rPr>
        <w:t xml:space="preserve">. </w:t>
      </w:r>
      <w:bookmarkStart w:id="490" w:name="pg9159_85152"/>
    </w:p>
    <w:p>
      <w:pPr>
        <w:pStyle w:val="BookText"/>
        <w:rPr/>
      </w:pPr>
      <w:bookmarkEnd w:id="490"/>
      <w:r>
        <w:rPr>
          <w:rFonts w:ascii="Amiri" w:hAnsi="Amiri" w:eastAsia="Amiri" w:cs="Amiri"/>
          <w:color w:val="111111"/>
          <w:sz w:val="28"/>
          <w:sz w:val="28"/>
          <w:szCs w:val="28"/>
          <w:rtl w:val="true"/>
          <w:lang w:bidi="ar-SA"/>
        </w:rPr>
        <w:t>وفي المقام بعدما كان دليل نفي السهو مختصّاً بالشكّ في عدد الركعات، فلا دليل في الأفعال حتّى يتشبّث بمناسبة الحكم والموضوع، فالتمسّك بها في المقام يكون أشبه شيءٍ بالقياس</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أنّ الرجوع إلى مناسبة الحكم والموضوع هنا مردّه إلى تشخيص الغرض من التشريع ومعرفة علّة الحكم، ولكن رفضه لهذا التقريب مبنيّ على ردّ القياس مطلقاً، وقد عرفت قريباً أنّ منصوص العلّة وما تستنبط علّته بيقين من القياس الحجّة</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3482915_2870459653"/>
      <w:bookmarkStart w:id="492" w:name="_Toc189"/>
      <w:bookmarkEnd w:id="491"/>
      <w:r>
        <w:rPr>
          <w:rtl w:val="true"/>
        </w:rPr>
        <w:t>المورد الثاني</w:t>
      </w:r>
      <w:bookmarkEnd w:id="492"/>
    </w:p>
    <w:p>
      <w:pPr>
        <w:pStyle w:val="BookText"/>
        <w:rPr/>
      </w:pPr>
      <w:r>
        <w:rPr>
          <w:rFonts w:ascii="Amiri" w:hAnsi="Amiri" w:eastAsia="Amiri" w:cs="Amiri"/>
          <w:color w:val="111111"/>
          <w:sz w:val="28"/>
          <w:sz w:val="28"/>
          <w:szCs w:val="28"/>
          <w:rtl w:val="true"/>
          <w:lang w:bidi="ar-SA"/>
        </w:rPr>
        <w:t>أنّ من أسباب خروج الملك عن كونه طلقاً صيرورة المملوكة أمّ ولد لسيّدها، وهل يختصّ المنع عن التصرّف فيها بخصوص البيع، أو يعمّ مطلق المعاوضة، أو مطلق النقل ولو لم يكن معاوضة كالهبة؟</w:t>
      </w:r>
    </w:p>
    <w:p>
      <w:pPr>
        <w:pStyle w:val="BookText"/>
        <w:rPr/>
      </w:pPr>
      <w:r>
        <w:rPr>
          <w:rFonts w:ascii="Amiri" w:hAnsi="Amiri" w:eastAsia="Amiri" w:cs="Amiri"/>
          <w:color w:val="111111"/>
          <w:sz w:val="28"/>
          <w:sz w:val="28"/>
          <w:szCs w:val="28"/>
          <w:rtl w:val="true"/>
          <w:lang w:bidi="ar-SA"/>
        </w:rPr>
        <w:t>أقوال، والمحقّق النائيني قوّى الأخير،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الأحكام المترتّبة على العقود تارةً يستفاد من نفس أدلّتها أو من مناسبة الحكم والموضوع أنّها مختصّة بالبيع، ولا تجري في غيره كخيار المجلس والحيوان، وأخرى يستفاد أنّها جارية في مطلق المعاوضة بيعاً كانت أو صلحاً أو إجارةً كتلف المبيع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يستفاد أنّها جارية في مطلق النقل والانتقال ولو لم يكن معاوضة، كالهبة ونقل أمّ الولد، فإنّه لا يجوز نقلها عن ملك سيّدها ولو بالهبة، فإنّ من مناسبة الحكم والموضوع يستفاد أنّ الاستيلاد مانع عن التصرّفات الناقلة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 من نفس أدلّتها أو من مناسبة الحكم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bookmarkStart w:id="493" w:name="pg9159_85153"/>
    </w:p>
    <w:p>
      <w:pPr>
        <w:pStyle w:val="BookText"/>
        <w:rPr/>
      </w:pPr>
      <w:bookmarkEnd w:id="493"/>
      <w:r>
        <w:rPr>
          <w:rFonts w:ascii="Amiri" w:hAnsi="Amiri" w:eastAsia="Amiri" w:cs="Amiri"/>
          <w:color w:val="111111"/>
          <w:sz w:val="28"/>
          <w:sz w:val="28"/>
          <w:szCs w:val="28"/>
          <w:rtl w:val="true"/>
          <w:lang w:bidi="ar-SA"/>
        </w:rPr>
        <w:t>الدليل قد يكون دالَّاً بمفرده، وقد يكون دالَّاً بضميمة مناسبة الحكم والموضوع، فلا يرد عليه أنّ مناسبة الحكم والموضوع قرينة وليست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مناسبة الحكم والموضوع في هذا المقام وإن لم يذكره صراحةً أنّ الغرض من تشريع المنع من بيع أمّ الولد هو استبقاؤها في ملك من استولدها حتّى يموت، فتصير من سهم ولدها منه، فتنعتق، وهذا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حرّية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بكلّ تصرّف ناقل لا بخصوص البيع، فلو صالح من استولدها شخصاً فنقلها إليه انتقض هذا الغرض، وهو وصولها الى الحرّية بعد الموت</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3482917_2870459653"/>
      <w:bookmarkStart w:id="495" w:name="_Toc190"/>
      <w:bookmarkEnd w:id="494"/>
      <w:r>
        <w:rPr>
          <w:rtl w:val="true"/>
        </w:rPr>
        <w:t>المورد الثالث</w:t>
      </w:r>
      <w:bookmarkEnd w:id="495"/>
    </w:p>
    <w:p>
      <w:pPr>
        <w:pStyle w:val="BookText"/>
        <w:rPr/>
      </w:pPr>
      <w:r>
        <w:rPr>
          <w:rFonts w:ascii="Amiri" w:hAnsi="Amiri" w:eastAsia="Amiri" w:cs="Amiri"/>
          <w:color w:val="111111"/>
          <w:sz w:val="28"/>
          <w:sz w:val="28"/>
          <w:szCs w:val="28"/>
          <w:rtl w:val="true"/>
          <w:lang w:bidi="ar-SA"/>
        </w:rPr>
        <w:t>في تخصيص خيار الحيوان بالحيوان الذي يقصد منه حياته، مع أنّ ظاهر النصّ والفتوى شموله لكلّ ذي حياة، بدعوى أنّ مقتضى مناسبة الحكم والموضوع اختصاص هذا الخيار بالحيوان المقصود منه حياته لا لحمه، فالصيد المشرف على الموت والسمك والجراد اللذان يقصد منهما اللحم نوعاً وإن قصد نادراً حياتهما خارجة عن هذا العموم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ومناسبة الحكم والموضوع هنا يستفاد منها تضييق موضوع الحكم، وهذا يحتمل فيه دعوى الانصراف من وجه، ويحتمل تنقيح المناط من وجه آخر، لكنّه بتنقيح المناط أشبه</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3482919_2870459653"/>
      <w:bookmarkStart w:id="497" w:name="_Toc191"/>
      <w:bookmarkEnd w:id="496"/>
      <w:r>
        <w:rPr>
          <w:rtl w:val="true"/>
        </w:rPr>
        <w:t>المورد الرابع</w:t>
      </w:r>
      <w:bookmarkEnd w:id="49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خيار الحيوان،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خيار الحيوان لمن انتقل إليه بائعاً كان أو مشترياً أو كليهما، دون من انتقل عنه؛ لعدم الدليل على ثبوته له إلّا صحيح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المتبايعان بالخيار ثلاثة أيّام </w:t>
      </w:r>
    </w:p>
    <w:p>
      <w:pPr>
        <w:pStyle w:val="BookText"/>
        <w:rPr/>
      </w:pPr>
      <w:r>
        <w:rPr>
          <w:rFonts w:ascii="Amiri" w:hAnsi="Amiri" w:eastAsia="Amiri" w:cs="Amiri"/>
          <w:color w:val="111111"/>
          <w:sz w:val="28"/>
          <w:sz w:val="28"/>
          <w:szCs w:val="28"/>
          <w:rtl w:val="true"/>
          <w:lang w:bidi="ar-SA"/>
        </w:rPr>
        <w:t>في الحيوان، وفيما سوى ذلك مِن بيع حتّى يفترقا</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فإنّه بإطلاقه يشمل ما إذا كان الثمن أو المثمن أو كلاهما حيواناً، ولكن يمكن تقييده بصحيحه الآخر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البيّعان بالخيار حتّى يفترقا، وصاحب الحيوان بالخيار ثلاثة أيّام</w:t>
      </w:r>
      <w:r>
        <w:rPr>
          <w:rFonts w:eastAsia="IRNazanin" w:cs="IRNazanin"/>
          <w:color w:val="111111"/>
          <w:sz w:val="28"/>
          <w:szCs w:val="28"/>
          <w:rtl w:val="true"/>
          <w:lang w:bidi="fa-IR"/>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المراد من المتبايعين بعد التقييد بصاحب الحيوان من انتقل إليه الحيوان، فيحمل على مورد يكون الثمنان حيوانين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التقييد بأنّ اتّحاد السياق يقتضي أن يكون ثبوت الخيار في بيع الحيوان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 فيه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واحد، وخيار المجلس أمر قائم بالمتبايعين بالنسبة إلى الثمن والمثمن، فخيار الحيوان لو كان للمنتقل إليه خاصّة، يلزم أن يرتكب شبه استخدام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يراد منه تعلّق الخيار بالنسبة إلى غير الحيوان بالثمن والمثمن، وبالنسبة إلى الحيوان بأحدهما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بأجوبة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الصحيحة الدالّة بإطلاقها على ثبوت الخيار لهما معارضة مع رواية قرب الإسناد الصريحة في عدم ثبوت الخيار للبائع إذا كان المبيع حيواناً، ولا سيّما التعليل الوارد فيها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الخيار لمن اشترى نظرة ثلاثة أيّام</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 xml:space="preserve">فإنّ العلّة وإن كانت حكمة التشريع، وهي لا تقتضي الاطّراد، إلّا أنّه </w:t>
      </w:r>
      <w:bookmarkStart w:id="498" w:name="pg9159_85155"/>
    </w:p>
    <w:p>
      <w:pPr>
        <w:pStyle w:val="BookText"/>
        <w:rPr/>
      </w:pPr>
      <w:bookmarkEnd w:id="498"/>
      <w:r>
        <w:rPr>
          <w:rFonts w:ascii="Amiri" w:hAnsi="Amiri" w:eastAsia="Amiri" w:cs="Amiri"/>
          <w:color w:val="111111"/>
          <w:sz w:val="28"/>
          <w:sz w:val="28"/>
          <w:szCs w:val="28"/>
          <w:rtl w:val="true"/>
          <w:lang w:bidi="ar-SA"/>
        </w:rPr>
        <w:t>بمناسبة الحكم والموضوع يستكشف مناط جعل الخيار، وأنّه للمنتقل إليه دون المنتقل عنه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جعل الخيار في الحيوان هو النظر والاختبار، فإنّ الحيوان قد يكون مريضاً ولكن يعرضه النشاط والصحّة، فقد تشتري حيواناً من السوق وتراه حين المعاملة سليماً، وتذهب به إلى البيت فيسقط، وقد يعطى بعض الحيوانات ما يوجب نشاطه، فيذهب به المشتري إلى البيت فيسقط، وإذا كان هذا هو حال الحيوانات فيعطى من انتقل إليه الحيوان مهلةً، فيجعل له الخيار إلى ثلاثة أيّام، فالمناط من جعل خيار الحيوان يوجب أنّ الخيار قد جعل لمن انتقل إليه الحيوان دون من انتقل عنه، فضلاً عن أن يكون لمن انتقل عنه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مناسبة الحكم والموضوع هنا هو معرفة مناط جعل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مناط الحكم بيقين، واستكشاف علّة جعله، ولكن هذه العلّة المستنبطة لا تجعل من هذا الاستدلال قياساً في الشرع؛ لأنّ القياس ما كانت علّته مستنبطة بظنّ، وهذا الاستنباط مستند إلى قياس مستنبط العلّة بيقين، وهو المعبّر عنه بتنقيح المناط</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3482921_2870459653"/>
      <w:bookmarkStart w:id="500" w:name="_Toc192"/>
      <w:bookmarkEnd w:id="499"/>
      <w:r>
        <w:rPr>
          <w:rtl w:val="true"/>
        </w:rPr>
        <w:t>المورد الخامس</w:t>
      </w:r>
      <w:bookmarkEnd w:id="500"/>
    </w:p>
    <w:p>
      <w:pPr>
        <w:pStyle w:val="BookText"/>
        <w:rPr/>
      </w:pPr>
      <w:r>
        <w:rPr>
          <w:rFonts w:ascii="Amiri" w:hAnsi="Amiri" w:eastAsia="Amiri" w:cs="Amiri"/>
          <w:color w:val="111111"/>
          <w:sz w:val="28"/>
          <w:sz w:val="28"/>
          <w:szCs w:val="28"/>
          <w:rtl w:val="true"/>
          <w:lang w:bidi="ar-SA"/>
        </w:rPr>
        <w:t>تنقيح متن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وردت في هذه الرواية زيادتان في بعض كتب الحديث، وحاول المحقّق النائيني توظيف قرينة مناسبة الحكم والموضوع لمعالجة هذا الأمر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من لا يحضره الفقيه، روى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بزيادة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هذه الزيادة حيث لم تثبت </w:t>
      </w:r>
    </w:p>
    <w:p>
      <w:pPr>
        <w:pStyle w:val="BookText"/>
        <w:rPr/>
      </w:pPr>
      <w:r>
        <w:rPr>
          <w:rFonts w:ascii="Amiri" w:hAnsi="Amiri" w:eastAsia="Amiri" w:cs="Amiri"/>
          <w:color w:val="111111"/>
          <w:sz w:val="28"/>
          <w:sz w:val="28"/>
          <w:szCs w:val="28"/>
          <w:rtl w:val="true"/>
          <w:lang w:bidi="ar-SA"/>
        </w:rPr>
        <w:t>في شيء من مسانيد أصحابنا فلا عبرة بها أصلاً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جاء هذا الحديث بزيادة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إلّا أنّ المحقّق النائيني ردّ هذه الزيادة لوجهين مع ورودها في الكافي، وشدّة اعتماده عليه، حتّى أنّه عدّ المناقشة في أسانيده حرفة العاجز</w:t>
      </w:r>
      <w:r>
        <w:rPr>
          <w:rStyle w:val="FootnoteAnchor"/>
          <w:rtl w:val="true"/>
        </w:rPr>
        <w:footnoteReference w:id="414"/>
      </w:r>
      <w:r>
        <w:rPr>
          <w:rFonts w:ascii="Amiri" w:hAnsi="Amiri" w:eastAsia="Amiri" w:cs="Amiri"/>
          <w:color w:val="111111"/>
          <w:sz w:val="28"/>
          <w:sz w:val="28"/>
          <w:szCs w:val="28"/>
          <w:rtl w:val="true"/>
          <w:lang w:bidi="ar-SA"/>
        </w:rPr>
        <w:t xml:space="preserve">، أي العاجز عن فقه الرواية، وقال في بيان ذلك أنّ الرواية المشتملة عليها وإن كانت من طرقنا، ويكفي في ثبوتها وجودها في الكافي، </w:t>
      </w:r>
      <w:bookmarkStart w:id="501" w:name="pg9159_85157"/>
    </w:p>
    <w:p>
      <w:pPr>
        <w:pStyle w:val="BookText"/>
        <w:rPr/>
      </w:pPr>
      <w:bookmarkEnd w:id="501"/>
      <w:r>
        <w:rPr>
          <w:rFonts w:ascii="Amiri" w:hAnsi="Amiri" w:eastAsia="Amiri" w:cs="Amiri"/>
          <w:color w:val="111111"/>
          <w:sz w:val="28"/>
          <w:sz w:val="28"/>
          <w:szCs w:val="28"/>
          <w:rtl w:val="true"/>
          <w:lang w:bidi="ar-SA"/>
        </w:rPr>
        <w:t>إلّا أنّ استفاضة هذا الحديث بدون هذه الزيادة من طرق الفريقين توجب وهناً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شأن لنا به؛ لعدم دخله فيما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لردّ هذه الزيادة أنّه يحتمل أن يكون الراوي الواحد زادها من جهة المناسبة بين الحكم والموضوع، لا خيانةً، وأنّ المؤمن هو الذي تشمله العناية الإلهية، ويستحقّ أن يُنفَى عنه الضرر امتناناً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فمناسبة الحكم والموضوع هنا تدخّلت في معرفة الحكمة من 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الامتنان، والامتنان لا يناسب غير المؤمن، فدور مناسبة الحكم والموضوع هنا بعد تشخيص غاية التشريع وحكمته تنقيح متن الخبر، وأنّ هذه الزيادة من الراوي لهذه المناسبة</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482923_2870459653"/>
      <w:bookmarkStart w:id="503" w:name="_Toc193"/>
      <w:bookmarkEnd w:id="502"/>
      <w:r>
        <w:rPr>
          <w:rtl w:val="true"/>
        </w:rPr>
        <w:t>المورد السادس</w:t>
      </w:r>
      <w:bookmarkEnd w:id="503"/>
    </w:p>
    <w:p>
      <w:pPr>
        <w:pStyle w:val="BookText"/>
        <w:rPr/>
      </w:pPr>
      <w:r>
        <w:rPr>
          <w:rFonts w:ascii="Amiri" w:hAnsi="Amiri" w:eastAsia="Amiri" w:cs="Amiri"/>
          <w:color w:val="111111"/>
          <w:sz w:val="28"/>
          <w:sz w:val="28"/>
          <w:szCs w:val="28"/>
          <w:rtl w:val="true"/>
          <w:lang w:bidi="ar-SA"/>
        </w:rPr>
        <w:t xml:space="preserve">ما بيّنه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كلامه عن الصلاة على الراحلة من أنّ الوصف العنواني الذي يؤخذ في موضوع دليل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والموضوع يكون المتفاهم منه عرفاً أنّ للوصف العنواني دخلاً في موضوع الحكم حدوثاً وبقاءً،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الزكاة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العرف يرى بمناسبة الحكم والموضوع أنّ لوصف الفقر دخلاً في الحكم بإعطاء الزكاة، فلو زال الفقر يكون من باب زوال الموضوع،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 المجتهد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 ممّا يكون للوصف في نظر العرف دخل في الحكم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لا يرى العرف للوصف العنواني دخلاً في الموضوع بحسب مرتكزاته وما يراه من مناسبة الحكم والموضوع، بل يرى الوصف معرّفاً ومن قبيل العلّة </w:t>
      </w:r>
    </w:p>
    <w:p>
      <w:pPr>
        <w:pStyle w:val="BookText"/>
        <w:rPr/>
      </w:pPr>
      <w:r>
        <w:rPr>
          <w:rFonts w:ascii="Amiri" w:hAnsi="Amiri" w:eastAsia="Amiri" w:cs="Amiri"/>
          <w:color w:val="111111"/>
          <w:sz w:val="28"/>
          <w:sz w:val="28"/>
          <w:szCs w:val="28"/>
          <w:rtl w:val="true"/>
          <w:lang w:bidi="ar-SA"/>
        </w:rPr>
        <w:t>للحكم لا أنّه جزء موضوع 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العرف يفهم أنّ معروض النجاسة إنّما هو جسم الماء لا وصف التغيّر، وإنّما أخذ التغيّر علّة لعروض هذا الحكم على نفس الماء</w:t>
      </w:r>
      <w:r>
        <w:rPr>
          <w:rStyle w:val="FootnoteAnchor"/>
          <w:rtl w:val="true"/>
        </w:rPr>
        <w:footnoteReference w:id="416"/>
      </w:r>
      <w:r>
        <w:rPr>
          <w:rFonts w:ascii="Amiri" w:hAnsi="Amiri" w:eastAsia="Amiri" w:cs="Amiri"/>
          <w:color w:val="111111"/>
          <w:sz w:val="28"/>
          <w:sz w:val="28"/>
          <w:szCs w:val="28"/>
          <w:rtl w:val="true"/>
          <w:lang w:bidi="ar-SA"/>
        </w:rPr>
        <w:t>، ومن هنا يرى النجاسة باقية ببقاء الماء وإن زال التغيّر، بحيث لو فرض حكم الشارع بالطهارة عند زواله يرى من باب ارتفاع الحكم عن موضوعه مع بقائه، لا ارتفاعه بارتفاعه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ومناسبة الحكم والموضوع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الفقير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تنقّح لنا حكمة التشريع، ومناط جعل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المستنبطة بيقين، فإنّ الغاية من إعطاء الفقير الزكاة هي الإعانة، فإذا صار غنياً فلا معنى لإعانته ومساعدته لانتفاء الموضوع، فالحكم يدور مدار تحقّق وصف الفقر حدوثاً وبقاءً، وهذا أمرٌ يفهمه العرف، وكذلك يفهم العرف بضميمة مناسبة الحكم والموضوع أنّ موضوع جواز التقليد هو عنوان الاجتهاد حدوثاً وبقاءً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تغيّر الماء بالنجاسة فإنّ مناسبة الحكم والموضوع تنقّح لنا أنّ عنوان التغيّر حيثيّة تعليليّة في الحكم لا دخل لها في الموضوع عرفاً؛ فإنّ النجاسة بنظر العرف من الأعراض القائمة بذوات الأشياء، فيكون موضوع النجاسة هو ذات الماء، ويكون الموضوع محفوظاً عرفاً عند زوال التغيّر عن الماء، بحيث لو قام دليل على طهارته </w:t>
      </w:r>
      <w:bookmarkStart w:id="504" w:name="pg9159_85159"/>
    </w:p>
    <w:p>
      <w:pPr>
        <w:pStyle w:val="BookText"/>
        <w:rPr/>
      </w:pPr>
      <w:bookmarkEnd w:id="504"/>
      <w:r>
        <w:rPr>
          <w:rFonts w:ascii="Amiri" w:hAnsi="Amiri" w:eastAsia="Amiri" w:cs="Amiri"/>
          <w:color w:val="111111"/>
          <w:sz w:val="28"/>
          <w:sz w:val="28"/>
          <w:szCs w:val="28"/>
          <w:rtl w:val="true"/>
          <w:lang w:bidi="ar-SA"/>
        </w:rPr>
        <w:t>كان ذلك بنظر العرف من ارتفاع الحكم مع بقاء موضوعه، لا رفع الحكم بارتفاع موضوعه، وهذا منبّه وجداني</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482925_2870459653"/>
      <w:bookmarkStart w:id="506" w:name="_Toc194"/>
      <w:bookmarkEnd w:id="505"/>
      <w:r>
        <w:rPr>
          <w:rtl w:val="true"/>
        </w:rPr>
        <w:t>المورد السابع</w:t>
      </w:r>
      <w:bookmarkEnd w:id="506"/>
    </w:p>
    <w:p>
      <w:pPr>
        <w:pStyle w:val="BookText"/>
        <w:rPr/>
      </w:pPr>
      <w:r>
        <w:rPr>
          <w:rFonts w:ascii="Amiri" w:hAnsi="Amiri" w:eastAsia="Amiri" w:cs="Amiri"/>
          <w:color w:val="111111"/>
          <w:sz w:val="28"/>
          <w:sz w:val="28"/>
          <w:szCs w:val="28"/>
          <w:rtl w:val="true"/>
          <w:lang w:bidi="ar-SA"/>
        </w:rPr>
        <w:t>ما ذكره في مسألة اشتراط الستر في جميع أجزاء الصلاة وأكوانها حتّى السكنات المتخلّلة، فإنّ الظاهر من اعتبار الستر في الصلاة بحسب استظهاره هو اعتباره في جميع الصلاة حتّى في الهيئة الاتّصالية، هذا مع أنّ مناسبة الحكم والموضوع تقتضي ذلك، حيث إنّه لا يناسب الوقوف بين يدي الجبّار مع كونه مكشوف العورة، ولو في آنٍ من الآنات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كلامه أنّ مناسبة الحكم والموضوع هنا دليل وليست قرينة، فلا يوجد دليل تصرّفت هذه المناسبة في ظاهره، حتّى نحكم بأنّها قرينةً، فلعلّه ذكر هذا الوجه من غير ملاحظة هذه الجهة مع أنّها تكرّرت في كلماته فقهاً وأصولاً، ولعلّه يفهم ممّا دلّ على اعتبار الستر في الصلاة إرادةَ الستر في جميع أجزاء الصلاة وأكوانها المتخلّلة من خلال هذه المناسبة فتكون قرينة، ولكن عبارته لا تعطي هذا المعنى</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482927_2870459653"/>
      <w:bookmarkStart w:id="508" w:name="_Toc195"/>
      <w:bookmarkEnd w:id="507"/>
      <w:r>
        <w:rPr>
          <w:rtl w:val="true"/>
        </w:rPr>
        <w:t>المورد الثامن</w:t>
      </w:r>
      <w:bookmarkEnd w:id="508"/>
    </w:p>
    <w:p>
      <w:pPr>
        <w:pStyle w:val="BookText"/>
        <w:rPr/>
      </w:pPr>
      <w:r>
        <w:rPr>
          <w:rFonts w:ascii="Amiri" w:hAnsi="Amiri" w:eastAsia="Amiri" w:cs="Amiri"/>
          <w:color w:val="111111"/>
          <w:sz w:val="28"/>
          <w:sz w:val="28"/>
          <w:szCs w:val="28"/>
          <w:rtl w:val="true"/>
          <w:lang w:bidi="ar-SA"/>
        </w:rPr>
        <w:t>ما ذكره في وجه عدم بطلان النافلة بالشكّ من أنّه يمكن أن يكون ذلك لأجل مناسبة الحكم والموضوع، والتوسعة في النافلة بما لا يوسّع في الفريضة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9" w:name="__RefHeading___Toc3482929_2870459653"/>
      <w:bookmarkStart w:id="510" w:name="_Toc196"/>
      <w:bookmarkEnd w:id="509"/>
      <w:r>
        <w:rPr>
          <w:rtl w:val="true"/>
        </w:rPr>
        <w:t>المورد التاسع</w:t>
      </w:r>
      <w:bookmarkEnd w:id="51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بعض فروع صلاة الجماعة، وقال أنّه يظهر من كلام السيّد اليزدي في العروة</w:t>
      </w:r>
      <w:r>
        <w:rPr>
          <w:rStyle w:val="FootnoteAnchor"/>
          <w:rtl w:val="true"/>
        </w:rPr>
        <w:footnoteReference w:id="420"/>
      </w:r>
      <w:r>
        <w:rPr>
          <w:rFonts w:ascii="Amiri" w:hAnsi="Amiri" w:eastAsia="Amiri" w:cs="Amiri"/>
          <w:color w:val="111111"/>
          <w:sz w:val="28"/>
          <w:sz w:val="28"/>
          <w:szCs w:val="28"/>
          <w:rtl w:val="true"/>
          <w:lang w:bidi="ar-SA"/>
        </w:rPr>
        <w:t xml:space="preserve">من أنّ إدراك الركوع ليس شرطاً في إدراك الركعة، بل </w:t>
      </w:r>
      <w:bookmarkStart w:id="511" w:name="pg9159_85160"/>
    </w:p>
    <w:p>
      <w:pPr>
        <w:pStyle w:val="BookText"/>
        <w:rPr/>
      </w:pPr>
      <w:bookmarkEnd w:id="511"/>
      <w:r>
        <w:rPr>
          <w:rFonts w:ascii="Amiri" w:hAnsi="Amiri" w:eastAsia="Amiri" w:cs="Amiri"/>
          <w:color w:val="111111"/>
          <w:sz w:val="28"/>
          <w:sz w:val="28"/>
          <w:szCs w:val="28"/>
          <w:rtl w:val="true"/>
          <w:lang w:bidi="ar-SA"/>
        </w:rPr>
        <w:t>آخر ما يدرك به الركعة هو الركوع، ويكفي في إدراك الركعة إدراكه قبل الركوع ولو لم يدرك الركوع، ولكن خصّ ذلك بالركعة الأولى، ولم يعتبر في سائر الركعات إدراك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الاعتراض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ما تقدّم من الأخبار على اعتبار إدراك الركوع في إدراك الركعة يقتضي اعتبار ذلك في كلّ ركعة؛ إذ الحكم في إدراك جنس الركعة قد علّق على إدراك الركوع وإن كان مورد تلك الأخبار هو الركعة الأولى في اتّباع الصلاة، إلاّ أنّ الخصوصية الموردية ممّا لا دخل لها، مضافاً إلى أنّ مناسبة الحكم والموضوع تقتضي ذلك أيضاً؛ إذ مقتضى المناسبة الحكمية هو اعتبار إدراك المأموم لشيءٍ من ركعة الإمام، وعلى كلّ حال يكفي عدم قيام الدليل على كفاية إدراك الركعة الأولى في اعتبار ذلك في كلّ ركعة، فتأمّل جيّداً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أنّ إلغاء الخصوصية يختلف عن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كلامه يُوحي بأنّ مناسبة الحكم والموضوع دليلٌ، وهو خلاف ما صرّح به</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3482931_2870459653"/>
      <w:bookmarkStart w:id="513" w:name="_Toc197"/>
      <w:bookmarkEnd w:id="512"/>
      <w:r>
        <w:rPr>
          <w:rtl w:val="true"/>
        </w:rPr>
        <w:t>الثالث</w:t>
      </w:r>
      <w:r>
        <w:rPr>
          <w:rtl w:val="true"/>
        </w:rPr>
        <w:t xml:space="preserve">: </w:t>
      </w:r>
      <w:r>
        <w:rPr>
          <w:rtl w:val="true"/>
        </w:rPr>
        <w:t xml:space="preserve">موارد اعتماد المحقّق الحائري </w:t>
      </w:r>
      <w:r>
        <w:rPr>
          <w:rtl w:val="true"/>
        </w:rPr>
        <w:t>(</w:t>
      </w:r>
      <w:r>
        <w:rPr>
          <w:rtl w:val="true"/>
        </w:rPr>
        <w:t>قدس سره</w:t>
      </w:r>
      <w:r>
        <w:rPr>
          <w:rtl w:val="true"/>
        </w:rPr>
        <w:t>) (</w:t>
      </w:r>
      <w:r>
        <w:rPr>
          <w:rtl w:val="true"/>
        </w:rPr>
        <w:t xml:space="preserve">ت </w:t>
      </w:r>
      <w:r>
        <w:rPr/>
        <w:t>1355</w:t>
      </w:r>
      <w:r>
        <w:rPr>
          <w:rtl w:val="true"/>
        </w:rPr>
        <w:t>ﻫ</w:t>
      </w:r>
      <w:r>
        <w:rPr>
          <w:rtl w:val="true"/>
        </w:rPr>
        <w:t>)</w:t>
      </w:r>
      <w:bookmarkEnd w:id="513"/>
    </w:p>
    <w:p>
      <w:pPr>
        <w:pStyle w:val="Heading5"/>
        <w:numPr>
          <w:ilvl w:val="4"/>
          <w:numId w:val="1"/>
        </w:numPr>
        <w:rPr/>
      </w:pPr>
      <w:bookmarkStart w:id="514" w:name="__RefHeading___Toc3482933_2870459653"/>
      <w:bookmarkStart w:id="515" w:name="_Toc198"/>
      <w:bookmarkEnd w:id="514"/>
      <w:r>
        <w:rPr>
          <w:rtl w:val="true"/>
        </w:rPr>
        <w:t>المورد الأول</w:t>
      </w:r>
      <w:bookmarkEnd w:id="5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في صلاة المسافر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السفر في معصية الله أو لغاية محرّمة من جهة عدم صلاحية صدوره عن العباد أوجب الله فيه إتمام الصلاة والصوم، ولم يستوجب المكلّف السائر بهذا السير الموجب لسخط الشارع الإرفاق الملحوظ لسائر المسافرين في السفر المباح، ويدلّ على ذلك مضافاً إلى مناسبة الحكم </w:t>
      </w:r>
      <w:bookmarkStart w:id="516" w:name="pg9159_85161"/>
    </w:p>
    <w:p>
      <w:pPr>
        <w:pStyle w:val="BookText"/>
        <w:rPr/>
      </w:pPr>
      <w:bookmarkEnd w:id="516"/>
      <w:r>
        <w:rPr>
          <w:rFonts w:ascii="Amiri" w:hAnsi="Amiri" w:eastAsia="Amiri" w:cs="Amiri"/>
          <w:color w:val="111111"/>
          <w:sz w:val="28"/>
          <w:sz w:val="28"/>
          <w:szCs w:val="28"/>
          <w:rtl w:val="true"/>
          <w:lang w:bidi="ar-SA"/>
        </w:rPr>
        <w:t>والموضوع في المقام تعليل لزوم التمام في بعض الأخبار بأنّه 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كلامه أنّه يعدّ مناسبة الحكم والموضوع دليلاً مستقلَّاً وليس قرينة، كما أنّه اعتمد على مناسبة الحكم والموضوع في العبادات المحضة</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482935_2870459653"/>
      <w:bookmarkStart w:id="518" w:name="_Toc199"/>
      <w:bookmarkEnd w:id="517"/>
      <w:r>
        <w:rPr>
          <w:rtl w:val="true"/>
        </w:rPr>
        <w:t>المورد الثاني</w:t>
      </w:r>
      <w:bookmarkEnd w:id="518"/>
    </w:p>
    <w:p>
      <w:pPr>
        <w:pStyle w:val="BookText"/>
        <w:rPr/>
      </w:pPr>
      <w:r>
        <w:rPr>
          <w:rFonts w:ascii="Amiri" w:hAnsi="Amiri" w:eastAsia="Amiri" w:cs="Amiri"/>
          <w:color w:val="111111"/>
          <w:sz w:val="28"/>
          <w:sz w:val="28"/>
          <w:szCs w:val="28"/>
          <w:rtl w:val="true"/>
          <w:lang w:bidi="ar-SA"/>
        </w:rPr>
        <w:t>ما قاله في صلاة المسافر أيضاً من أنّ المتردّد ثلاثين يوماً يتمّ،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أيضاً مقتضى المناسبة بين الحكم والموضوع بحسب الارتكاز العرفي حيث إنّ المركوز في أذهانهم أنّ المسافر إذا أقام مدّةً في بلدةٍ يسلب عنه اسم المسافر، فحدّد الشارع تلك المدّة بمضي ثلاثين يوماً، وهذه المناسبة الارتكازية أيضاً تقتضي كون المناط في الإتمام مضي ثلاثين يوماً دون الشهر وإن وقع في أكثر الروايات التعبير به؛ لأنّ ظاهر التحديد أنّ القاطع طول الزمان وكثرة الأيّام من دون خصوصيته في الشهر وما بين الهلالين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موضوع الحكم بوجوب القصر هو السفر، ومن تردّد ثلاثين يوماً في بلدة سلب عنه اسم المسافر، فعدم وجوب القصر لعدم تحقّق الموضوع، وهو عنوان المسافر، فأين هذا من مناسبة الحكم والموضوع المعدود قرينةً ارتكازية، فإنّه يكفي في بيان مقصوده أن يقول إنّ المتردّد ثلاثين يوماً في بلدةٍ لا يصدق عليه عنوان المسافر، فلا يجب عليه القصر، فلا نحتاج إلى إقحام شيء غير بيّن ولا مبيّن، مع أنّ الاستدلال يستقيم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ذكر أنّ العرف يرى أنّ المتردّد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w:t>
      </w:r>
      <w:bookmarkStart w:id="519" w:name="pg9159_85162"/>
    </w:p>
    <w:p>
      <w:pPr>
        <w:pStyle w:val="BookText"/>
        <w:rPr/>
      </w:pPr>
      <w:bookmarkEnd w:id="519"/>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عنوان المسافر، ثمّ تدخّل الشرع في تحديد هذه المدّة التي يرتفع معها عنوان المسافر بثلاثين يوماً، كما تدخّل في تحديد المسافة في السفر بخمسة فراسخ أو مسير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 في أكثر الروايات عنوان الشهر، إلّا أنّ المراد به ثلاثون يوماً، ولا عبرة بما بين الهلالين؛ وذلك لأنّ الشهر في تلك النصوص بيان للمدّة الطويلة، وبمناسبة الحكم والموضوع نفهم أنّ عنوان المسافر يزول بالعدد الكثير، لا بوقوع هذه المدّة ما بين هلالين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الواضح أنّ ما بين الهلالين مدّة، وطول المدّة وقصرها أمرٌ نسبيّ يختلف في نظر العرف من مورد لآخر بلحاظ أغراض الناس وأثر هذه المدّة فيها، فإذا كان العرف يرى أنّ الثلاثين يوماً مدّة طويلة فما بين الهلالين كذلك، فالمدّة هي هي، غايته أنّ الثلاثين يوماً مدّة منضبطة بخلاف الشهر، وهذا الاختلاف لا يؤثّر في الحكم الشرعي، ويدلّ على ذلك وجوب الصيام فيما بين هلالين،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غير منضبط، فلا يصحّ تعلّق التكليف الشرعي به؛ لأنّ التكاليف الشرعية يجب أن تكون موضوعاتها منضبطة؛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من عدم الانضباط مع وجود علامات مبيّنة للموضوع يرفع المحذور في تعلّق التكليف به، فما عدّه مناسبة بين الحكم والموضوع غير واضح</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3482937_2870459653"/>
      <w:bookmarkStart w:id="521" w:name="_Toc200"/>
      <w:bookmarkEnd w:id="520"/>
      <w:r>
        <w:rPr>
          <w:rtl w:val="true"/>
        </w:rPr>
        <w:t>المورد الثالث</w:t>
      </w:r>
      <w:bookmarkEnd w:id="52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اشتراط التوالي بين الأيّام؛ للمناسبة بين الحكم والموضوع، بل وظهور نفس القضية في اعتباره كما لا يخفى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522" w:name="pg9159_85163"/>
    </w:p>
    <w:p>
      <w:pPr>
        <w:pStyle w:val="BookText"/>
        <w:rPr/>
      </w:pPr>
      <w:bookmarkEnd w:id="522"/>
      <w:r>
        <w:rPr>
          <w:rFonts w:ascii="Amiri" w:hAnsi="Amiri" w:eastAsia="Amiri" w:cs="Amiri"/>
          <w:color w:val="111111"/>
          <w:sz w:val="28"/>
          <w:sz w:val="28"/>
          <w:szCs w:val="28"/>
          <w:rtl w:val="true"/>
          <w:lang w:bidi="ar-SA"/>
        </w:rPr>
        <w:t>والذي يظهر من كلامه أنّ مناسبة الحكم والموضوع هنا دليلٌ لإثبات الحكم، وإن أمكن تأويل كلامه، وذلك بأن نحمل كلامه على أنّ الروايات المبيّنة لحكم المتردّد ثلاثين يوماً ظاهرة بمناسبة الحكم والموضوع في إرادة ثلاثين يوماً متوالية، فتكون قرينة لا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التأويل محلّه إذا جزمنا بأنّ مناسبة الحكم والموضوع عنده قرينة، فيسهل علينا التأويل، ولكن المشكل أنّ ظاهر عبارته الاستدلال بمناسبة الحكم والموضوع، وهو لم ينقّح حقيقة هذه المناسبة حتّى نستفيد من كلامه أنّها قرينة، فلا قرينة تعيننا على تأويل كلامه، وحمله على خلاف ظاهره</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3482939_2870459653"/>
      <w:bookmarkStart w:id="524" w:name="_Toc201"/>
      <w:bookmarkEnd w:id="523"/>
      <w:r>
        <w:rPr>
          <w:rtl w:val="true"/>
        </w:rPr>
        <w:t>الرابع</w:t>
      </w:r>
      <w:r>
        <w:rPr>
          <w:rtl w:val="true"/>
        </w:rPr>
        <w:t xml:space="preserve">: </w:t>
      </w:r>
      <w:r>
        <w:rPr>
          <w:rtl w:val="true"/>
        </w:rPr>
        <w:t xml:space="preserve">موارد اعتماد المحقّق الأصفهاني </w:t>
      </w:r>
      <w:r>
        <w:rPr>
          <w:rtl w:val="true"/>
        </w:rPr>
        <w:t>(</w:t>
      </w:r>
      <w:r>
        <w:rPr>
          <w:rtl w:val="true"/>
        </w:rPr>
        <w:t>قدس سره</w:t>
      </w:r>
      <w:r>
        <w:rPr>
          <w:rtl w:val="true"/>
        </w:rPr>
        <w:t>) (</w:t>
      </w:r>
      <w:r>
        <w:rPr>
          <w:rtl w:val="true"/>
        </w:rPr>
        <w:t xml:space="preserve">ت </w:t>
      </w:r>
      <w:r>
        <w:rPr/>
        <w:t>1361</w:t>
      </w:r>
      <w:r>
        <w:rPr>
          <w:rtl w:val="true"/>
        </w:rPr>
        <w:t>)</w:t>
      </w:r>
      <w:bookmarkEnd w:id="524"/>
    </w:p>
    <w:p>
      <w:pPr>
        <w:pStyle w:val="Heading5"/>
        <w:numPr>
          <w:ilvl w:val="4"/>
          <w:numId w:val="1"/>
        </w:numPr>
        <w:rPr/>
      </w:pPr>
      <w:bookmarkStart w:id="525" w:name="__RefHeading___Toc3482941_2870459653"/>
      <w:bookmarkStart w:id="526" w:name="_Toc202"/>
      <w:bookmarkEnd w:id="525"/>
      <w:r>
        <w:rPr>
          <w:rtl w:val="true"/>
        </w:rPr>
        <w:t>المورد الأوّل</w:t>
      </w:r>
      <w:bookmarkEnd w:id="526"/>
    </w:p>
    <w:p>
      <w:pPr>
        <w:pStyle w:val="BookText"/>
        <w:rPr/>
      </w:pPr>
      <w:r>
        <w:rPr>
          <w:rFonts w:ascii="Amiri" w:hAnsi="Amiri" w:eastAsia="Amiri" w:cs="Amiri"/>
          <w:color w:val="111111"/>
          <w:sz w:val="28"/>
          <w:sz w:val="28"/>
          <w:szCs w:val="28"/>
          <w:rtl w:val="true"/>
          <w:lang w:bidi="ar-SA"/>
        </w:rPr>
        <w:t>في تقرير دلالة آية النبأ على حجّية خبر الواحد،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ذلك مبنيٌّ على تسليم ظهور الآية بمناسبة الحكم والموضوع في علّية الفسق للحكم، لا للتنبيه على فسق المخبر، وهو الوليد في خصوص المورد</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فمناسبة الحكم والموضوع هنا جعلت الحكم يدور مدار فسق المخبر، مع قطع النظر عن كون المفهوم من مفهوم الوصف أو اللقب أو الشرط، فالآية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مطل الغني ظلم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من أثبت حجّية مفهوم الوصف مطلقاً </w:t>
      </w:r>
      <w:bookmarkStart w:id="527" w:name="pg9159_85164"/>
    </w:p>
    <w:p>
      <w:pPr>
        <w:pStyle w:val="BookText"/>
        <w:rPr/>
      </w:pPr>
      <w:bookmarkEnd w:id="527"/>
      <w:r>
        <w:rPr>
          <w:rFonts w:ascii="Amiri" w:hAnsi="Amiri" w:eastAsia="Amiri" w:cs="Amiri"/>
          <w:color w:val="111111"/>
          <w:sz w:val="28"/>
          <w:sz w:val="28"/>
          <w:szCs w:val="28"/>
          <w:rtl w:val="true"/>
          <w:lang w:bidi="ar-SA"/>
        </w:rPr>
        <w:t>بالجمل التي ثبتت دلالتها على المفهوم كهذا الحديث، بأنّه لا مانع من دلالة التقييد بالوصف على المفهوم في بعض الموارد لوجود قرينة، وفي خصوص المثال نجد القرينة على إناطة الحكم بالغنى من جهة مناسبة الحكم والموضوع، فيفهم أنّ السبب في الحكم كون المدين غنياً، فيكون مطله ظلماً، بخلاف المدين الفقير؛ لعجزه عن أداء الدين، فلا يكون مطله ظلماً</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مفهوم اللقب فإنّه لا دلالة فيه على المفهوم، لكنّهم ذكروا أنّ بعض الجمل اللقبية ظاهرة في الانتفاء عند الانتفاء، لمناسبة الحكم والموضوع</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3482943_2870459653"/>
      <w:bookmarkStart w:id="529" w:name="_Toc203"/>
      <w:bookmarkEnd w:id="528"/>
      <w:r>
        <w:rPr>
          <w:rtl w:val="true"/>
        </w:rPr>
        <w:t>المورد الثاني</w:t>
      </w:r>
      <w:bookmarkEnd w:id="529"/>
    </w:p>
    <w:p>
      <w:pPr>
        <w:pStyle w:val="BookText"/>
        <w:rPr/>
      </w:pPr>
      <w:r>
        <w:rPr>
          <w:rFonts w:ascii="Amiri" w:hAnsi="Amiri" w:eastAsia="Amiri" w:cs="Amiri"/>
          <w:color w:val="111111"/>
          <w:sz w:val="28"/>
          <w:sz w:val="28"/>
          <w:szCs w:val="28"/>
          <w:rtl w:val="true"/>
          <w:lang w:bidi="ar-SA"/>
        </w:rPr>
        <w:t>في أنّ الأمر بالوفاء العقدي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قد يدّعى أنّه إرشاد إلى اللزوم الوضعي، فهو معقول في حدّ ذاته، ويمكن تقريبه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والنواهي وإن كانت ظاهرة في التكليف والمولوية، لكنّها في باب المعاملات ظاهرة في الإرشاد، كما يقال بظهورها في باب الأجزاء والشرائط في التكليفات في الإرشاد إلى الجزئية والشرطية، فيكون للأوامر والنواهي ظهوراً ثانوياً في الإرشاد في بابي المعاملات والأجزاء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التقريب بأنّ المسلّم من ذلك لو تعلّق الأمر والنهي بنفس المعاملات،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ولا تشتروا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مثل الأمر بالوفاء والنهي عن النقض، فإنّه فيها على ظاهره الأوّلي في المولوية كما تقتضيه مناسبة الحكم والموضوع، ويشهد به مدح المؤمنين بالوفاء، وذمّ المنافقين على النقض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تقريب المولوية في مثل الأمر بالوفاء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مناسبة الحكم </w:t>
      </w:r>
    </w:p>
    <w:p>
      <w:pPr>
        <w:pStyle w:val="BookText"/>
        <w:rPr/>
      </w:pPr>
      <w:r>
        <w:rPr>
          <w:rFonts w:ascii="Amiri" w:hAnsi="Amiri" w:eastAsia="Amiri" w:cs="Amiri"/>
          <w:color w:val="111111"/>
          <w:sz w:val="28"/>
          <w:sz w:val="28"/>
          <w:szCs w:val="28"/>
          <w:rtl w:val="true"/>
          <w:lang w:bidi="ar-SA"/>
        </w:rPr>
        <w:t>والموضوع فيه تقتضي مولوية الأمر والنهي؛ فإنّ الآيات الواردة في باب الوفاء والنقض والنكث، وتوصيف المؤمنين بالوفاء بالعهد والميثاق، وتوصيف غيرهم بأنّه لا عهد لهم، ولا يمين لهم، كلّها شاهدة على أنّ مساقها مساق التكليف لا الإرشاد، فالأظهر كون الأمر بالوفاء والنهي عن النقض مولوياً، وحينئذٍ يشكل استفادة اللزوم الوضعي منه، بل يدلّ الأمر والنهي المولويان على خلافه، للزوم تعلّقهما بالمقدور في وعاء الامتثال، فيدلّان على أنّ العقد قابل للحلّ</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المورد من الموارد التي لم يكن دور مناسبة الحكم والموضوع فيها التعميم أو التخصيص، بل دورها تبديل الظهور الثانوي للأوامر والنواهي الواردين في المعاملات في الإرشاد، وردّه إلى الظهور الأوّلي في الأوامر والنواهي، فإنّهما بالظهور الأوّلي ظاهران في المولوية، فالأمر والنهي وإن وردا في معاملة، إلّا أنّهما ظاهران في المولوية لمناسبة الحكم والموضوع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دلالة مناسبة الحكم والموضوع في كلامه على المولوية، هو أنّ الوفاء فعل من أفعال العباد الاختيارية، والذي يناسبه من الأحكام هو الوجوب أو الحرمة، كما أنّ النقض من أفعالهم الاختيارية، ويناسبه البعث أو الزجر، بخلاف الاعتبارات، فإنّ الذي يناسبها هو الإرشاد إلى الحكم الوضعي، فلو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بيعوا أو لا تبيعوا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فحيث إنّنا نجزم بأنّ متعلّق الأمر أو النهي ليس هو التسبّب إلى البيع، بل هو الاعتبار المعاملي، وأعني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الجعلي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يناسبه الإرشاد إلى الحكم الوضعي، وأنّ هذا الاعتبار مُمضى أو غير ممضى</w:t>
      </w:r>
      <w:r>
        <w:rPr>
          <w:rFonts w:eastAsia="Amiri" w:cs="Amiri" w:ascii="Amiri" w:hAnsi="Amiri"/>
          <w:color w:val="111111"/>
          <w:sz w:val="28"/>
          <w:szCs w:val="28"/>
          <w:rtl w:val="true"/>
          <w:lang w:bidi="ar-SA"/>
        </w:rPr>
        <w:t xml:space="preserve">. </w:t>
      </w:r>
      <w:bookmarkStart w:id="530" w:name="pg9159_85166"/>
    </w:p>
    <w:p>
      <w:pPr>
        <w:pStyle w:val="Heading5"/>
        <w:numPr>
          <w:ilvl w:val="4"/>
          <w:numId w:val="1"/>
        </w:numPr>
        <w:rPr/>
      </w:pPr>
      <w:bookmarkStart w:id="531" w:name="__RefHeading___Toc3482945_2870459653"/>
      <w:bookmarkStart w:id="532" w:name="_Toc204"/>
      <w:bookmarkEnd w:id="530"/>
      <w:bookmarkEnd w:id="531"/>
      <w:r>
        <w:rPr>
          <w:rtl w:val="true"/>
        </w:rPr>
        <w:t>المورد الثالث</w:t>
      </w:r>
      <w:bookmarkEnd w:id="532"/>
    </w:p>
    <w:p>
      <w:pPr>
        <w:pStyle w:val="BookText"/>
        <w:rPr/>
      </w:pPr>
      <w:r>
        <w:rPr>
          <w:rFonts w:ascii="Amiri" w:hAnsi="Amiri" w:eastAsia="Amiri" w:cs="Amiri"/>
          <w:color w:val="111111"/>
          <w:sz w:val="28"/>
          <w:sz w:val="28"/>
          <w:szCs w:val="28"/>
          <w:rtl w:val="true"/>
          <w:lang w:bidi="ar-SA"/>
        </w:rPr>
        <w:t>في أنّ الصبيّ يضمن بالإتلاف، فقد ذكر أنّ حديث رفع القلم لا يجري في المقام؛ لدعويين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رفع القلم واردٌ مورد الامتنان، فإذا كان رفع القلم امتناناً على الصبيّ وخلاف الامتنان على صاحب المال المتلَف فلا يجري؛ إذ لا ترجيح له عليه، وبنظيره نقول بثبوت الضمان في الإتلاف خطأً ونسياناً، وعدم رفعه بحديث رفع الخطأ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موضع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تهمّنا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مناسبة الحكم والموضوع كون المرفوع عنه هو كلّ أثر يناط ترتّبه على الفعل بالعقل وكماله واستشعار الفاعل، فهو مرفوع عن المجنون والصبيّ والنائم؛ لفقد العقل في الأوّل، وفقد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وفقد الشعور في الثالث، والضمان مترتّب على مجرّد الإتلاف لا على كون المتلِف عاقلاً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يحتمل أن يكون مراده بمناسبة الحكم والموضوع الانصراف، ويحتمل أن يكون المراد هو معرفة حكمة التشريع، ويحتمل أن يراد تنقيح المناط</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3482947_2870459653"/>
      <w:bookmarkStart w:id="534" w:name="_Toc205"/>
      <w:bookmarkEnd w:id="533"/>
      <w:r>
        <w:rPr>
          <w:rtl w:val="true"/>
        </w:rPr>
        <w:t>المورد الرابع</w:t>
      </w:r>
      <w:bookmarkEnd w:id="53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خيار العيب إذا زال العيب قبل العلم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نفي الضرر فمقتضى مناسبة الحكم والموضوع وإن كان دوران الخيار مدار الضرر وجوداً وعدماً إلّا أنّ غايته عدم الدلالة على بقاء الحكم بعلّية الضرر، لا عدم بقائه رأساً ولو بعلّة أخرى، فإنّ العلّية أمر، وكونها منحصرةً أمر آخر، ومناسبة الحكم والموضوع </w:t>
      </w:r>
      <w:bookmarkStart w:id="535" w:name="pg9159_85167"/>
    </w:p>
    <w:p>
      <w:pPr>
        <w:pStyle w:val="BookText"/>
        <w:rPr/>
      </w:pPr>
      <w:bookmarkEnd w:id="535"/>
      <w:r>
        <w:rPr>
          <w:rFonts w:ascii="Amiri" w:hAnsi="Amiri" w:eastAsia="Amiri" w:cs="Amiri"/>
          <w:color w:val="111111"/>
          <w:sz w:val="28"/>
          <w:sz w:val="28"/>
          <w:szCs w:val="28"/>
          <w:rtl w:val="true"/>
          <w:lang w:bidi="ar-SA"/>
        </w:rPr>
        <w:t>وعدم الإطلاق لدليله لا يقتضي إلّا الأوّل دون الآخر، فيبقى مجال لاستصحاب الخيار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المورد ربّما رجعت مناسبة الحكم والموضوع إلى الانصراف، وربّما رجعت إلى التقييد العمدي</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482949_2870459653"/>
      <w:bookmarkStart w:id="537" w:name="_Toc206"/>
      <w:bookmarkEnd w:id="536"/>
      <w:r>
        <w:rPr>
          <w:rtl w:val="true"/>
        </w:rPr>
        <w:t>المورد الخامس</w:t>
      </w:r>
      <w:bookmarkEnd w:id="537"/>
    </w:p>
    <w:p>
      <w:pPr>
        <w:pStyle w:val="BookText"/>
        <w:rPr/>
      </w:pPr>
      <w:r>
        <w:rPr>
          <w:rFonts w:ascii="Amiri" w:hAnsi="Amiri" w:eastAsia="Amiri" w:cs="Amiri"/>
          <w:color w:val="111111"/>
          <w:sz w:val="28"/>
          <w:sz w:val="28"/>
          <w:szCs w:val="28"/>
          <w:rtl w:val="true"/>
          <w:lang w:bidi="ar-SA"/>
        </w:rPr>
        <w:t xml:space="preserve">وهو من الكلمات المهمّة في هذا الباب، فإنّنا نظرنا في كلمات الأعلام قبل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كلماتهم عامّةً تعطي أنّ مناسبة الحكم والموضوع من القرائن المؤثّرة على دلالة الكلام تضيّق تارةً موضوع الحكم، وتوسّعه أخرى، ولم نجد ضابطةً في كلماتهم لتعريف مناسبة الحكم والموضوع، وأمّا الذي وجدناه في كلامه هذا، فهو خارج عن كلّ هذه السياقات، فإنّه في بحث اشتراط وحدة القضية المتيقّنة والمشكوكة في جريان الاستصحاب، وأنّ العبرة ببقاء الموضوع على نظر العرف، جاء في ذلك الموضع ببيان يختلف عن بيانات سائر العلماء لمناسبة الحكم والموضوع، بل يختلف عن بياناته نفسه في مواضع أخر، حيث نفى كون مناسبة الحكم والموضوع قرينةً، وعدّها طريقاً لاكتشاف موضوع الحكم بشكل مباشر، وبتعبير آخر جعل مناسبة الحكم والموضوع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للعرف نظرين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 أهل المحاورة، ومن أهل فهم الكلام، وبهذا النظر يحدّد الموضوع الدليلي، ويستفيد من الكلام، فيرى أنّ الموضوع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المتغيّر بما هو متغيّر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ارتكز في ذهنه من المناسبة بين الحكم وموضوعه على خلاف ما هو متفاهم الكلام، فيرى أنّ الموضوع في المثال المزبور ذات الماء، وأنّ التغيّر واسطة في ثبوت النجاسة؛ لما ارتكز في ذهنه من أنّ النجاسة من عوارض الماء، لا من عوارض الماء والتغيّر، وأنّ النجاسة من عوارض جسم الكلب، لا من عوارض جسمه ونفسه الحيوانية وإن كان المفهوم من الكلب المجعول موضوعاً في لسان الدليل هو الحيوان الخاصّ، وحينئذٍ فمنشأ الشكّ في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التغيّر كما أنّه واسطة في حدوث النجاسة لذات الماء، هل هو واسطة لها بقاءً أم لا؟ وأنّ الحياة واسطة في حدوث النجاسة لجسم الكلب، فهل هي واسطة لها بقاءً أيضاً أم لا؟</w:t>
      </w:r>
    </w:p>
    <w:p>
      <w:pPr>
        <w:pStyle w:val="BookText"/>
        <w:rPr/>
      </w:pPr>
      <w:r>
        <w:rPr>
          <w:rFonts w:ascii="Amiri" w:hAnsi="Amiri" w:eastAsia="Amiri" w:cs="Amiri"/>
          <w:color w:val="111111"/>
          <w:sz w:val="28"/>
          <w:sz w:val="28"/>
          <w:szCs w:val="28"/>
          <w:rtl w:val="true"/>
          <w:lang w:bidi="ar-SA"/>
        </w:rPr>
        <w:t>ولا يخفى عليك أنّ ما ارتكز في ذهن العرف من المناسبة أو غيرها، لا بدّ من أن لا يكون من القرائن الحافّة بالكلام، بحيث يمنع من انعقاد الظهور في ما هو مدلول اللفظ لولاه، ولا من القرائن المنفصلة المتّبعة في رفع اليد عن الظهور المستقرّ، فإنّه على التقديرين يكون محدّداً للموضوع الدليلي، لا موضوعاً في قبال الموضوع الدليلي، كما هو محلّ الكلام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للعرف نظرين في تحديد موضوعات الأحكام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العرف بما هو من أهل المحاورة، ومن أهل فهم الكلام، أنّ موضوع حكم الشرع بالنجاسة في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المتغيّر بما هو متغيّر، فللسامع حينئذٍ أن ينسب كون موضوع الحكم هو الماء المتغيّر بوصف التغيّر للمتكلّم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العرف أنّ النجاسة ليست من عوارض الماء المتغيّر بما هو متغيّر، بل هي من عوارض نفس الماء، والتغيّر حيثية تعليلية لثبوت الحكم، وكذلك 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النجاسة من عوارض جسم الكلب، لا من عوارض نفسه الحيوانية، وهذا تصرّف في الموضوع سوّغته تلك المناسبات الارتكازية، فالكلب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الدلالة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الحيوان الخاصّ المؤلّف من جسم وروح، ولكن 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العرف أنّ روح الكلب نجسة، وما ذلك إلّا بسبب أنّهم يرون بحسب ارتكازهم أنّ النجاسة ممّا تعرض الأجسام لا الأرواح، فالعرف يتصرّف في موضوع الحكم وإن لم يتصرّف في الدلالة اللغوية، فمفهوم الكلب المجعول موضوعاً في لسان الدليل باقٍ على ما هو عليه قبل قيام هذه المناسبة الارتكازية، وظهور كلمة الكلب المستعملة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الحقيقيّ مستقرّ لم ينهدم، فلا الحجّية تغيّرت ولا الإرادة الجدّية على خلاف الإرادة الاستعمالية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الأوّل في تحديد الموضوع الدليلي هو الكلام سواء كان بدلالته الوضعية فحسب، أو بالدلالة الوضعية مع القرينة كما في الاستعمالات المجازية، والقرينة قد تكون متّصلة، وقد تكون منفصلة توجب رفع اليد عن الحجّية مع بقاء الدلالة، لكن كلّ هذا مرتبط بالموضوع الدليلي، ويوجد طريق آخر لتحديد موضوع الحكم غير البيان الشرعي، وهو الارتكاز العرفي الذي منه مناسبة الحكم والموضوع، وهو لا يغيّر من دلالة الألفاظ، فلذا لا ينسب العقلاء فيه تحديد موضوع الدليل للمتكلّم، فلا يقولون قال المتكلّم كذا، أو أراد كذا، بل يقولون موضوع حكمه في صفحة التشريع هو هذا الحكم</w:t>
      </w:r>
      <w:r>
        <w:rPr>
          <w:rFonts w:eastAsia="Amiri" w:cs="Amiri" w:ascii="Amiri" w:hAnsi="Amiri"/>
          <w:color w:val="111111"/>
          <w:sz w:val="28"/>
          <w:szCs w:val="28"/>
          <w:rtl w:val="true"/>
          <w:lang w:bidi="ar-SA"/>
        </w:rPr>
        <w:t xml:space="preserve">. </w:t>
      </w:r>
      <w:bookmarkStart w:id="538" w:name="pg9159_85170"/>
    </w:p>
    <w:p>
      <w:pPr>
        <w:pStyle w:val="BookText"/>
        <w:rPr/>
      </w:pPr>
      <w:bookmarkEnd w:id="538"/>
      <w:r>
        <w:rPr>
          <w:rFonts w:ascii="Amiri" w:hAnsi="Amiri" w:eastAsia="Amiri" w:cs="Amiri"/>
          <w:color w:val="111111"/>
          <w:sz w:val="28"/>
          <w:sz w:val="28"/>
          <w:szCs w:val="28"/>
          <w:rtl w:val="true"/>
          <w:lang w:bidi="ar-SA"/>
        </w:rPr>
        <w:t>وهذا البيان دعوى لا بيّنة ولا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بنا في هذا المقام الإشارة إلى أنّ مناسبة الحكم والموضوع في كلمات الأعلام تقترن غالباً بكلمة الارتكاز، وقد رتّب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ما عرفته منّا من أنّ مناسبة الحكم والموضوع دليل مستقلّ؛ لأنّها مرتبطة بالارتكاز فهي أجنبية عن الدلالات اللفظية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تكون مرتبطة بمرحلة الثبوت لا مرحلة الدلالة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فالعرف يرى بمقتضى مرتكزاته مع قطع النظر عن أيّ لسان يتحدّث به، وأيّ بيانٍ بيّن به هذا الحكم سواء كان لفظياً، أم لبّياً، أنّ الموضوع لهذا الحكم كذا، والموضوع لذاك الحكم كذا، فالمسألة ترتبط بالارتكاز بين الموضوع والحكم مع قطع النظر عن الدلالة</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482951_2870459653"/>
      <w:bookmarkStart w:id="540" w:name="_Toc207"/>
      <w:bookmarkEnd w:id="539"/>
      <w:r>
        <w:rPr>
          <w:rtl w:val="true"/>
        </w:rPr>
        <w:t>الخامس</w:t>
      </w:r>
      <w:r>
        <w:rPr>
          <w:rtl w:val="true"/>
        </w:rPr>
        <w:t xml:space="preserve">: </w:t>
      </w:r>
      <w:r>
        <w:rPr>
          <w:rtl w:val="true"/>
        </w:rPr>
        <w:t xml:space="preserve">موارد اعتماد السيّد الخوئي </w:t>
      </w:r>
      <w:r>
        <w:rPr>
          <w:rtl w:val="true"/>
        </w:rPr>
        <w:t>(</w:t>
      </w:r>
      <w:r>
        <w:rPr>
          <w:rtl w:val="true"/>
        </w:rPr>
        <w:t>قدس سره</w:t>
      </w:r>
      <w:r>
        <w:rPr>
          <w:rtl w:val="true"/>
        </w:rPr>
        <w:t>) (</w:t>
      </w:r>
      <w:r>
        <w:rPr>
          <w:rtl w:val="true"/>
        </w:rPr>
        <w:t xml:space="preserve">ت </w:t>
      </w:r>
      <w:r>
        <w:rPr/>
        <w:t>1411</w:t>
      </w:r>
      <w:r>
        <w:rPr>
          <w:rtl w:val="true"/>
        </w:rPr>
        <w:t>ﻫ</w:t>
      </w:r>
      <w:r>
        <w:rPr>
          <w:rtl w:val="true"/>
        </w:rPr>
        <w:t>)</w:t>
      </w:r>
      <w:bookmarkEnd w:id="540"/>
    </w:p>
    <w:p>
      <w:pPr>
        <w:pStyle w:val="Heading5"/>
        <w:numPr>
          <w:ilvl w:val="4"/>
          <w:numId w:val="1"/>
        </w:numPr>
        <w:rPr/>
      </w:pPr>
      <w:bookmarkStart w:id="541" w:name="__RefHeading___Toc3482953_2870459653"/>
      <w:bookmarkStart w:id="542" w:name="_Toc208"/>
      <w:bookmarkEnd w:id="541"/>
      <w:r>
        <w:rPr>
          <w:rtl w:val="true"/>
        </w:rPr>
        <w:t>اشارة</w:t>
      </w:r>
      <w:bookmarkEnd w:id="54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وسنقتصر هنا على استقصاء بعض الموارد التي اعتمد فيها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مناسبة الحكم والموضوع، أو تعرّض لاعتماد أحد من العلماء عليها، قاصرين النظر على العبادات الصرفة، للتأكيد على أنّ الفقهاء يجرون هذه المناسبات الارتكازية في أبواب العبادات، مع أنّها يمكن أن ترجع إلى حكمة التشريع أو تنقيح المناط، ولذلك أكثروا من الاعتماد عليها في باب المعاملات والطهارة دون العبادات، ومع أنّ الموارد التي اعتمد فيها السيّد الخوئي على مناسبة الحكم والموضوع في الفروع المختلفة من الأبواب الفقهية لا تحصى، لكنّنا آثرنا ترك موارد اعتماده عليها في كتاب الطهارة؛ لأنّه لا يرى الطهارة تعبّداً صرفاً، كما تركنا موارد اعتماده عليها في المعاملات؛ لأنّها ليست تعبّدية، وصنيعنا هذا لهذه النكتة التي أسلفناها</w:t>
      </w:r>
      <w:r>
        <w:rPr>
          <w:rFonts w:eastAsia="Amiri" w:cs="Amiri" w:ascii="Amiri" w:hAnsi="Amiri"/>
          <w:color w:val="111111"/>
          <w:sz w:val="28"/>
          <w:szCs w:val="28"/>
          <w:rtl w:val="true"/>
          <w:lang w:bidi="ar-SA"/>
        </w:rPr>
        <w:t xml:space="preserve">. </w:t>
      </w:r>
      <w:bookmarkStart w:id="543" w:name="pg9159_85171"/>
    </w:p>
    <w:p>
      <w:pPr>
        <w:pStyle w:val="Heading5"/>
        <w:numPr>
          <w:ilvl w:val="4"/>
          <w:numId w:val="1"/>
        </w:numPr>
        <w:rPr/>
      </w:pPr>
      <w:bookmarkStart w:id="544" w:name="__RefHeading___Toc3482955_2870459653"/>
      <w:bookmarkStart w:id="545" w:name="_Toc209"/>
      <w:bookmarkEnd w:id="543"/>
      <w:bookmarkEnd w:id="544"/>
      <w:r>
        <w:rPr>
          <w:rtl w:val="true"/>
        </w:rPr>
        <w:t>المورد الأول</w:t>
      </w:r>
      <w:bookmarkEnd w:id="545"/>
    </w:p>
    <w:p>
      <w:pPr>
        <w:pStyle w:val="BookText"/>
        <w:rPr/>
      </w:pPr>
      <w:r>
        <w:rPr>
          <w:rFonts w:ascii="IRNazanin" w:hAnsi="IRNazanin" w:eastAsia="IRNazanin"/>
          <w:color w:val="111111"/>
          <w:sz w:val="28"/>
          <w:sz w:val="28"/>
          <w:szCs w:val="28"/>
          <w:rtl w:val="true"/>
          <w:lang w:bidi="fa-IR"/>
        </w:rPr>
        <w:t>في توسعة وقت صلاة الليل في الليالي القصار، وقد دلّت صحيحة ليث المرادي على أنّه يجوز أن يقدّمها المكلّف على الانتصاف،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الصيف في الليالي القصار صلاة الليل في أوّل الليل،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نِعم ما رأيت، ونِعم ما صنعت</w:t>
      </w:r>
      <w:r>
        <w:rPr>
          <w:rFonts w:eastAsia="IRNazanin" w:cs="IRNazanin"/>
          <w:color w:val="111111"/>
          <w:sz w:val="28"/>
          <w:szCs w:val="28"/>
          <w:rtl w:val="true"/>
          <w:lang w:bidi="fa-IR"/>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وقع في أنّ جواز التقديم أو التوسعة بالإضافة إلى المصلّي في الليالي القصار، هل هو مطلق، أو مقيّد بما إذا خاف الفوات، أو بما إذا صعب عليه القيام في آخر الليل؟ وأجاب عن ذلك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الأخبار الواردة في المقام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مقتضى مناسبة الحكم والموضوع أو القرينة العرفية هو اختصاص الحكم بما إذا خاف الفوات على تقدير تأخيرها إلى وقتها، أو صعب عليه القيام في وقتها، وذلك لأنّه مقتضى كون الليل قصيراً، وإلّا فأيّة خصوصية لطول الليل وقصره، فلا خصوصية للقِصَر غير كونه موجباً لأحد الأمرين المذكورين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لم يجزم بأنّ القرينة التي اعتمد عليها في المقام هي مناسبة الحكم والموضوع، بل ردّد بينها وبين ما سمّاه بالقرينة العرفية، ولم يبيّن نوع هذه القرينة التي يدور الحكم بالتقييد مدارها على نحو الترديد، واحتمال كونه عطف بيانٍ غيرُ وارد؛ لأنّه لم يقدّم القرينة العرفية على مناسبة الحكم والموضوع، ليقال إنّه عطف بيان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والقرينة التي استند إليها هنا أوجبت جزمه بعدم الخصوصية؛ إمّا لمعرفة مذاق الشرع والأحكام الشرعية المكتنفة بهذه المسألة، أو دعوى أنّ العرف لا يرى خصوصية </w:t>
      </w:r>
      <w:bookmarkStart w:id="546" w:name="pg9159_85172"/>
    </w:p>
    <w:p>
      <w:pPr>
        <w:pStyle w:val="BookText"/>
        <w:rPr/>
      </w:pPr>
      <w:bookmarkEnd w:id="546"/>
      <w:r>
        <w:rPr>
          <w:rFonts w:ascii="Amiri" w:hAnsi="Amiri" w:eastAsia="Amiri" w:cs="Amiri"/>
          <w:color w:val="111111"/>
          <w:sz w:val="28"/>
          <w:sz w:val="28"/>
          <w:szCs w:val="28"/>
          <w:rtl w:val="true"/>
          <w:lang w:bidi="ar-SA"/>
        </w:rPr>
        <w:t>لقصر الليل</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3482957_2870459653"/>
      <w:bookmarkStart w:id="548" w:name="_Toc210"/>
      <w:bookmarkEnd w:id="547"/>
      <w:r>
        <w:rPr>
          <w:rtl w:val="true"/>
        </w:rPr>
        <w:t>المورد الثاني</w:t>
      </w:r>
      <w:bookmarkEnd w:id="548"/>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طلع الفجر وقد صلّى من صلاة الليل أربع ركعات أو أزيد أتمّها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السيّد الخوئي بأنّه لم يقم على ذلك أيّ شاهد، والمستفاد من الرواية موضع الاستدلال أنّها إنّما تدلّ على استحباب إتمام صلاة الليل على النحو المتعارف، وكما كان يأتي بها قبل طلوع الفجر، فالتخفيف يحتاج إلى دليل، ولعلّ اعتباره من جهة مناسبة الحكم والموضوع، حيث إنّ التطوّع في وقت الفريضة محرّم أو مرجوح، فإذا أثبتنا جوازه بتلك الرواية تخصيصاً فيما دلّ على النهي عن التطوّع في وقت الفريضة، فالمناسب والأولى أن يؤتى بها مخفّفة حتّى لا تتحقّق مزاحمة الفريضة بكثير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مناسبة الحكم والموضوع، ولم يبيّن مراده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قواعد باب التزاحم، وأنّ الأمر يدور بين تحصيل مصلحتين ندبيّتين غير إلزاميّتين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مصلحة التعجيل والمبادرة إلى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مصلحة صلاة الليل مع الأناة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مصلحة أوّل الوقت أرجح من مصلحة الأناة في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بهذا المقدار يحتاج إلى معالجة مسألتين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رجحان أصل صلاة الليل بعد طلوع الفجر على مصلحة أوّل الوقت الندبية</w:t>
      </w:r>
      <w:r>
        <w:rPr>
          <w:rFonts w:eastAsia="Amiri" w:cs="Amiri" w:ascii="Amiri" w:hAnsi="Amiri"/>
          <w:color w:val="111111"/>
          <w:sz w:val="28"/>
          <w:szCs w:val="28"/>
          <w:rtl w:val="true"/>
          <w:lang w:bidi="ar-SA"/>
        </w:rPr>
        <w:t xml:space="preserve">. </w:t>
      </w:r>
      <w:bookmarkStart w:id="549" w:name="pg9159_85173"/>
    </w:p>
    <w:p>
      <w:pPr>
        <w:pStyle w:val="BookText"/>
        <w:rPr/>
      </w:pPr>
      <w:bookmarkEnd w:id="549"/>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مصلحة التعجيل في الفريضة أرجح من مصلحة الأناة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طالما أكّد على أنّ ملاكات الأحكام لا سبيل إلى معرفتها إلّا من خلال الأوامر والنواهي الشرعية، وهنا لم يقتصر على معرفة الملاك، بل تعدّاه إلى تعيين الراجح من الملاكين، وهو الذي اعترض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تنقيح المناط أشبه شيء بالقياس، بل هو هو بعينه؛ وذلك لعدم علمنا بمناطات الأحكام وملاكاتها</w:t>
      </w:r>
      <w:r>
        <w:rPr>
          <w:rStyle w:val="FootnoteAnchor"/>
          <w:rtl w:val="true"/>
        </w:rPr>
        <w:footnoteReference w:id="435"/>
      </w:r>
      <w:r>
        <w:rPr>
          <w:rFonts w:ascii="Amiri" w:hAnsi="Amiri" w:eastAsia="Amiri" w:cs="Amiri"/>
          <w:color w:val="111111"/>
          <w:sz w:val="28"/>
          <w:sz w:val="28"/>
          <w:szCs w:val="28"/>
          <w:rtl w:val="true"/>
          <w:lang w:bidi="ar-SA"/>
        </w:rPr>
        <w:t>، وذلك عندما اعتمد الشيخ الأعظم على تنقيح المناط لإلحاق مسألة وجود اللاصق ببعض مواضع الوضوء بمسألة الجبيرة، مع أنّ أخبار الجبائر مختصّة بالجراحة والقرحة والكسر، بدعوى أنّ المناط في أحكام الجبائر ليس هو وجود الجرح والخرقة عليه، وإنّما المناط عدم تمكّن المتوضّئ من إيصال الماء إلى 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لا نريد أن ندخل في مناقشة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الفقهي، وإنّما المقصود هو تحديد مراد العلماء من مناسبة الحكم والموضوع، وأمّا كون اعتمادهم على مناسبة الحكم والموضوع في هذا المورد أو ذاك صحيح أو لا، فلا يعنينا في هذا المقام</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482959_2870459653"/>
      <w:bookmarkStart w:id="551" w:name="_Toc211"/>
      <w:bookmarkEnd w:id="550"/>
      <w:r>
        <w:rPr>
          <w:rtl w:val="true"/>
        </w:rPr>
        <w:t>المورد الثالث</w:t>
      </w:r>
      <w:bookmarkEnd w:id="55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مشهور العلماء إلى كراهة الصلاة في الطرق وإن كانت في البلاد ما لم تضرّ بالمارّة، ومستند الحكم روايات عديدة، وقد 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النصوص ظاهرة في الحرمة، لكنّها محمولة على الكراهة؛ لأنّ مناسبة الحكم والموضوع تقضي بأنّ النهي لم يكن لأجل منقصةٍ ذاتيةٍ في الطريق مانعة عن صحّة </w:t>
      </w:r>
      <w:bookmarkStart w:id="552" w:name="pg9159_85174"/>
    </w:p>
    <w:p>
      <w:pPr>
        <w:pStyle w:val="BookText"/>
        <w:rPr/>
      </w:pPr>
      <w:bookmarkEnd w:id="552"/>
      <w:r>
        <w:rPr>
          <w:rFonts w:ascii="Amiri" w:hAnsi="Amiri" w:eastAsia="Amiri" w:cs="Amiri"/>
          <w:color w:val="111111"/>
          <w:sz w:val="28"/>
          <w:sz w:val="28"/>
          <w:szCs w:val="28"/>
          <w:rtl w:val="true"/>
          <w:lang w:bidi="ar-SA"/>
        </w:rPr>
        <w:t>الصلاة، وإنّما هو لأحد أمرين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المزاحمة للمارّة، أو لكونه معرضاً للخطر وتوجّه الضرر، فلو أَمِن المصلّي من كلا الأمرين لم يكن محذور في البين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علمه الخارجي بأنّ الطريق ليس فيه مفسدة ذاتية، وأنّ الصلاة في الطريق بعنوانها الأوّلي ليست أمراً مرجوحاً مانعاً من صحّة الصلاة، ولم يعتمد على مناسبة الحكم والموضوع، فما عدّه مناسبةً بين الحكم والموضوع في المقام، وبموجبه صرف الظهور الأوّلي في هذه الروايات من الحرمة إلى الكراهة، هو الجزم بأنّ الصلاة في الطريق بالعنوان الأوّلي ليست محرّمة، ولا مبطلة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فلا داعي لإقحام قرينة مناسبة الحكم والموضوع في الاستدلال؛ لأنّ الجزم وحده كافٍ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مناسبة الحكم والموضوع قضية عرفية تحتفّ بالكلام، بحيث إنّه لو قيل لأعرابي حديث عهد بالإسلام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لفهم منه أنّ النهي عن الصلاة في الطريق ليس بسبب وجود حزازة مانعة من صحّة الصلاة في الطريق، بل لأجل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يفهم هذا الأعرابي الحرمة والكراهة، حتّى يفهم أنّ المناسبة بين الحكم والموضوع تقتضي الكراهة؟</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3482961_2870459653"/>
      <w:bookmarkStart w:id="554" w:name="_Toc212"/>
      <w:bookmarkEnd w:id="553"/>
      <w:r>
        <w:rPr>
          <w:rtl w:val="true"/>
        </w:rPr>
        <w:t>المورد الرابع</w:t>
      </w:r>
      <w:bookmarkEnd w:id="55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اشتراط الذكورة في أذان الإعلام؛ لقصور دليله عن الشمول للنساء؛ نظراً إلى أنّ المطلوب في هذا الأذان رفع الصوت، بل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اشتدّ الصوت كان الأجر أعظم</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المطلوب من المرأة خفض </w:t>
      </w:r>
    </w:p>
    <w:p>
      <w:pPr>
        <w:pStyle w:val="BookText"/>
        <w:rPr/>
      </w:pPr>
      <w:r>
        <w:rPr>
          <w:rFonts w:ascii="Amiri" w:hAnsi="Amiri" w:eastAsia="Amiri" w:cs="Amiri"/>
          <w:color w:val="111111"/>
          <w:sz w:val="28"/>
          <w:sz w:val="28"/>
          <w:szCs w:val="28"/>
          <w:rtl w:val="true"/>
          <w:lang w:bidi="ar-SA"/>
        </w:rPr>
        <w:t>صوتها وإن لم يكن عورة، فمناسبة الحكم والموضوع تقتضي انصراف النصوص إلى الرجال وعدم شمولها للنساء</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مناسبة الحكم والموضوع قرينة موجبة لرفع اليد عن الإطلاق، بل عدّها من أسباب الانصراف، مع أنّ كلماته في الفقه والأصول تنادي بأعلى صوتها بأنّ الضابط في الانصراف المانع من التمسّك بالإطلاق، هو الانصراف الناشئ من خفاء الصدق، وأمّا الانصراف البدوي الناشئ من التعارف الخارجي من قبيل غلبة الوجود أو قلّته فلا يكون منشأً للانصراف ما لم يوجب أنس الذهن بحيث لا ينسبق إليه غير المنصرف إليه عند الإطلاق، بحيث يعدّه العرف قرينةً متّصلة موجبة لظهور المطلق في قسم خاصّ، أو يكون صالحاً للقرينية وموجباً للإجمال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الانصراف القادح في التمسّك بالإطلاق لا يتحقّق الانصراف بمجرّد الشيوع والغلبة، ولا ملازمة بين الأمرين، فإنّ العبرة بالظهور العرفي، فإذا كان الكلام مطلقاً وغير ظاهر في المنصرف إليه فالتمسّك بالانصراف لا يعدو الاستحسان العقلي المحض</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تقريب اختصاص هذا الاستحباب بالرجال دون النساء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تشريع أذان الإعلام هو إعلام الناس بدخول وقت الصلاة، وهذا الغرض لا يحصل إلّا برفع الصوت، والمرأة مندوبة لخفض صوتها، فهي غير مخاطبة به، فمن خلال حكمة التشريع علمنا أنّ المطلوب هو الأذان مع رفع الصوت، وهذا علمناه من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المرأة مندوبة لخفض صوتها فقد علمناه من الشرع بدليل آخر غير مناسبة الحكم والموضوع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عنى بكلامه هذا أنّ مفهوم الأذان في اللغة هو الإعلام، ففي صحيح البخاري ومسلم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فاطمة ليلاً، ولم يؤذن بها أبا بكر</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w:t>
      </w:r>
      <w:r>
        <w:rPr>
          <w:rStyle w:val="FootnoteAnchor"/>
          <w:rtl w:val="true"/>
        </w:rPr>
        <w:footnoteReference w:id="441"/>
      </w:r>
      <w:r>
        <w:rPr>
          <w:rFonts w:ascii="Amiri" w:hAnsi="Amiri" w:eastAsia="Amiri" w:cs="Amiri"/>
          <w:color w:val="111111"/>
          <w:sz w:val="28"/>
          <w:sz w:val="28"/>
          <w:szCs w:val="28"/>
          <w:rtl w:val="true"/>
          <w:lang w:bidi="ar-SA"/>
        </w:rPr>
        <w:t>، يعني إعلام وإعلان، فمفهوم الأذان بضميمة مناسبة الحكم والموضوع لا يتحقّق إلّا مع رفع الصوت، فهذه المناسبة لا توجب انصراف النصوص إلى الرجال، وإنّما هي موجبة لانصراف الأذان في أخبار الإعلام إلى ما كان مع الصوت المرتفع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ترجع مناسبة الحكم والموضوع في مقامنا إلى حكمة التشريع، وأنّ الغرض من أذان الإعلام لا يحصل إلّا بهذه الحصّة من الأذان، وهو الأذان بالصوت المرتفع، ويمكن إرجاعه إلى الانصراف ولو بدعوى الشكّ في صدق الأذان فيما لو قرئت فصوله من دون رفع الصوت؛ لأنّ الأذان في اللغة هو الإعلام، فلا نحرز صدق عنوان الأذان على هذه الفصول من دون رفع الصوت</w:t>
      </w:r>
      <w:r>
        <w:rPr>
          <w:rFonts w:eastAsia="Amiri" w:cs="Amiri" w:ascii="Amiri" w:hAnsi="Amiri"/>
          <w:color w:val="111111"/>
          <w:sz w:val="28"/>
          <w:szCs w:val="28"/>
          <w:rtl w:val="true"/>
          <w:lang w:bidi="ar-SA"/>
        </w:rPr>
        <w:t xml:space="preserve">. </w:t>
      </w:r>
      <w:bookmarkStart w:id="555" w:name="pg9159_85177"/>
    </w:p>
    <w:p>
      <w:pPr>
        <w:pStyle w:val="Heading5"/>
        <w:numPr>
          <w:ilvl w:val="4"/>
          <w:numId w:val="1"/>
        </w:numPr>
        <w:rPr/>
      </w:pPr>
      <w:bookmarkStart w:id="556" w:name="__RefHeading___Toc3482963_2870459653"/>
      <w:bookmarkStart w:id="557" w:name="_Toc213"/>
      <w:bookmarkEnd w:id="555"/>
      <w:bookmarkEnd w:id="556"/>
      <w:r>
        <w:rPr>
          <w:rtl w:val="true"/>
        </w:rPr>
        <w:t>المورد الخامس</w:t>
      </w:r>
      <w:bookmarkEnd w:id="557"/>
    </w:p>
    <w:p>
      <w:pPr>
        <w:pStyle w:val="BookText"/>
        <w:rPr/>
      </w:pPr>
      <w:r>
        <w:rPr>
          <w:rFonts w:ascii="Amiri" w:hAnsi="Amiri" w:eastAsia="Amiri" w:cs="Amiri"/>
          <w:color w:val="111111"/>
          <w:sz w:val="28"/>
          <w:sz w:val="28"/>
          <w:szCs w:val="28"/>
          <w:rtl w:val="true"/>
          <w:lang w:bidi="ar-SA"/>
        </w:rPr>
        <w:t>في استحباب جهر الإمام بتكبيرة الإحرام إذا كبّر سبعاً، دون الستّ فإنّه يستحبّ له الإخفات بها، مع أنّ النصوص الكثيرة تضمّنت استحباب جهر الإمام بواحدة وإخفات الستّ، ولم يصرّح بتكبيرة الإحرام في شيءٍ من تلك الأخبار، وإنّما ذكر الجهر بواحدة، لكن القرائن الداخلية والخارجية سيّما مناسبة الحكم والموضوع تقضي بإرادتها منها، وتعيّنها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ورد أنّ الإمام يجهر بكلّ ما يتلفّظ به، ويسمع المأمومين كلّ ما يقوله في الصلاة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مناسبة الحكم والموضوع هنا يحتمل فيه أمور عديدة، وهذا يحوجنا إلى استحضار بحث الجهر في تكبيرة الإحرام، وهو يطول</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3482965_2870459653"/>
      <w:bookmarkStart w:id="559" w:name="_Toc214"/>
      <w:bookmarkEnd w:id="558"/>
      <w:r>
        <w:rPr>
          <w:rtl w:val="true"/>
        </w:rPr>
        <w:t>المورد السادس</w:t>
      </w:r>
      <w:bookmarkEnd w:id="559"/>
    </w:p>
    <w:p>
      <w:pPr>
        <w:pStyle w:val="BookText"/>
        <w:rPr/>
      </w:pPr>
      <w:r>
        <w:rPr>
          <w:rFonts w:ascii="IRNazanin" w:hAnsi="IRNazanin" w:eastAsia="IRNazanin"/>
          <w:color w:val="111111"/>
          <w:sz w:val="28"/>
          <w:sz w:val="28"/>
          <w:szCs w:val="28"/>
          <w:rtl w:val="true"/>
          <w:lang w:bidi="fa-IR"/>
        </w:rPr>
        <w:t xml:space="preserve">في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صلاتك بقل هو الله أحد وأنت تريد أن تقرأ بغيرها فامضِ فيها ولا ترجع، إلّا أن تكون في يوم جمعة فإنّك ترجع إلى الجمعة والمنافقين منها</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المراد بالصلاة المستثناة عن هذا الحكم، أعني جواز العدول في يوم الجمعة لمن افتتح بالتوحيد، هل هو خصوص صلاة الجمعة، أو الأعمّ منها ومن الظهر كما عليه المشهور، أو بزيادة العصر؟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المشهور، ونفى شمول هذا الاستثناء لصلاة العصر في يوم الجمعة؛ لأنّ الوجه في جواز العدول ليس استحباب قراءة الجمعة والمنافقين في صلاة الجمعة وظهرها، كي يسري إلى العصر لثبوت الاستحباب فيه أيضاً، بل الوجه في ذلك شدّة </w:t>
      </w:r>
      <w:bookmarkStart w:id="560" w:name="pg9159_85178"/>
    </w:p>
    <w:p>
      <w:pPr>
        <w:pStyle w:val="BookText"/>
        <w:rPr/>
      </w:pPr>
      <w:bookmarkEnd w:id="560"/>
      <w:r>
        <w:rPr>
          <w:rFonts w:ascii="IRNazanin" w:hAnsi="IRNazanin" w:eastAsia="IRNazanin"/>
          <w:color w:val="111111"/>
          <w:sz w:val="28"/>
          <w:sz w:val="28"/>
          <w:szCs w:val="28"/>
          <w:rtl w:val="true"/>
          <w:lang w:bidi="fa-IR"/>
        </w:rPr>
        <w:t xml:space="preserve">الاهتمام وتأكّد العناية بقراءتهما في صلاة الجمعة بالمعنى الأعمّ الشامل للظهر بحيث كاد أن يكون واجباً، كما يفصح عنه التعبير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سورة الجمعة والمنافقين فإنّ قراءتهما سنّة في يوم الجمعة في الغداة والظهر والعصر، ولا ينبغي لك أن تقرأ بغيرهما في صلاة الظهر يعني يوم الجمعة إماماً كنت أو غير إمام</w:t>
      </w:r>
      <w:r>
        <w:rPr>
          <w:rFonts w:eastAsia="IRNazanin" w:cs="IRNazanin"/>
          <w:color w:val="111111"/>
          <w:sz w:val="28"/>
          <w:szCs w:val="28"/>
          <w:rtl w:val="true"/>
          <w:lang w:bidi="fa-IR"/>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فمناسبة الحكم والموضوع تقتضي اختصاص الحكم بصلاة الجمعة بالمعنى الأعمّ، ولأجل ذلك ينصرف الإطلاق في صحيحة الحلبي إليها؛ فإنّ الاستحباب وإن كان ثابتاً في العصر أيضاً كما ذكر في هذه الصحيحة، إلّا أنّ تلك العناية والاهتمام خاصّة بالظهر، لاختصاصها بالتعبير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يتيسّر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قبيل المناسبات العرفية بين الحكم والموضوع، وإنّما هو أمر يعلم ببيان الشرع</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3482967_2870459653"/>
      <w:bookmarkStart w:id="562" w:name="_Toc215"/>
      <w:bookmarkEnd w:id="561"/>
      <w:r>
        <w:rPr>
          <w:rtl w:val="true"/>
        </w:rPr>
        <w:t>المورد السابع</w:t>
      </w:r>
      <w:bookmarkEnd w:id="562"/>
    </w:p>
    <w:p>
      <w:pPr>
        <w:pStyle w:val="BookText"/>
        <w:rPr/>
      </w:pPr>
      <w:r>
        <w:rPr>
          <w:rFonts w:ascii="IRNazanin" w:hAnsi="IRNazanin" w:eastAsia="IRNazanin"/>
          <w:color w:val="111111"/>
          <w:sz w:val="28"/>
          <w:sz w:val="28"/>
          <w:szCs w:val="28"/>
          <w:rtl w:val="true"/>
          <w:lang w:bidi="fa-IR"/>
        </w:rPr>
        <w:t xml:space="preserve">في 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يجزي المريض من التسبيح في الركوع والسجود؟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تسبيحة واحدة</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ذلك أنّ المريض يمتاز عن غيره باجتزائه بالتسبيحة الواحدة مطلقاً وإن كانت هي الصغرى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قد يقال بأنّ موردها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التعدّي إلى مطلق </w:t>
      </w:r>
      <w:bookmarkStart w:id="563" w:name="pg9159_85179"/>
    </w:p>
    <w:p>
      <w:pPr>
        <w:pStyle w:val="BookText"/>
        <w:rPr/>
      </w:pPr>
      <w:bookmarkEnd w:id="563"/>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لوضوح أنّ المريض المأخوذ في النصّ لا خصوصية فيه كي يكون ملحوظاً على وجه الصفتية والموضوعية، فيسأل عن حكمه بما هو كذلك، وإن كان قادراً على الثلاث الصغريات، فإنّ ذلك أظهر من أن يحتاج إلى السؤال سيّما من مثل معاوية بن عمّار، بل مناسبة الحكم والموضوع تقضي بأنّ ذكره من باب المثال، وأنّ موضوع السؤال مطلق من يشقّ عليه الثلاث، إمّا لمرض أو لغيره من سائر الضرورات</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مناسبة الحكم والموضوع هنا تقضي بأنّ ذكر المريض من باب المثال، وأنّ موضوع السؤال يعمّ سائر موارد الضرورة أيضاً، ولعلّ مراده بالموضوع هو المتعلّق، وهو الذكر في الركوع والسجود، والحكم هنا هو الاجتزاء بتسبيحة صغرى واحدة، وإعفاء المصلّي من تكرارها، فحاصل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يتلقّى هذا الخطاب،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المصلّي إذا كان مريضاً يجزيه في الذكر تسبيحة صغرى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ذكر المريض لا موضوعية له، وأنّ موضوع الحكم هو المعذور الذي يشقّ عليه أن يأتي بالتسبيحات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هذا من العرف حتّى لمن كان جاهلاً بالأحكام الشرعية محلّ تأمّل</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3482969_2870459653"/>
      <w:bookmarkStart w:id="565" w:name="_Toc216"/>
      <w:bookmarkEnd w:id="564"/>
      <w:r>
        <w:rPr>
          <w:rtl w:val="true"/>
        </w:rPr>
        <w:t>المورد الثامن</w:t>
      </w:r>
      <w:bookmarkEnd w:id="56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للمورد السابق، وهو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 مِنْ أَيَّامٍ أُخَرَ</w:t>
      </w:r>
      <w:r>
        <w:rPr>
          <w:rStyle w:val="FootnoteAnchor"/>
          <w:rtl w:val="true"/>
        </w:rPr>
        <w:footnoteReference w:id="448"/>
      </w:r>
      <w:r>
        <w:rPr>
          <w:rFonts w:ascii="Amiri" w:hAnsi="Amiri" w:eastAsia="Amiri" w:cs="Amiri"/>
          <w:color w:val="111111"/>
          <w:sz w:val="28"/>
          <w:sz w:val="28"/>
          <w:szCs w:val="28"/>
          <w:rtl w:val="true"/>
          <w:lang w:bidi="ar-SA"/>
        </w:rPr>
        <w:t xml:space="preserve">، إذ لا يحتمل سقوط الصوم عن </w:t>
      </w:r>
      <w:bookmarkStart w:id="566" w:name="pg9159_85180"/>
    </w:p>
    <w:p>
      <w:pPr>
        <w:pStyle w:val="BookText"/>
        <w:rPr/>
      </w:pPr>
      <w:bookmarkEnd w:id="566"/>
      <w:r>
        <w:rPr>
          <w:rFonts w:ascii="Amiri" w:hAnsi="Amiri" w:eastAsia="Amiri" w:cs="Amiri"/>
          <w:color w:val="111111"/>
          <w:sz w:val="28"/>
          <w:sz w:val="28"/>
          <w:szCs w:val="28"/>
          <w:rtl w:val="true"/>
          <w:lang w:bidi="ar-SA"/>
        </w:rPr>
        <w:t>مطلق المريض ولو كان علاجه الإمساك طول النهار، أو فرض امتناعه عن استعمال المفطرات خلال اليوم بطبعه صامه أم لم يصمه، فالمراد من المريض هنا بمناسبة الحكم والموضوع من يشقّ عليه الصوم، ولا خصوصية لعنوان المريض بما هو مريض</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3482971_2870459653"/>
      <w:bookmarkStart w:id="568" w:name="_Toc217"/>
      <w:bookmarkEnd w:id="567"/>
      <w:r>
        <w:rPr>
          <w:rtl w:val="true"/>
        </w:rPr>
        <w:t>المورد التاسع</w:t>
      </w:r>
      <w:bookmarkEnd w:id="568"/>
    </w:p>
    <w:p>
      <w:pPr>
        <w:pStyle w:val="BookText"/>
        <w:rPr/>
      </w:pPr>
      <w:r>
        <w:rPr>
          <w:rFonts w:ascii="Amiri" w:hAnsi="Amiri" w:eastAsia="Amiri" w:cs="Amiri"/>
          <w:color w:val="111111"/>
          <w:sz w:val="28"/>
          <w:sz w:val="28"/>
          <w:szCs w:val="28"/>
          <w:rtl w:val="true"/>
          <w:lang w:bidi="ar-SA"/>
        </w:rPr>
        <w:t>في أنّ وجوب السجود فوريّ على من قرأ إحدى العزائم الأربع أو سمعها أو استمع لها، وهل يشمل الحكم من سمع السجدة في الأوقات التي تكره الصلاة فيها، أي بعد صلاة الفجر إلى طلوع الشمس، وكذا قبل الغروب، أو أنّ السجدة في هذه الأوقات تؤخّر إلى ما بعد خروج الوقت؟</w:t>
      </w:r>
    </w:p>
    <w:p>
      <w:pPr>
        <w:pStyle w:val="BookText"/>
        <w:rPr/>
      </w:pP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يتخيّل الثاني استناداً إلى موثّقة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الرجل يسمع السجدة في الساعة التي لا يستقيم الصلاة فيها قبل غروب الشمس، وبعد صلاة الفجر،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يسجد</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بإيرادين، 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الموثّقة خاصّة بغير العزيمة، وذلك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تستقيم 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بهذه الصلاة إنّما هي النافلة؛ إذ هي التي يتوهّم أنّها لا تستقيم، وإلّا فلا شكّ في استقامة الفريضة؛ لامتداد وقتها من الفجر إلى طلوع الشمس، ولا يحتمل خفاء مثل هذا الحكم الواضح على مثل عمّار، فبمناسبة الحكم والموضوع يكون المراد من السجدة هي المستحبّة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569" w:name="pg9159_85181"/>
    </w:p>
    <w:p>
      <w:pPr>
        <w:pStyle w:val="BookText"/>
        <w:rPr/>
      </w:pPr>
      <w:bookmarkEnd w:id="569"/>
      <w:r>
        <w:rPr>
          <w:rFonts w:ascii="Amiri" w:hAnsi="Amiri" w:eastAsia="Amiri" w:cs="Amiri"/>
          <w:color w:val="111111"/>
          <w:sz w:val="28"/>
          <w:sz w:val="28"/>
          <w:szCs w:val="28"/>
          <w:rtl w:val="true"/>
          <w:lang w:bidi="ar-SA"/>
        </w:rPr>
        <w:t xml:space="preserve">ولم يتعرّض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الأخير عن وضوح حكم السجود قبل الغروب على مثل عمّار؛ لأنّه ربّما قيل بأنّ الظاهر من قبل الغروب هو قبيله بيسير، وإذا بنينا على أنّ الغروب يتحقّق بدخول الليل بعد ذهاب الحمرة المشرقية، فيحمل كلامه على أنّه بعد استتار قرص الشمس، وقبل ذهاب الحمرة، فيمكن أن يكون هذا الوقت ممّا لا تستقيم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صلاة الفجر، فلا يمكن الحمل على أنّ الفريضة لا تستقيم في هذا الوقت؛ لأنّ الفريضة تستقيم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غنىً حتّى عن هذا الجواب؛ 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الكلام في أنّ المقيّد هل هو علمنا بعدم إرادة السجدة الواجبة ولو لأجل وضوح الحكم على مثل عمّار، أو ما سمّاه بمناسبة الحكم والموضوع؟ وهل سيفهم العرف لو ألقي عليه مثل هذا الكلام أنّ الحكم مختصّ بالنافلة، فإنّه من الواضح أنّ مناسبة الحكم والموضوع لا يختلف الحال فيها بين الفقيه وغيره، ومن الصعب جدّاً البناء على أنّ العرف يتلقّى الكلام بالنحو الذي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482973_2870459653"/>
      <w:bookmarkStart w:id="571" w:name="_Toc218"/>
      <w:bookmarkEnd w:id="570"/>
      <w:r>
        <w:rPr>
          <w:rtl w:val="true"/>
        </w:rPr>
        <w:t>المورد العاشر</w:t>
      </w:r>
      <w:bookmarkEnd w:id="571"/>
    </w:p>
    <w:p>
      <w:pPr>
        <w:pStyle w:val="BookText"/>
        <w:rPr/>
      </w:pPr>
      <w:r>
        <w:rPr>
          <w:rFonts w:ascii="IRNazanin" w:hAnsi="IRNazanin" w:eastAsia="IRNazanin"/>
          <w:color w:val="111111"/>
          <w:sz w:val="28"/>
          <w:sz w:val="28"/>
          <w:szCs w:val="28"/>
          <w:rtl w:val="true"/>
          <w:lang w:bidi="fa-IR"/>
        </w:rPr>
        <w:t xml:space="preserve">في صحيحة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يموت وعليه صلاة أو صيام،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عنه أولى الناس بميراثه</w:t>
      </w:r>
      <w:r>
        <w:rPr>
          <w:rFonts w:eastAsia="IRNazanin" w:cs="IRNazanin"/>
          <w:color w:val="111111"/>
          <w:sz w:val="28"/>
          <w:szCs w:val="28"/>
          <w:rtl w:val="true"/>
          <w:lang w:bidi="fa-IR"/>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بوسعنا أن نأخذ بإطلاق هذه الصحيحة، ونحكم بأنّه يجب على الولي قضاء ما فات الميت من الصلاة عمداً؟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أفتى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العروة بأنّه يجب على وليّ الميت أن يقضي عنه ما فاته من الصلاة لعذر، فلا يشمل صورة ما لو ترك الصلاة عمداً، وفي مقام بيان مدركه </w:t>
      </w:r>
      <w:bookmarkStart w:id="572" w:name="pg9159_85182"/>
    </w:p>
    <w:p>
      <w:pPr>
        <w:pStyle w:val="BookText"/>
        <w:rPr/>
      </w:pPr>
      <w:bookmarkEnd w:id="572"/>
      <w:r>
        <w:rPr>
          <w:rFonts w:ascii="Amiri" w:hAnsi="Amiri" w:eastAsia="Amiri" w:cs="Amiri"/>
          <w:color w:val="111111"/>
          <w:sz w:val="28"/>
          <w:sz w:val="28"/>
          <w:szCs w:val="28"/>
          <w:rtl w:val="true"/>
          <w:lang w:bidi="ar-SA"/>
        </w:rPr>
        <w:t xml:space="preserve">في هذه المسألة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يقال من أنّ العامد يستحقّ العقاب فلا يجديه القضاء من الوليّ، لكونه بمثابة الكفّارة، وهي بمناسبة الحكم والموضوع تختصّ بالمعذور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وجه استحساني لا يركن إليه لإثبات حكم شرعي، ولا يقاوم الإطلاق</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وسواء كان هذا مراد السيّد اليزدي أو لا، فإنّ لازم هذا القول أنّ العرف يرى أنّ تشريع وجوب الكفّارة على من أفطر عمداً في نهار شهر رمضان للنصوص الدالّة على ذلك مصادمٌ لمناسبة الحكم والموضوع، فيرونه بحسب مرتكزاتهم تشريعاً غريباً يتصادم مع ما هو مغروس في أذهانهم، هذا مع أنّ الظاهر في الكفّارة كونها عقوبة دنيوية؛ لأجل التخفيف عنه في الآخرة كي لا يؤخذ بعقاب أشدّ، فكيف تكون مختصّة بالمعذور؟</w:t>
      </w:r>
    </w:p>
    <w:p>
      <w:pPr>
        <w:pStyle w:val="BookText"/>
        <w:rPr/>
      </w:pPr>
      <w:r>
        <w:rPr>
          <w:rFonts w:ascii="Amiri" w:hAnsi="Amiri" w:eastAsia="Amiri" w:cs="Amiri"/>
          <w:color w:val="111111"/>
          <w:sz w:val="28"/>
          <w:sz w:val="28"/>
          <w:szCs w:val="28"/>
          <w:rtl w:val="true"/>
          <w:lang w:bidi="ar-SA"/>
        </w:rPr>
        <w:t xml:space="preserve">ثمّ إنّ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الاستحسان الذي لا يركن إليه في إثبات حكم شرعي هو الصغرى، أعني دعوى أنّ مناسبة الحكم والموضوع في المقام تقتضي اختصاص الكفّارة بالمعذور، لا كبرى الاعتماد على مناسبة الحكم والموضوع في تقييد المطلق، وهو واضح</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3482975_2870459653"/>
      <w:bookmarkStart w:id="574" w:name="_Toc219"/>
      <w:bookmarkEnd w:id="573"/>
      <w:r>
        <w:rPr>
          <w:rtl w:val="true"/>
        </w:rPr>
        <w:t>المورد الحادي عشر</w:t>
      </w:r>
      <w:bookmarkEnd w:id="574"/>
    </w:p>
    <w:p>
      <w:pPr>
        <w:pStyle w:val="BookText"/>
        <w:rPr/>
      </w:pPr>
      <w:r>
        <w:rPr>
          <w:rFonts w:ascii="IRNazanin" w:hAnsi="IRNazanin" w:eastAsia="IRNazanin"/>
          <w:color w:val="111111"/>
          <w:sz w:val="28"/>
          <w:sz w:val="28"/>
          <w:szCs w:val="28"/>
          <w:rtl w:val="true"/>
          <w:lang w:bidi="fa-IR"/>
        </w:rPr>
        <w:t xml:space="preserve">ورد 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 صلّى ركعتين من المكتوبة، فسلّم وهو يرى أنّه قد أتمّ الصلاة، وتكلّم، ثمّ ذكر أنّه لم يصلّ غير ركعتين،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ما بقي من صلاته، ولا شيء عليه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غير واحد بظهور هذه الصحيحة في عدم وجوب سجود السهو للتكلّم </w:t>
      </w:r>
      <w:bookmarkStart w:id="575" w:name="pg9159_85183"/>
    </w:p>
    <w:p>
      <w:pPr>
        <w:pStyle w:val="BookText"/>
        <w:rPr/>
      </w:pPr>
      <w:bookmarkEnd w:id="575"/>
      <w:r>
        <w:rPr>
          <w:rFonts w:ascii="IRNazanin" w:hAnsi="IRNazanin" w:eastAsia="IRNazanin"/>
          <w:color w:val="111111"/>
          <w:sz w:val="28"/>
          <w:sz w:val="28"/>
          <w:szCs w:val="28"/>
          <w:rtl w:val="true"/>
          <w:lang w:bidi="fa-IR"/>
        </w:rPr>
        <w:t xml:space="preserve">ساهياً، بتقريب أنّ المنفيّ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يحتمل أن يكون هو الإثم؛ لعدم احتماله في مورد السهو، ولا الإعادة؛ لأنّ الأمر بالإتمام يلازم الصحّة، والحمل على التأكيد خلاف الأصل، وليس ثمّة أثر يتوهّم ترتّبه كي يتصدّى لنفيه عدا سجدتي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المنسبق إلى الذهن والمتفاهم العرفي من مثل هذه العبارة هو التأكيد، كما لعلّه الدارج المتعارف في الاستعمالات في عصرنا الحاضر، فنجيب عن نظير المسألة بأنّه يتمّ صلاته ولا شيء عليه، ونعني به نفي الإعادة تأكيداً لما 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وأولوية التأسيس من التأكيد ليست قاعدة مطّردة وضابطاً كلّياً، بل يختلف ذلك حسب اختلاف الموارد وخصوصياتها ومناسبات الحكم والموضوع، فربّما يكون التأكيد هو الظاهر من الكلام كما في المقام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3482977_2870459653"/>
      <w:bookmarkStart w:id="577" w:name="_Toc220"/>
      <w:bookmarkEnd w:id="576"/>
      <w:r>
        <w:rPr>
          <w:rtl w:val="true"/>
        </w:rPr>
        <w:t>السادس</w:t>
      </w:r>
      <w:r>
        <w:rPr>
          <w:rtl w:val="true"/>
        </w:rPr>
        <w:t xml:space="preserve">: </w:t>
      </w:r>
      <w:r>
        <w:rPr>
          <w:rtl w:val="true"/>
        </w:rPr>
        <w:t xml:space="preserve">موارد اعتماد شيخنا الأستاذ الشيخ الوحيد الخراساني </w:t>
      </w:r>
      <w:r>
        <w:rPr>
          <w:rtl w:val="true"/>
        </w:rPr>
        <w:t>(</w:t>
      </w:r>
      <w:r>
        <w:rPr>
          <w:rtl w:val="true"/>
        </w:rPr>
        <w:t>دام ظله</w:t>
      </w:r>
      <w:r>
        <w:rPr>
          <w:rtl w:val="true"/>
        </w:rPr>
        <w:t>)</w:t>
      </w:r>
      <w:bookmarkEnd w:id="577"/>
    </w:p>
    <w:p>
      <w:pPr>
        <w:pStyle w:val="Heading5"/>
        <w:numPr>
          <w:ilvl w:val="4"/>
          <w:numId w:val="1"/>
        </w:numPr>
        <w:rPr/>
      </w:pPr>
      <w:bookmarkStart w:id="578" w:name="__RefHeading___Toc3482979_2870459653"/>
      <w:bookmarkStart w:id="579" w:name="_Toc221"/>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 xml:space="preserve">وقد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الحكم والموضوع في مواضع كثيرة في الفقه والأصول، ونذكر بعض هذه المواضع ممّا جاء في بحث الخيارات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الراغب</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482981_2870459653"/>
      <w:bookmarkStart w:id="581" w:name="_Toc222"/>
      <w:bookmarkEnd w:id="580"/>
      <w:r>
        <w:rPr>
          <w:rtl w:val="true"/>
        </w:rPr>
        <w:t>المورد الأوّل</w:t>
      </w:r>
      <w:bookmarkEnd w:id="58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تصحيح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بدّ من ملاحظة مناسبة الحكم للموضوع؛ فإنّ المناسبة المذكورة من القرائن الارتكازية العقلائية العرفية الحافّة بالكلام، وهي قد توسّع دائرة الموضوع وقد </w:t>
      </w:r>
      <w:bookmarkStart w:id="582" w:name="pg9159_85184"/>
    </w:p>
    <w:p>
      <w:pPr>
        <w:pStyle w:val="BookText"/>
        <w:rPr/>
      </w:pPr>
      <w:bookmarkEnd w:id="582"/>
      <w:r>
        <w:rPr>
          <w:rFonts w:ascii="Amiri" w:hAnsi="Amiri" w:eastAsia="Amiri" w:cs="Amiri"/>
          <w:color w:val="111111"/>
          <w:sz w:val="28"/>
          <w:sz w:val="28"/>
          <w:szCs w:val="28"/>
          <w:rtl w:val="true"/>
          <w:lang w:bidi="ar-SA"/>
        </w:rPr>
        <w:t>تضيّقه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تعريف مكتمل الأركان لمناسبة الحكم والموضوع، وليس هو في مقام الحصر والاستقصاء من جهة آثار هذه القرينة، وإنّما المقصود من ذكر هذين الأثرين بالخصوص هو أنّ هذه القرينة ليست دائماً مضيّقة للموضوع، كما أنّها ليست دائماً موسّعة له</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482983_2870459653"/>
      <w:bookmarkStart w:id="584" w:name="_Toc223"/>
      <w:bookmarkEnd w:id="583"/>
      <w:r>
        <w:rPr>
          <w:rtl w:val="true"/>
        </w:rPr>
        <w:t>المورد الثاني</w:t>
      </w:r>
      <w:bookmarkEnd w:id="584"/>
    </w:p>
    <w:p>
      <w:pPr>
        <w:pStyle w:val="BookText"/>
        <w:rPr/>
      </w:pPr>
      <w:r>
        <w:rPr>
          <w:rFonts w:ascii="Amiri" w:hAnsi="Amiri" w:eastAsia="Amiri" w:cs="Amiri"/>
          <w:color w:val="111111"/>
          <w:sz w:val="28"/>
          <w:sz w:val="28"/>
          <w:szCs w:val="28"/>
          <w:rtl w:val="true"/>
          <w:lang w:bidi="ar-SA"/>
        </w:rPr>
        <w:t xml:space="preserve">في أنّ المراد من الحيوان في خياره، هل هو خصوص ما يقصد بقاؤه، أو مطلق ما فيه الحياة؟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واستدلّ عليه بمناسبة الحكم والموضوع، وبيّنه شيخنا الأستاذ بأنّ الإطلاق إنّما ينعقد في صورة عدم القرينة على انصراف موضوع الحكم إلى حصّة منه، ومن موجبات صرف الطبيعة إلى بعض الحصص مناسبة الحكم والموضوع</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يقيّد الموضوع هو العلّة، وأمّا الحكمة فلا تمنع من الإطلاق، ولا تكون سارية في جميع الأفراد، وبعبارةٍ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لا تطّرد، ومعنى هذا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مناسبة الحكم والموضوع الواردة في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بحكمة التشريع، واعترض عليه بأنّ الحكمة لا تطّرد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ودافع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الذي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مرتبط بما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فإنّه لم يستند إلى </w:t>
      </w:r>
      <w:bookmarkStart w:id="585" w:name="pg9159_85185"/>
    </w:p>
    <w:p>
      <w:pPr>
        <w:pStyle w:val="BookText"/>
        <w:rPr/>
      </w:pPr>
      <w:bookmarkEnd w:id="585"/>
      <w:r>
        <w:rPr>
          <w:rFonts w:ascii="Amiri" w:hAnsi="Amiri" w:eastAsia="Amiri" w:cs="Amiri"/>
          <w:color w:val="111111"/>
          <w:sz w:val="28"/>
          <w:sz w:val="28"/>
          <w:szCs w:val="28"/>
          <w:rtl w:val="true"/>
          <w:lang w:bidi="ar-SA"/>
        </w:rPr>
        <w:t xml:space="preserve">الحكمة، وإنّما إلى مناسبة الحكم والموضوع، وبينهما فرق؛ فإنّ الأولى وإن كانت لا تعمّم ولا تخصّص إلّا أنّ الثانية توجب التعميم والتخصيص، فلو سئل عن ملاقاة البول للثوب وكان الجواب هو الحكم بالنجاسة، فإنّ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الانفعال بالنجاسة والملاقاة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الفرق بين الموضوعات، وعدم الاختصاص بالثوب وإن كان السؤال عنه، وهكذا الكلام من جهة التخصيص؛ فإنّ تناسب الحكم والموضوع ممّا يقيّد الموضوع</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تصريح منه بأنّ مناسبة الحكم والموضوع ليست هي حكمة التشريع</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3482985_2870459653"/>
      <w:bookmarkStart w:id="587" w:name="_Toc224"/>
      <w:bookmarkEnd w:id="586"/>
      <w:r>
        <w:rPr>
          <w:rtl w:val="true"/>
        </w:rPr>
        <w:t>المورد الثالث</w:t>
      </w:r>
      <w:bookmarkEnd w:id="587"/>
    </w:p>
    <w:p>
      <w:pPr>
        <w:pStyle w:val="BookText"/>
        <w:rPr/>
      </w:pPr>
      <w:r>
        <w:rPr>
          <w:rFonts w:ascii="Amiri" w:hAnsi="Amiri" w:eastAsia="Amiri" w:cs="Amiri"/>
          <w:color w:val="111111"/>
          <w:sz w:val="28"/>
          <w:sz w:val="28"/>
          <w:szCs w:val="28"/>
          <w:rtl w:val="true"/>
          <w:lang w:bidi="ar-SA"/>
        </w:rPr>
        <w:t xml:space="preserve">في أنّ خيار الغبن على الفور أو التراخي، اختار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بالفور مستدلَّاً بالاستصحاب، وناقشه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بتفصيل مبنيّ على مناسبة الحكم والموضوع، وحاصل هذا التفصيل أنّه قد يحرز بمقتضى مناسبة الحكم والموضوع أنّ المدار في موضوع الحكم هو الحدوث، ومثال ذلك النجاسة التي تعرض الماء الكثير عند تغيّره بوصف النجاسة، فإنّه لو زال التغيّر من تلقاء نفسه فالنجاسة باقية؛ لأنّ العرف بارتكازه يرى أنّ موضوع الحكم بالنجاسة هو حدوث التغيّر على الماء، فالموضوع للنجس الذي يحكم العرف بأنّه نجس هو الماء، والتغيّر بنظر العرف علّة لثبوت النجاسة للماء، فإذا ارتفع التغيّر فالموضوع باقٍ؛ لأنّ الماء موجود، والنجاسة باقية لعدم وجود الرافع لها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يحرز العرف أنّ موضوع الحكم هو الشيء مع وصفٍ، بحيث يكون ذلك الوصف حيثية تقييدية، فإذا زال الوصف فقد ارتفع الموضوع، مثاله الفقر والفقاهة، </w:t>
      </w:r>
      <w:bookmarkStart w:id="588" w:name="pg9159_85186"/>
    </w:p>
    <w:p>
      <w:pPr>
        <w:pStyle w:val="BookText"/>
        <w:rPr/>
      </w:pPr>
      <w:bookmarkEnd w:id="588"/>
      <w:r>
        <w:rPr>
          <w:rFonts w:ascii="Amiri" w:hAnsi="Amiri" w:eastAsia="Amiri" w:cs="Amiri"/>
          <w:color w:val="111111"/>
          <w:sz w:val="28"/>
          <w:sz w:val="28"/>
          <w:szCs w:val="28"/>
          <w:rtl w:val="true"/>
          <w:lang w:bidi="ar-SA"/>
        </w:rPr>
        <w:t>فموضوع الزكاة مثلاً هو الإنسان الفقير، يعني ما دام فقيراً، فإذا ارتفع الفقر ارتفع الموضوع، وإن كان الإنسان باقياً، وكذلك موضوع التقليد والاتّباع، فإنّ الموضوع هو الفقيه ما دام هذا الوصف ثابتاً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الموضوع مردّداً، أي لا يحرز أنّه من هذا القبيل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يناقش في هذه الكبرى، أي أنّ هذا التقسيم الثبوتي صحيح عنده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3482987_2870459653"/>
      <w:bookmarkStart w:id="590" w:name="_Toc225"/>
      <w:bookmarkEnd w:id="589"/>
      <w:r>
        <w:rPr>
          <w:rtl w:val="true"/>
        </w:rPr>
        <w:t>المورد الرابع</w:t>
      </w:r>
      <w:bookmarkEnd w:id="590"/>
    </w:p>
    <w:p>
      <w:pPr>
        <w:pStyle w:val="BookText"/>
        <w:rPr/>
      </w:pPr>
      <w:r>
        <w:rPr>
          <w:rFonts w:ascii="IRNazanin" w:hAnsi="IRNazanin" w:eastAsia="IRNazanin"/>
          <w:color w:val="111111"/>
          <w:sz w:val="28"/>
          <w:sz w:val="28"/>
          <w:szCs w:val="28"/>
          <w:rtl w:val="true"/>
          <w:lang w:bidi="fa-IR"/>
        </w:rPr>
        <w:t xml:space="preserve">في أنّ مورد خيار الرؤية خصوص المشتري، أو الأعمّ منه ومن البائع، وقد أفاد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المستند في هذا الخيار إن كان صحيحة جميل بن درّاج التي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ضيعة، وقد كان يدخلها ويخرج منها، فلمّا أن نقد المال صار إلى الضيعة فقلبها، ثمّ رجع فاستقال صاحبه فلم يقله،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أنّه قلب منها، أو نظر إلى تسع وتسعين قطعة منها، ثمّ بقي منها قطعة ولم يرها لكان له في ذلك خيار الرؤية</w:t>
      </w:r>
      <w:r>
        <w:rPr>
          <w:rFonts w:eastAsia="IRNazanin" w:cs="IRNazanin"/>
          <w:color w:val="111111"/>
          <w:sz w:val="28"/>
          <w:szCs w:val="28"/>
          <w:rtl w:val="true"/>
          <w:lang w:bidi="fa-IR"/>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فالتعميم للبائع في غاية الإشكال؛ لاختصاصها بالمشتري، والتعدّي إلى البائع يحتاج إلى الدليل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العلماء ذكروا وجهين للتعدّي منه،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خصوصية المشتري وإن كان هو موضوع الحكم، وأردفه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أنّ إلغاء الخصوصية على خلاف الأصل ذكروا لاختياره سببين</w:t>
      </w:r>
      <w:r>
        <w:rPr>
          <w:rFonts w:eastAsia="Amiri" w:cs="Amiri" w:ascii="Amiri" w:hAnsi="Amiri"/>
          <w:color w:val="111111"/>
          <w:sz w:val="28"/>
          <w:szCs w:val="28"/>
          <w:rtl w:val="true"/>
          <w:lang w:bidi="ar-SA"/>
        </w:rPr>
        <w:t xml:space="preserve">: </w:t>
      </w:r>
      <w:bookmarkStart w:id="591" w:name="pg9159_85187"/>
    </w:p>
    <w:p>
      <w:pPr>
        <w:pStyle w:val="BookText"/>
        <w:rPr/>
      </w:pPr>
      <w:bookmarkEnd w:id="59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للموضوع عرفاً، بحيث يكون حجّة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تنقيح المناط فما لم يصل إلى حدّ القطع فلا يفيد؛ لعدم تجاوزه القياس الظنّي، والظنّ لا يغني من الحقّ شيئاً، وحصول القطع مع خفاء مناطات الأحكام نفس الأمرية علينا لا طريق له عند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مناسبة الحكم 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تقتضي إلغاء الخصوصية عرفاً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الحكم بتنجّس الثوب بملاقاته للنجاسة؛ فإنّه يتعدّى إلى غيره مع كون الموضوع خاصّاً؛ لأنّ مناسبة الحكم للموضوع تقضي بكون العبرة بانفعال الملاقي للنجاسة بها، ولا يختصّ الانفعال 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توجب التعميم في المقام؛ لكون المناسبة فيه هي الإرفاق فقط</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المراد بمناسبة الحكم للموضوع هو حكمة التشريع، مع أنّه في المورد الثاني اعترض على السيّد الخوئي لمّا حمل مناسبة الحكم والموضوع في كلام النائيني على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مناسبة الحكم للموضوع بحيث يكون حجّة في الفقه يوحي بأنّه ربّما ادّعيت مناسبة الحكم والموضوع لمجرّد الظنّ بالمناسبة، أو احتمالها، وهذا القيد منه يعطي بأنّه قد وجد بعض الفقهاء قد استندوا إلى مناسبة الحكم والموضوع في مورد لا ينبغي الاستناد إليها فيه، ويؤخذ منه أيضاً أنّ مناسبة الحكم والموضوع عنده غير تنقيح المناط</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482989_2870459653"/>
      <w:bookmarkStart w:id="593" w:name="_Toc226"/>
      <w:bookmarkEnd w:id="592"/>
      <w:r>
        <w:rPr>
          <w:rtl w:val="true"/>
        </w:rPr>
        <w:t>المورد الخامس</w:t>
      </w:r>
      <w:bookmarkEnd w:id="59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مسقطات خيار الرؤية، وهناك بحث مسألة الإسقاط قبل الرؤية، وتعرّض للإشكال في الإسقاط على القول بعدم كاشفية الرؤية، وفي ثنايا </w:t>
      </w:r>
      <w:bookmarkStart w:id="594" w:name="pg9159_85188"/>
    </w:p>
    <w:p>
      <w:pPr>
        <w:pStyle w:val="BookText"/>
        <w:rPr/>
      </w:pPr>
      <w:bookmarkEnd w:id="594"/>
      <w:r>
        <w:rPr>
          <w:rFonts w:ascii="Amiri" w:hAnsi="Amiri" w:eastAsia="Amiri" w:cs="Amiri"/>
          <w:color w:val="111111"/>
          <w:sz w:val="28"/>
          <w:sz w:val="28"/>
          <w:szCs w:val="28"/>
          <w:rtl w:val="true"/>
          <w:lang w:bidi="ar-SA"/>
        </w:rPr>
        <w:t>كلامه تعرّض لمرجعية العرف، وأنّها منحصرة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مفاهيم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الأعمّ من مفاهيم الألفاظ وظهورات الجمل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مناسبة الحكم للموضوعات، مثلاً عندما يُسأل عن حكم ملاقاة البول للثوب، فيأتي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بالماء، فإنّ الثوب وإن كان هو موضوع الحكم في السؤال، ولكن مناسبة الحكم والموضوع تقتضي عدم الخصوصية لمورد السؤال، وأنّ التأثير والتأثّر بالنجس عامّ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3482991_2870459653"/>
      <w:bookmarkStart w:id="596" w:name="_Toc227"/>
      <w:bookmarkEnd w:id="595"/>
      <w:r>
        <w:rPr>
          <w:rtl w:val="true"/>
        </w:rPr>
        <w:t>المورد السادس</w:t>
      </w:r>
      <w:bookmarkEnd w:id="596"/>
    </w:p>
    <w:p>
      <w:pPr>
        <w:pStyle w:val="BookText"/>
        <w:rPr/>
      </w:pPr>
      <w:r>
        <w:rPr>
          <w:rFonts w:ascii="Amiri" w:hAnsi="Amiri" w:eastAsia="Amiri" w:cs="Amiri"/>
          <w:color w:val="111111"/>
          <w:sz w:val="28"/>
          <w:sz w:val="28"/>
          <w:szCs w:val="28"/>
          <w:rtl w:val="true"/>
          <w:lang w:bidi="ar-SA"/>
        </w:rPr>
        <w:t xml:space="preserve">ما ذكره في مسقطات خيار العيب، فقد ناقش ما اعتمده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من النصوص المتعدّدة في الأبواب المختلفة أنّ غرامة إزالة البكارة عشر قيمة الجارية بأنّ إسراء ذلك الحكم من هذه الموضوعات إلى ذلك الموضوع لا يصحّ إلّا بأحد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إلغاء الخصوصية، والآخر تنقيح المناط</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بإلغاء الخصوصية ذكر أنّها مشروطة بوجود مناسبة بين الحكم والموضوع تقتضي الإلغاء، وإلّا فمقتضى الأصل هو خصوصية العنوان المأخوذ في الموضوع، بمعنى أنّ الأصل احترازية القيود، وبهذا أمكن إلغاء الخصوصية في موارد إحراز العرف عدمها، كما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الحكم يتعدّى إلى غير الثوب؛ لأنّ العرف يحرز أنّ المدار في مثل هذا على الانفعال بالنجس بسبب </w:t>
      </w:r>
    </w:p>
    <w:p>
      <w:pPr>
        <w:pStyle w:val="BookText"/>
        <w:rPr/>
      </w:pPr>
      <w:r>
        <w:rPr>
          <w:rFonts w:ascii="Amiri" w:hAnsi="Amiri" w:eastAsia="Amiri" w:cs="Amiri"/>
          <w:color w:val="111111"/>
          <w:sz w:val="28"/>
          <w:sz w:val="28"/>
          <w:szCs w:val="28"/>
          <w:rtl w:val="true"/>
          <w:lang w:bidi="ar-SA"/>
        </w:rPr>
        <w:t>الملاقاة للدم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من أين يحرز العرف عدم الخصوصية في الأحكام التعبّدية؟ فهذا البيان له مجال في الأحكام غير التعبّدية، كالأحكام المرتبطة بأبواب المعاملات والطهارة، فإنّ الفقهاء يصرّحون بأنّ الطهارة ليست تعبّداً صرفاً، بل لوحظ فيها جهة القذارة، ومن ثَمَّ حكموا بجملة من الأحكام في باب الطهارة، مثل اعتبار الرطوبة المسرية وأمثال ذلك من الأمور؛ استناداً إلى كون الطهارة ليست تعبّداً صرفاً، فيكون للعرف مسلك للدخول في مثل هذه الأحكام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ثابت لهذا الموضوع من جهة عامّة، ولا خصوصية فيه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كان معنى مناسبة الحكم والموضوع هو جزم العرف بعدم دخل هذه الخصوصية في موضوع الحكم فلا بدّ أن لا نستعين بمناسبة الحكم والموضوع في باب الصلاة مثلاً، وكذا غيرها من الأمور التعبّدية الصرفة، والحال أنّهم يتمسّكون بمناسبة الحكم والموضوع في سائر الأبواب الفقهية</w:t>
      </w:r>
      <w:r>
        <w:rPr>
          <w:rFonts w:eastAsia="Amiri" w:cs="Amiri" w:ascii="Amiri" w:hAnsi="Amiri"/>
          <w:color w:val="111111"/>
          <w:sz w:val="28"/>
          <w:szCs w:val="28"/>
          <w:rtl w:val="true"/>
          <w:lang w:bidi="ar-SA"/>
        </w:rPr>
        <w:t>.</w:t>
      </w:r>
      <w:bookmarkStart w:id="597" w:name="pg9159_85190"/>
    </w:p>
    <w:p>
      <w:pPr>
        <w:pStyle w:val="Heading3"/>
        <w:numPr>
          <w:ilvl w:val="2"/>
          <w:numId w:val="1"/>
        </w:numPr>
        <w:rPr/>
      </w:pPr>
      <w:bookmarkStart w:id="598" w:name="__RefHeading___Toc3482993_2870459653"/>
      <w:bookmarkStart w:id="599" w:name="_Toc228"/>
      <w:bookmarkEnd w:id="597"/>
      <w:bookmarkEnd w:id="598"/>
      <w:r>
        <w:rPr>
          <w:rtl w:val="true"/>
        </w:rPr>
        <w:t>نتائج البحث</w:t>
      </w:r>
      <w:bookmarkEnd w:id="599"/>
    </w:p>
    <w:p>
      <w:pPr>
        <w:pStyle w:val="BookText"/>
        <w:rPr/>
      </w:pPr>
      <w:r>
        <w:rPr>
          <w:rFonts w:ascii="Amiri" w:hAnsi="Amiri" w:eastAsia="Amiri" w:cs="Amiri"/>
          <w:color w:val="111111"/>
          <w:sz w:val="28"/>
          <w:sz w:val="28"/>
          <w:szCs w:val="28"/>
          <w:rtl w:val="true"/>
          <w:lang w:bidi="ar-SA"/>
        </w:rPr>
        <w:t xml:space="preserve">والذي تلخّص من ملاحظة كلمات جملة من العلماء في ما يتعلّق بهذه المسألة هو أنّ العلماء قد اختلفوا في أنّها قرينة أو دليل، وأنّ من عدّها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لها أثر على الدليل فتغيّر من دلالته 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على ذلك جملةً من الآثار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الحكم أو موضوعه، ومن ذلك مسألة تولّي الزوج تغسيل زوجته، فإنّ مناسبة الحكم والموضوع توسّعه إلى المتمتّع بها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تحريم بيع أمّ الولد، فإنّها توسّع الحكم إلى أنّها لا توهب ولا تنقل بالصلح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حرمة مسّ الجنب اسمَ الله، فإنّها توسّع الموضوع إلى كلّ ما أنبأ عن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كفاية التسبيحة الواحدة للمريض، فإنّها توسّعه إلى من ضاق الوقت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غسل الثوب من الدم، فإنّها توسّعه إلى غيره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الحكم أو موضوعه، ومن ذلك وجوب الوفاء بالعقود، فقد خصّته هذه المناسبة بالعقد الصادر من العاقد نفسه، لا كلّ عقدٍ وقع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الأمر بغسل موضع النجو، فقد خصّته بما إذا تلوّث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مسّ الجنب ديناراً عليه اسم الله، فقد خصّته بموضع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خيار الحيوان للمشتري، فقد خصّته بما يقصد استحياؤه، والخيار في بيع الحيوان، فقد خصّته بالمشتري دون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مبطلية الشكّ للصلاة، فقد خصّته بالفريضة، والقصر للمسافر، فقد خصّته بالسفر المباح، والإتمام للمتردّد، فقد خصّته بالتوالي، واستحباب الأذان، فقد خصّته بالرجال، وتقديم صلاة الليل إذا كان الليل قصيراً، فقد خصّته بمن خاف الفوت، </w:t>
      </w:r>
    </w:p>
    <w:p>
      <w:pPr>
        <w:pStyle w:val="BookText"/>
        <w:rPr/>
      </w:pPr>
      <w:r>
        <w:rPr>
          <w:rFonts w:ascii="Amiri" w:hAnsi="Amiri" w:eastAsia="Amiri" w:cs="Amiri"/>
          <w:color w:val="111111"/>
          <w:sz w:val="28"/>
          <w:sz w:val="28"/>
          <w:szCs w:val="28"/>
          <w:rtl w:val="true"/>
          <w:lang w:bidi="ar-SA"/>
        </w:rPr>
        <w:t>والجهر بتكبيرة واحدة من السبع، فقد خصّته بتكبيرة الإحرام، وجواز العدول إلى سورة الجمعة يوم الجمعة لمن بدأ بالتوحيد، فقد خصّته بصلاة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إفطار المريض، فقد خصّته بمن شقّ عليه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على الاستحباب والنهي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الموضوع على كونه حيثية تعليلية للحكم، فيثبت الحكم عند حدوث الموضوع، ويبقى ولو ارتفع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نجاسة الماء الكثير بتغيّر أوصافه؛ فإنّ التغيّر بحدوثه علّة لطروّ النجاسة على الماء، فإذا زال التغيّر من تلقاء نفسه بقيت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الموضوع على كونه حيثية تقييدية للحكم، فيكون الحكم تابعاً للموضوع حدوثاً وبقاءً،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أو النهي على التأكيد لا التأسيس خلافاً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العنوان المذكور في النصّ على المرآتية، بأن يكون عنواناً مشيراً على خلاف الأصل الأوّلي من احترازية العناوين، وأنّ للعناوين المذكورة موضوعية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أختم الحديث في مناسبة الحكم والموضوع، حامداً، مصلّياً، مسلّماً، مستغفراً، والحمد لله ربّ العالمين، والصلاة والسلام على أشرف الخلق أجمعين، محمّد وعترته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تعالى بعد المغفرة أن يجعله خالصاً لوجهه الكريم بمنّه وكرمه</w:t>
      </w:r>
      <w:r>
        <w:rPr>
          <w:rFonts w:eastAsia="Amiri" w:cs="Amiri" w:ascii="Amiri" w:hAnsi="Amiri"/>
          <w:color w:val="111111"/>
          <w:sz w:val="28"/>
          <w:szCs w:val="28"/>
          <w:rtl w:val="true"/>
          <w:lang w:bidi="ar-SA"/>
        </w:rPr>
        <w:t xml:space="preserve">. </w:t>
      </w:r>
      <w:bookmarkStart w:id="600" w:name="pg9159_85192"/>
    </w:p>
    <w:p>
      <w:pPr>
        <w:pStyle w:val="Heading3"/>
        <w:numPr>
          <w:ilvl w:val="2"/>
          <w:numId w:val="1"/>
        </w:numPr>
        <w:rPr/>
      </w:pPr>
      <w:bookmarkStart w:id="601" w:name="__RefHeading___Toc3482995_2870459653"/>
      <w:bookmarkStart w:id="602" w:name="_Toc229"/>
      <w:bookmarkEnd w:id="600"/>
      <w:bookmarkEnd w:id="601"/>
      <w:r>
        <w:rPr>
          <w:rtl w:val="true"/>
        </w:rPr>
        <w:t>مصادر البحث</w:t>
      </w:r>
      <w:bookmarkEnd w:id="60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جلال الدين عبد الرحمن بن أبي بكر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المندوب،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أجود التقريرات، تقرير بحث المحقّق الميرزا محمّد حسين الغروي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الموسوي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الثانية،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الآصفي،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الفقه والأصول المختصّة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الفوائد في شرح إشكالات القواعد، 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الموسوي الكرماني، الشيخ عليّ بناه الاشتهاردي، الشيخ عبد الرحيم </w:t>
      </w:r>
    </w:p>
    <w:p>
      <w:pPr>
        <w:pStyle w:val="BookText"/>
        <w:rPr/>
      </w:pPr>
      <w:r>
        <w:rPr>
          <w:rFonts w:ascii="Amiri" w:hAnsi="Amiri" w:eastAsia="Amiri" w:cs="Amiri"/>
          <w:color w:val="111111"/>
          <w:sz w:val="28"/>
          <w:sz w:val="28"/>
          <w:szCs w:val="28"/>
          <w:rtl w:val="true"/>
          <w:lang w:bidi="ar-SA"/>
        </w:rPr>
        <w:t xml:space="preserve">البروجردي، المطبعة العلميّة بقم، الطبعة الأولى،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شرح العروة الوثقى،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الطبعة الأولى،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أصول الفقه، إمام الحرمين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العظيم محمود الديب، 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الطبعة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الراغب في مباني المكاسب، تقرير بحث الشيخ الوحيد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نزار آل سنبل القطيفي،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المشرّفة، الطبعة الأولى،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الفقيه، السيّد محمّد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تقي آل بحر العلوم، وابنه السيّد حسين بن السيّد محمّد تقي آل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إيران، الطبعة الرابعة،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محبّ الدين السيّد محمّد مرتضى الحسيني الزبيدي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البحر المحيط، أبو عبد الله، محمّد بن يوسف بن عليّ بن يوسف بن حيّان الأندلسي الجياني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حيان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التحرير والتنوير، الشيخ محمّد الطاهر 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التونسيّة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في علوم القرآن، الشيخ محمّد هادي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الثالثة،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أبو عمر، يوسف ابن عبد البر النمري الحافظ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العلوي ومحمّد عبد الكبير البكري،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في شرح المكاسب، تقرير بحث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الشيخ ميرزا عليّ الغروي،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الطبعة الرابعة،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مسلم بن الحجّاج 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العلوم في اصطلاحات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القاضي عبد النبيّ بن عبد الرسول الأحمد نگري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ﻫ</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شرائع الإسلام، الشيخ زين الدين بن عليّ بن أحمد العامليّ الجبعيّ، </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بقم المشرّفة، قسم إحياء التراث الإسلامي،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كتاب المكاسب، الشيخ محمّد حسين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محمّد آل سباع القطيفي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كتاب المكاسب، آقا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الأنصاري القمّي،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الإيرواني،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إيران،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إيران، الطبعة الخامسة،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الشيخ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الشريف المرتضى، السيّد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السيّد الكلبايكاني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المير داماد محمّد باقر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غلام حسين قيصريه ها، ونعمة الله الجليلي،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مؤسّسة دار الحديث الثقافية،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الشيخ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جامعة النجف الدينية،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الرضي على الكافية، رضي الدين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حسن عمر،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قاريونس،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المغني في أصول الفقه، الشيخ منصور بن أحمد القاءاني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بن عبد العزيز المبارك، رسالة ماجستير في كلّية الشريعة بالرياض، جامعة الإمام محمّد بن سعود الإسلامية، عام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دار العلم للملايين،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بالأوفست عن طبعة دار الطباعة العامرة بإستانبول،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العدّة في أصول الفقه،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عدّة من الفقهاء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الشيخ الصدوق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ومطبعتها في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الحسين القائيني،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إسلامي 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المشرّفة،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تقرير بحث المحقّق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المليّة لشرح الرسالة النفليّة، الشيخ زين الدين بن عليّ بن أحمد العامليّ الجبعيّ،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قسم إحياء التراث الإسلامي، المحقّق محمّد حسين مولويّ،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بقم المشرّفة،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الشيخ مجد الدين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للجميع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الشيخ الجليل أبو العبّاس،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 الشيخ جمال الدين، أبو منصور، الحسن بن يوسف بن المطهّر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المشرّفة،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إيران،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مركز بحوث دار الحديث،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الشيخ عبد الكريم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إيران،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تقرير بحث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العين،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w:t>
      </w:r>
    </w:p>
    <w:p>
      <w:pPr>
        <w:pStyle w:val="BookText"/>
        <w:rPr/>
      </w:pPr>
      <w:r>
        <w:rPr>
          <w:rFonts w:ascii="Amiri" w:hAnsi="Amiri" w:eastAsia="Amiri" w:cs="Amiri"/>
          <w:color w:val="111111"/>
          <w:sz w:val="28"/>
          <w:sz w:val="28"/>
          <w:szCs w:val="28"/>
          <w:rtl w:val="true"/>
          <w:lang w:bidi="ar-SA"/>
        </w:rPr>
        <w:t>المخزومي، والدكتور إبراهيم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الطبعة الثانية في إيران،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عن قواعد الأحكام، الشيخ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الأصول، الأستاذ الأعظم الآخوند الشيخ محمّد كاظم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أبو الفضل، جمال الدين، محمّد بن مكرم بن منظور الأفريقي المصري،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الرسائل، الشيخ لطف الله الصافي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المعاني، 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 الشيخ زين الدين بن عليّ الجبعي العاملي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السرويّة، الشيخ المفيد، محمّد بن محمّد بن النعمان ابن المعلّم، أبو عبد </w:t>
      </w:r>
    </w:p>
    <w:p>
      <w:pPr>
        <w:pStyle w:val="BookText"/>
        <w:rPr/>
      </w:pPr>
      <w:r>
        <w:rPr>
          <w:rFonts w:ascii="Amiri" w:hAnsi="Amiri" w:eastAsia="Amiri" w:cs="Amiri"/>
          <w:color w:val="111111"/>
          <w:sz w:val="28"/>
          <w:sz w:val="28"/>
          <w:szCs w:val="28"/>
          <w:rtl w:val="true"/>
          <w:lang w:bidi="ar-SA"/>
        </w:rPr>
        <w:t xml:space="preserve">الله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عبد الحميد،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الطبعة الرابعة،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الأصول، تقرير بحث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سرور الواعظ الحسيني البهسودي،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إيران،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تقرير بحث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التوحيدي التبريزي،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المطبعة العلميّة، الطبعة الأولى المحقّقة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المحقّق آقا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الباقري، الشيخ نور عليّ النوري، الشيخ محمّد الميرزائي،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عن كتب الأعاريب، أبو محمّد، عبد الله بن يوسف ابن هشام الأنصاري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بمصر،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الشيخ الصدوق أبو جعفر، محمّد بن عليّ بن الحسين بن </w:t>
      </w:r>
    </w:p>
    <w:p>
      <w:pPr>
        <w:pStyle w:val="BookText"/>
        <w:rPr/>
      </w:pPr>
      <w:r>
        <w:rPr>
          <w:rFonts w:ascii="Amiri" w:hAnsi="Amiri" w:eastAsia="Amiri" w:cs="Amiri"/>
          <w:color w:val="111111"/>
          <w:sz w:val="28"/>
          <w:sz w:val="28"/>
          <w:szCs w:val="28"/>
          <w:rtl w:val="true"/>
          <w:lang w:bidi="ar-SA"/>
        </w:rPr>
        <w:t xml:space="preserve">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الخوارزمي، الموفّق بن أحمد بن محمّد البكري المكّي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الطبعة الثانية،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الأصول، تقرير أبحاث السيّد محمّد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الشهيد 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الطالب في شرح المكاسب، تقرير بحث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بن محمّد النجفي الخوانساري،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تقرير أبحاث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 الطبعة الأولى،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التخصّصيّة للشهيد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نضد القواعد الفقهية على مذهب الإمامية، الشيخ مقداد بن عبد الله السيوري </w:t>
      </w:r>
    </w:p>
    <w:p>
      <w:pPr>
        <w:pStyle w:val="BookText"/>
        <w:rPr/>
      </w:pPr>
      <w:r>
        <w:rPr>
          <w:rFonts w:ascii="Amiri" w:hAnsi="Amiri" w:eastAsia="Amiri" w:cs="Amiri"/>
          <w:color w:val="111111"/>
          <w:sz w:val="28"/>
          <w:sz w:val="28"/>
          <w:szCs w:val="28"/>
          <w:rtl w:val="true"/>
          <w:lang w:bidi="ar-SA"/>
        </w:rPr>
        <w:t xml:space="preserve">الحلّي المشهور بالمقداد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الأفكار،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الدراية في شرح الكفاية، الشيخ محمّد حسين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لبنان، الطبعة الثانية،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إلى تحصيل مسائل الشريعة،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bookmarkStart w:id="603" w:name="pg9159_85203"/>
    </w:p>
    <w:p>
      <w:pPr>
        <w:pStyle w:val="Heading2"/>
        <w:numPr>
          <w:ilvl w:val="1"/>
          <w:numId w:val="1"/>
        </w:numPr>
        <w:rPr/>
      </w:pPr>
      <w:bookmarkStart w:id="604" w:name="__RefHeading___Toc3482997_2870459653"/>
      <w:bookmarkStart w:id="605" w:name="_Toc230"/>
      <w:bookmarkEnd w:id="603"/>
      <w:bookmarkEnd w:id="604"/>
      <w:r>
        <w:rPr>
          <w:rtl w:val="true"/>
        </w:rPr>
        <w:t xml:space="preserve">رسالتان في الكرّ من إفادات الفقيه المتألّه آية الله الميرزا مهديّ الأصفهانيّ </w:t>
      </w:r>
      <w:r>
        <w:rPr>
          <w:rtl w:val="true"/>
        </w:rPr>
        <w:t>(</w:t>
      </w:r>
      <w:r>
        <w:rPr>
          <w:rtl w:val="true"/>
        </w:rPr>
        <w:t>قدس سره</w:t>
      </w:r>
      <w:r>
        <w:rPr>
          <w:rtl w:val="true"/>
        </w:rPr>
        <w:t xml:space="preserve">) - </w:t>
      </w:r>
      <w:r>
        <w:rPr>
          <w:rtl w:val="true"/>
        </w:rPr>
        <w:t>مجلّة دراسات علميّة</w:t>
      </w:r>
      <w:bookmarkEnd w:id="605"/>
    </w:p>
    <w:p>
      <w:pPr>
        <w:pStyle w:val="Heading3"/>
        <w:numPr>
          <w:ilvl w:val="2"/>
          <w:numId w:val="1"/>
        </w:numPr>
        <w:rPr/>
      </w:pPr>
      <w:bookmarkStart w:id="606" w:name="__RefHeading___Toc3482999_2870459653"/>
      <w:bookmarkStart w:id="607" w:name="_Toc231"/>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رسالتان في الكرّ</w:t>
      </w:r>
    </w:p>
    <w:p>
      <w:pPr>
        <w:pStyle w:val="BookText"/>
        <w:rPr/>
      </w:pPr>
      <w:r>
        <w:rPr>
          <w:rFonts w:ascii="IRNazanin" w:hAnsi="IRNazanin" w:eastAsia="IRNazanin"/>
          <w:color w:val="111111"/>
          <w:sz w:val="28"/>
          <w:sz w:val="28"/>
          <w:szCs w:val="28"/>
          <w:rtl w:val="true"/>
          <w:lang w:bidi="fa-IR"/>
        </w:rPr>
        <w:t>من إفادات</w:t>
      </w:r>
    </w:p>
    <w:p>
      <w:pPr>
        <w:pStyle w:val="BookText"/>
        <w:rPr/>
      </w:pPr>
      <w:r>
        <w:rPr>
          <w:rFonts w:ascii="Amiri" w:hAnsi="Amiri" w:eastAsia="Amiri" w:cs="Amiri"/>
          <w:color w:val="111111"/>
          <w:sz w:val="28"/>
          <w:sz w:val="28"/>
          <w:szCs w:val="28"/>
          <w:rtl w:val="true"/>
          <w:lang w:bidi="ar-SA"/>
        </w:rPr>
        <w:t>الفقيه المتألّه آية الله</w:t>
      </w:r>
    </w:p>
    <w:p>
      <w:pPr>
        <w:pStyle w:val="BookText"/>
        <w:rPr/>
      </w:pPr>
      <w:r>
        <w:rPr>
          <w:rFonts w:ascii="IRNazanin" w:hAnsi="IRNazanin" w:eastAsia="IRNazanin"/>
          <w:color w:val="111111"/>
          <w:sz w:val="28"/>
          <w:sz w:val="28"/>
          <w:szCs w:val="28"/>
          <w:rtl w:val="true"/>
          <w:lang w:bidi="fa-IR"/>
        </w:rPr>
        <w:t xml:space="preserve">الشیخ الميرزا مهديّ الغروی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بقلمه الشریف</w:t>
      </w:r>
    </w:p>
    <w:p>
      <w:pPr>
        <w:pStyle w:val="BookText"/>
        <w:rPr/>
      </w:pPr>
      <w:r>
        <w:rPr>
          <w:rFonts w:ascii="IRNazanin" w:hAnsi="IRNazanin" w:eastAsia="IRNazanin"/>
          <w:color w:val="111111"/>
          <w:sz w:val="28"/>
          <w:sz w:val="28"/>
          <w:szCs w:val="28"/>
          <w:rtl w:val="true"/>
          <w:lang w:bidi="fa-IR"/>
        </w:rPr>
        <w:t>و أخری بقلم تلمیذه آیة الله</w:t>
      </w:r>
    </w:p>
    <w:p>
      <w:pPr>
        <w:pStyle w:val="BookText"/>
        <w:rPr/>
      </w:pPr>
      <w:r>
        <w:rPr>
          <w:rFonts w:ascii="IRNazanin" w:hAnsi="IRNazanin" w:eastAsia="IRNazanin"/>
          <w:color w:val="111111"/>
          <w:sz w:val="28"/>
          <w:sz w:val="28"/>
          <w:szCs w:val="28"/>
          <w:rtl w:val="true"/>
          <w:lang w:bidi="fa-IR"/>
        </w:rPr>
        <w:t xml:space="preserve">الشیخ هاشم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دراسات علميّة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9159_85205"/>
      <w:bookmarkStart w:id="609" w:name="pg9159_85205"/>
      <w:bookmarkEnd w:id="609"/>
    </w:p>
    <w:p>
      <w:pPr>
        <w:pStyle w:val="Heading3"/>
        <w:numPr>
          <w:ilvl w:val="2"/>
          <w:numId w:val="1"/>
        </w:numPr>
        <w:rPr/>
      </w:pPr>
      <w:bookmarkStart w:id="610" w:name="pg9159_85205"/>
      <w:bookmarkStart w:id="611" w:name="__RefHeading___Toc3483001_2870459653"/>
      <w:bookmarkStart w:id="612" w:name="_Toc232"/>
      <w:bookmarkEnd w:id="610"/>
      <w:bookmarkEnd w:id="611"/>
      <w:r>
        <w:rPr>
          <w:rtl w:val="true"/>
        </w:rPr>
        <w:t>مقدّمة التّحقيق</w:t>
      </w:r>
      <w:bookmarkEnd w:id="612"/>
    </w:p>
    <w:p>
      <w:pPr>
        <w:pStyle w:val="Heading4"/>
        <w:numPr>
          <w:ilvl w:val="3"/>
          <w:numId w:val="1"/>
        </w:numPr>
        <w:rPr/>
      </w:pPr>
      <w:bookmarkStart w:id="613" w:name="__RefHeading___Toc3483003_2870459653"/>
      <w:bookmarkStart w:id="614" w:name="_Toc233"/>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من المسائل الّتي أشبعها الفقهاء بحثاً وتحقيقاً هي معرفة حدّ الكرّ؛ لما لها من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مسائل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تعلّقها بتصحيح عبادات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الرّسالة وإن تناولت الموضوع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أهمّيّتها تكمن في ما خَلُص إليه مؤلّفها ممّا لم يكن مطروحاً في كلمات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المعروف بينهم أنّ لتحديد الكرّ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والحجم، فتناولوا بحث كلٍّ منهما مع الاختلاف في مقداره، وكيفيّة التّوفيق بين الكرّ الوزنيّ والكرّ الحجميّ، بينما مؤلّف هذه الرّسالة ينكر فيها تحديد الكرّ بالوزن أصلاً، فمن هنا رجح في النّظر أن نقدّمها للمختصّين والمهتمّين عسى أن نكون بذلك قد ساهمنا في رفد المكتبة الإسلاميّة بما هو نافع ومفيد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بين دفّتيه رسالتين </w:t>
      </w:r>
      <w:bookmarkStart w:id="615" w:name="pg9159_85206"/>
    </w:p>
    <w:p>
      <w:pPr>
        <w:pStyle w:val="BookText"/>
        <w:rPr/>
      </w:pPr>
      <w:bookmarkEnd w:id="615"/>
      <w:r>
        <w:rPr>
          <w:rFonts w:ascii="Amiri" w:hAnsi="Amiri" w:eastAsia="Amiri" w:cs="Amiri"/>
          <w:color w:val="111111"/>
          <w:sz w:val="28"/>
          <w:sz w:val="28"/>
          <w:szCs w:val="28"/>
          <w:rtl w:val="true"/>
          <w:lang w:bidi="ar-SA"/>
        </w:rPr>
        <w:t xml:space="preserve">للميرزا مهديّ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مسألة الكرّ، الأولى بقلمه المبارك، والأخرى بقلم تلميذه الشّيخ هاشم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لما ضبطه عنه في مجلس الدّرس، وهي وإن لم تختلف كثيراً في مضمونها عن الرّسالة الأولى إلّا أنّ الّذي دعانا لنشرها أنّها هي الّتي أرسلها الميرزا مهديّ الأصفهانيّ إلى شيخه الميرزا النّائينيّ</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واطّلع عليها الشّيخ حسين الحلّيّ وجملة من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483005_2870459653"/>
      <w:bookmarkStart w:id="617" w:name="_Toc234"/>
      <w:bookmarkEnd w:id="616"/>
      <w:r>
        <w:rPr>
          <w:rtl w:val="true"/>
        </w:rPr>
        <w:t>المؤلّف في سطور</w:t>
      </w:r>
      <w:bookmarkEnd w:id="617"/>
    </w:p>
    <w:p>
      <w:pPr>
        <w:pStyle w:val="Heading5"/>
        <w:numPr>
          <w:ilvl w:val="4"/>
          <w:numId w:val="1"/>
        </w:numPr>
        <w:rPr/>
      </w:pPr>
      <w:bookmarkStart w:id="618" w:name="__RefHeading___Toc3483007_2870459653"/>
      <w:bookmarkStart w:id="619" w:name="_Toc235"/>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يُعدُّ الميرزا مهديّ الغرويّ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علماء الإماميّة في القرن الهجريّ الرّابع عشر، وقد أثنى عليه وأشاد بمكانته العليا في العلم والدّين كبار المراجع والأعلام، فقد وصفه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العامل، والنّقيّ الفاضل، العلم العلّام، والمهذّب الهُمام، ذو القريحة القويمة، والسّليقة المستقيمة، والنّظر الصّائب، والفكر الثّاقب، عماد العلماء، وصفوة الفقهاء، والورع التّقيّ، والعدل الزّكيّ</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ووصفه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الفاضل، المحقّق المدقّق، زبدة العلماء الرّاشدين، وقدوة الفقهاء والمجتهدين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مشواره العلميّ بدراسة الفلسفة، ثُمّ العرفان، وظلّ مشتغلاً بهما لسنوات عديدة، باحثاً جادّاً مثابراً، وألّف فيهما رسائل عديدة، ثُمّ انطلق بنظرة </w:t>
      </w:r>
    </w:p>
    <w:p>
      <w:pPr>
        <w:pStyle w:val="BookText"/>
        <w:rPr/>
      </w:pPr>
      <w:r>
        <w:rPr>
          <w:rFonts w:ascii="Amiri" w:hAnsi="Amiri" w:eastAsia="Amiri" w:cs="Amiri"/>
          <w:color w:val="111111"/>
          <w:sz w:val="28"/>
          <w:sz w:val="28"/>
          <w:szCs w:val="28"/>
          <w:rtl w:val="true"/>
          <w:lang w:bidi="ar-SA"/>
        </w:rPr>
        <w:t xml:space="preserve">معرفيّة جديدة تستند كلّيّاً إلى مصادر الوحي، وتدعو إلى فكّ الارتباط بين الشّريعة ومعارف الدّين، وبين سائر العلوم الأُخر، ومنها العلمان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والعرفان المبتني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تُلقيه تلك العلوم من ظلالها في فهم النّصّ الدّينيّ، فبذلك تكون المعرفة المستفادة من النّصّ الدّينيّ دينيّة صافية ليس فيها شوائب أو تأثيرات علوم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يُعرف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بها التّنقية والتّأصيل كما عرفت، ورائدها الميرزا مهديّ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عكس معالم هذه المدرسة بوضوح في ما وصلنا من تراثه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في ترجمته والتّعريف بفكره ومنهجه العديد من الكتب، ولذلك سنكتفي هنا بذكر سطور من حياته الشّريفة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الميرزا محمّد مهديّ</w:t>
      </w:r>
      <w:r>
        <w:rPr>
          <w:rStyle w:val="FootnoteAnchor"/>
          <w:rtl w:val="true"/>
        </w:rPr>
        <w:footnoteReference w:id="470"/>
      </w:r>
      <w:r>
        <w:rPr>
          <w:rFonts w:ascii="Amiri" w:hAnsi="Amiri" w:eastAsia="Amiri" w:cs="Amiri"/>
          <w:color w:val="111111"/>
          <w:sz w:val="28"/>
          <w:sz w:val="28"/>
          <w:szCs w:val="28"/>
          <w:rtl w:val="true"/>
          <w:lang w:bidi="ar-SA"/>
        </w:rPr>
        <w:t>نجل الميرزا إسماعيل الأصفهانيّ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أصفهان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المقدّمات والسّطوح لدى والده وبعض علماء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والده وهو في سنّ التّاسعة من عمره، وتولّى رعايته آقا رحيم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علماء أصفهان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المقدّسة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لإكمال دراسته في حوزتها العلميّة، وتولّى رعايته العلميّة والعمليّة هناك السّيّد إسماعيل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بتوصية من آقا رحيم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النّجف الأشرف بأمر أستاذه السّيّد إسماعيل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للتّزوّد من أعلام حوزتها العلميّة، وحضر أبحاث الفقه لدى السّيّد محمّد كاظم الطّباطبائيّ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وأبحاث الأصول لدى الشّيخ محمّد كاظم الآخوند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وخصّه الميرزا محمّد حسين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بالبحث الفقهيّ والأصوليّ بمفرده لفترة من الزّمن قبل أن ينظمّ إليه السّيّد جمال الدّين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خمسة آخرون في دورته الأولى الخاصّة، ودرس الفلسفة لدى الشّيخ مرتضى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حضر لدى السّيّد أحمد الكربلائيّ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محمّد بهاريّ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العرفان، وشهد له أوّلهما ببلوغه مقام معرفة النّفس ومرتبة التّجريد، وهو ما يُعرف بخلع البدن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أجازه بالاجتهاد أعلام عصره وأساطين الحوزات العلميّة، فقد حرّر الشّيخ الميرزا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للمترجم له بتأريخ شهر شوّال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وأيّدها بالتّذييل والتّوقيع عليها الشّيخ آقا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bookmarkStart w:id="620" w:name="pg9159_85209"/>
    </w:p>
    <w:p>
      <w:pPr>
        <w:pStyle w:val="BookText"/>
        <w:rPr/>
      </w:pPr>
      <w:bookmarkEnd w:id="6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إيران مستوطناً مدينة مشهد المقدّسة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 xml:space="preserve">على خلاف في ضبط سنة عودته، وذلك بعد مروره بمدينة بروجرد، ولقاء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انتقاله إلى قم المشرّفة، ومروره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أراك، وحضوره بعض دروس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بداية وصوله إلى مشهد شرع بتدريس تقريرات أستاذه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والأصول في حلقة خاصّة، ثُمّ بعد ذلك أصبح الدّرس عامّاً، فأخذ يتطرّق لبيان آرائه الشّخصيّة، وبدأ بطرح البحوث المعرفيّة ضمن دروسه الفقهيّة والأصوليّة، ثُمّ بعد ذلك بدأ بتدريس المعارف العقائديّة بشكلٍ مستقلٍّ، وإلى جنب ذلك عقد درساً عامّاً في أيّام الخميس والجمعة يحضره مختلف طبقات المجتمع يتناول فيه مزيجاً من المعارف العقائديّة والبحوث الأخلاقيّة</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3483009_2870459653"/>
      <w:bookmarkStart w:id="622" w:name="_Toc236"/>
      <w:bookmarkEnd w:id="621"/>
      <w:r>
        <w:rPr>
          <w:rtl w:val="true"/>
        </w:rPr>
        <w:t>تلامذته</w:t>
      </w:r>
      <w:bookmarkEnd w:id="622"/>
    </w:p>
    <w:p>
      <w:pPr>
        <w:pStyle w:val="BookText"/>
        <w:rPr/>
      </w:pPr>
      <w:r>
        <w:rPr>
          <w:rFonts w:ascii="Amiri" w:hAnsi="Amiri" w:eastAsia="Amiri" w:cs="Amiri"/>
          <w:color w:val="111111"/>
          <w:sz w:val="28"/>
          <w:sz w:val="28"/>
          <w:szCs w:val="28"/>
          <w:rtl w:val="true"/>
          <w:lang w:bidi="ar-SA"/>
        </w:rPr>
        <w:t>تلمذ عليه الكثير،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الحائريّ الكرمانشاهيّ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حسن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أكبر النّوغانيّ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محدّث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غلام حسين المحامي بادكوبه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زين العابدين الغياثيّ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غلام عليّ الفائقيّ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هاشم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المحقّق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مجتبى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الخدائيّ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إبراهيم الرّبّانيّ التّربتيّ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كاظم المهدويّ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مرتضى العسكريّ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محمّد تقي الشّريعتيّ مزينانيّ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ابن السّيّد عبد الحيّ الطّباطبائيّ النّجفيّ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الحفيظيّ الإيوَقيّ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جواد آقا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الله واعظ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623" w:name="pg9159_85211"/>
    </w:p>
    <w:p>
      <w:pPr>
        <w:pStyle w:val="BookText"/>
        <w:rPr/>
      </w:pPr>
      <w:bookmarkEnd w:id="623"/>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المحسنيّ الملايريّ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محمود الحلبيّ التّولّائيّ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الملكيّ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النّبيّ الكجوريّ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أبو القاسم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إسماعيل معتمد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أكبر الصّدر زاده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عليّ المرواريد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رضا القدّوسيّ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رضا عليّ شاه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آقا جلال المرواريد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3483011_2870459653"/>
      <w:bookmarkStart w:id="625" w:name="_Toc237"/>
      <w:bookmarkEnd w:id="624"/>
      <w:r>
        <w:rPr>
          <w:rtl w:val="true"/>
        </w:rPr>
        <w:t>مؤلّفاته</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القرآن، في أصول العقائد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الهدى، يُعدّ خلاصة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والقدر والبداء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القرآن والفرقان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لأسئلة شاهزاده أفسر حول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المُنى ومعراج القُرب واللّقاء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حول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العقليّة على تأويل الأحاديث المرويّة والمقامع العلميّة على مفارق الشّيخيّة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الطّبيعيّات، وبعض الرّسائل الأُخر حول خلقة العالم وخلق الإنسان والعوالم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الوسيط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الهدى،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السّنيّة والعنايات الرّضويّة، في شرح المعاريض والتّورية الواردة في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 في بيان حقيقة الإفتاء والتّقليد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أخرى في الاجتهاد والتّقليد</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برسالة الكرّ هي الرّسالة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هي 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سماحة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استنسخها من نسخة المرحوم الشّيخ صدرا البادكوبيّ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قد استنسخها من نسخة الشّيخ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الكرّ، وهي هذه الرّسالة الّتي بين يديك عزيزي القارئ</w:t>
      </w:r>
      <w:r>
        <w:rPr>
          <w:rFonts w:eastAsia="Amiri" w:cs="Amiri" w:ascii="Amiri" w:hAnsi="Amiri"/>
          <w:color w:val="111111"/>
          <w:sz w:val="28"/>
          <w:szCs w:val="28"/>
          <w:rtl w:val="true"/>
          <w:lang w:bidi="ar-SA"/>
        </w:rPr>
        <w:t>.</w:t>
      </w:r>
      <w:bookmarkStart w:id="626" w:name="pg9159_85213"/>
    </w:p>
    <w:p>
      <w:pPr>
        <w:pStyle w:val="BookText"/>
        <w:rPr/>
      </w:pPr>
      <w:bookmarkEnd w:id="626"/>
      <w:r>
        <w:rPr>
          <w:rFonts w:ascii="Amiri" w:hAnsi="Amiri" w:eastAsia="Amiri" w:cs="Amiri"/>
          <w:color w:val="111111"/>
          <w:sz w:val="28"/>
          <w:sz w:val="28"/>
          <w:szCs w:val="28"/>
          <w:rtl w:val="true"/>
          <w:lang w:bidi="ar-SA"/>
        </w:rPr>
        <w:t>وبعض الرّسائل الأُخر الفقهيّة، بالإضافة إلى مجموعات مدوّنة بقلمه الشّريف سُمّيت الواحدة منها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محاور علميّة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قبل البدء بإلقاء الدّروس،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أصول</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3483013_2870459653"/>
      <w:bookmarkStart w:id="628" w:name="_Toc238"/>
      <w:bookmarkEnd w:id="627"/>
      <w:r>
        <w:rPr>
          <w:rtl w:val="true"/>
        </w:rPr>
        <w:t>تقريرات دروسه</w:t>
      </w:r>
      <w:bookmarkEnd w:id="628"/>
    </w:p>
    <w:p>
      <w:pPr>
        <w:pStyle w:val="BookText"/>
        <w:rPr/>
      </w:pPr>
      <w:r>
        <w:rPr>
          <w:rFonts w:ascii="Amiri" w:hAnsi="Amiri" w:eastAsia="Amiri" w:cs="Amiri"/>
          <w:color w:val="111111"/>
          <w:sz w:val="28"/>
          <w:sz w:val="28"/>
          <w:szCs w:val="28"/>
          <w:rtl w:val="true"/>
          <w:lang w:bidi="ar-SA"/>
        </w:rPr>
        <w:t xml:space="preserve">وقد قرّر دروسه بعضُ تلامذته، وأبرزها هو التّقرير الّذي كتبه المرحوم الشّيخ محمود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ويشتمل على سلسلة في الأصول، ودورة في المعارف، ومن خصائص هذا التّقرير أنّ الميرزا الأصفهانيّ كان قد اطّلع عليه، وأجرى بعض الإصلاحات الضّروريّة في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ثمّة تقريرات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الشّيخ محمّد حسن البروجرديّ، وتقرير الشّيخ عليّ النّمازيّ، وتقرير الشّيخ محمّد باقر الملكيّ الميانجيّ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عنيت في يومنا هذا مؤسّسة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 المشرّفة بتحقيق ونشر تراث أعلام مدرسة التّفكيك، وفي طليعتهم الميرزا مهديّ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5"/>
        <w:numPr>
          <w:ilvl w:val="4"/>
          <w:numId w:val="1"/>
        </w:numPr>
        <w:rPr/>
      </w:pPr>
      <w:bookmarkStart w:id="629" w:name="__RefHeading___Toc3483015_2870459653"/>
      <w:bookmarkStart w:id="630" w:name="_Toc239"/>
      <w:bookmarkEnd w:id="629"/>
      <w:r>
        <w:rPr>
          <w:rtl w:val="true"/>
        </w:rPr>
        <w:t>وفاته</w:t>
      </w:r>
      <w:bookmarkEnd w:id="6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فاضت روحه الطّاهرة في التّاسع عشر من ذي الحجّة الحرام من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مشهد المقدّسة، وحُمل نعشه الطّاهر على أكتاف المشيّعين بعد أن صلّى عليه السّيّد يونس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ووري جثمانه الثّرى في دار الضّيافة في حرم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فسلام عليه يوم ولد ويوم مات ويوم يُبعث حيّاً</w:t>
      </w:r>
      <w:r>
        <w:rPr>
          <w:rFonts w:eastAsia="IRNazanin" w:cs="IRNazanin"/>
          <w:color w:val="111111"/>
          <w:sz w:val="28"/>
          <w:szCs w:val="28"/>
          <w:rtl w:val="true"/>
          <w:lang w:bidi="fa-IR"/>
        </w:rPr>
        <w:t xml:space="preserve">. </w:t>
      </w:r>
      <w:bookmarkStart w:id="631" w:name="pg9159_85214"/>
    </w:p>
    <w:p>
      <w:pPr>
        <w:pStyle w:val="Heading4"/>
        <w:numPr>
          <w:ilvl w:val="3"/>
          <w:numId w:val="1"/>
        </w:numPr>
        <w:rPr/>
      </w:pPr>
      <w:bookmarkStart w:id="632" w:name="__RefHeading___Toc3483017_2870459653"/>
      <w:bookmarkStart w:id="633" w:name="_Toc240"/>
      <w:bookmarkEnd w:id="631"/>
      <w:bookmarkEnd w:id="632"/>
      <w:r>
        <w:rPr>
          <w:rtl w:val="true"/>
        </w:rPr>
        <w:t>المقرِّر في سطور</w:t>
      </w:r>
      <w:bookmarkEnd w:id="633"/>
    </w:p>
    <w:p>
      <w:pPr>
        <w:pStyle w:val="Heading5"/>
        <w:numPr>
          <w:ilvl w:val="4"/>
          <w:numId w:val="1"/>
        </w:numPr>
        <w:rPr/>
      </w:pPr>
      <w:bookmarkStart w:id="634" w:name="__RefHeading___Toc3483019_2870459653"/>
      <w:bookmarkStart w:id="635" w:name="_Toc241"/>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يُعدُّ الفقيه العارف الزّاهد الشّيخ هاشم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وأساتذة الحوزة العلميّة في مدينة مشهد المقدّسة، وكان متميّزاً ببراعة البيان وتسلّطه على المطالب، فحضر دروسه الكثير من الطّلبة حتّى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ارتقى منبر التّدريس سطحاً عالياً وخارجاً لحدود أربعين سنة، وقد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العديد من الكتب والمقالات، فسنكتفي هنا بذكر سطور عن حياته الشّريفة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محمّد هاشم نجل الحاجّ محمّد مهديّ القزوينيّ الأفشاريّ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هاشم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قرى مدينة قزوين الإيرانيّة والّتي تُعرف اليوم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بوئين زهرا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المقدّمات والأدب والسّطوح في قزوين لدى أساتذة معروفين، منهم الملّا عليّ الطّارميّ والآخوند ملّا عليّ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درس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الإشراقيّة والمشّائيّة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السّيّد موسى الزّرآباديّ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أصفهان، وبقي فيها ستّ سنوات؛ لإكمال دراسته، فتلمذ في الفقه والأصول لدى السّيّد محمّد باقر الدّرچه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عبد الكريم الجزّيّ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محمّد إبراهيم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محمّد حسين الفشاركيّ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وتلمذ في الفلسفة لدى الملّا محمّد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والميرزا جهانگير خان القشقائيّ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خلال هذه الفترة رجع إلى قزوين، فأقام بها فترة قصيرة، كما هاجر خلالها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النّجف الأشرف، وبقي فيها سنتين ونيّف؛ للتّزوّد من أعلام حوزتها، فحضر أبحاث الميرزا النّائينيّ</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إلى مدينة مشهد المقدّسة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وحضر الأبحاث العالية لدى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موسى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​​محمّد آقا زاده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نجل الشّيخ 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​​مهديّ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أجازه بالاجتهاد الأعلام الثّلاثة الأواخر من أساتذته في مشهد، وأيّدها ووقّع عليها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عن أهله </w:t>
      </w:r>
    </w:p>
    <w:p>
      <w:pPr>
        <w:pStyle w:val="BookText"/>
        <w:rPr/>
      </w:pP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أجازه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الشّيخ محمّد كاظم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تقريراته لدرس الشّيخ موسى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اللّباس المشكوك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أعجبته كثيراً آراء ومباني أستاذه الميرزا مهديّ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فلازمه إلى آخر عمره، ولم يفارقه إلّا أيّام الإقامة الجبريّة الّتي فُرضت عليه من السّلطة جرّاء حادثة الهجوم على جامع گوهرشاد، وكان في غاية الأدب والحبّ والاحترام معه، حتّى أنّه جاء عنه في مطلع بعض مكاتيبه إليه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أبي وأمّي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تتلمذ عنده دورة تقريرات الميرزا النّائينيّ، وكذلك المعارف الإلهيّة، وبعض علوم أخر قد خصّه الميرزا الأصفهانيّ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من الآثار تقريرات الأصول للميرزا مهديّ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بقلمه الشّريف، وتقرير مسألة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 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قرّر مبحث اللّباس المشكوك للشّيخ موسى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مخطوطات مؤلّفاته أهداها لخزانة مكتبة العتبة الرّضويّة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زاول تدريس السّطوح العالية والبحث الخارج في مدينة مشهد المقدّسة لسنين طويلة ناهزت الأربعين، حتّى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 بسلاسة التّعبير وحسن البيان، فكان يبيّن المطالب العلميّة الصّعبة بأبسط العبارات وأوضحها، فصار يضرب به المثل في جودة بيانه ممّا سَبَّبَ في صيرورة درسه من أهمّ الدّروس في الحوزة العلميّة في مشهد المقدّسة</w:t>
      </w:r>
      <w:r>
        <w:rPr>
          <w:rFonts w:eastAsia="Amiri" w:cs="Amiri" w:ascii="Amiri" w:hAnsi="Amiri"/>
          <w:color w:val="111111"/>
          <w:sz w:val="28"/>
          <w:szCs w:val="28"/>
          <w:rtl w:val="true"/>
          <w:lang w:bidi="ar-SA"/>
        </w:rPr>
        <w:t xml:space="preserve">. </w:t>
      </w:r>
      <w:bookmarkStart w:id="636" w:name="pg9159_85217"/>
    </w:p>
    <w:p>
      <w:pPr>
        <w:pStyle w:val="Heading5"/>
        <w:numPr>
          <w:ilvl w:val="4"/>
          <w:numId w:val="1"/>
        </w:numPr>
        <w:rPr/>
      </w:pPr>
      <w:bookmarkStart w:id="637" w:name="__RefHeading___Toc3483021_2870459653"/>
      <w:bookmarkStart w:id="638" w:name="_Toc242"/>
      <w:bookmarkEnd w:id="636"/>
      <w:bookmarkEnd w:id="637"/>
      <w:r>
        <w:rPr>
          <w:rtl w:val="true"/>
        </w:rPr>
        <w:t>من تلامذته</w:t>
      </w:r>
      <w:bookmarkEnd w:id="638"/>
    </w:p>
    <w:p>
      <w:pPr>
        <w:pStyle w:val="BookText"/>
        <w:rPr/>
      </w:pPr>
      <w:r>
        <w:rPr>
          <w:rFonts w:ascii="Amiri" w:hAnsi="Amiri" w:eastAsia="Amiri" w:cs="Amiri"/>
          <w:color w:val="111111"/>
          <w:sz w:val="28"/>
          <w:sz w:val="28"/>
          <w:szCs w:val="28"/>
          <w:rtl w:val="true"/>
          <w:lang w:bidi="ar-SA"/>
        </w:rPr>
        <w:t>حضر دروسه في السّطوح العالية والخارج جمع غفير،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مهديّ النّوغانيّ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الميرزا محمّد باقر الملکيّ الميانجيّ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حسن عليّ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شمس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الحسينيّ الخامنه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الأستاذ محمّد رضا الحکیميّ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مهامه الدّرسيّة في الحوزة كان مهتمّاً بالنّشاط التّبليغيّ حيث كان يذهب كلّ سنة في شهر رمضان إلى قريته في قزوين، ويقيم هناك مجالس الوعظ وإرشاد النّاس وقضاء حوائجهم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جملة الأعلام الّذين اعترضوا ضدّ شاه إيران في مسألة إلزام النّساء بنزع الحجاب، وكان من جملة المجتهدين الثّمانية الّذين أرسلوا برقية إلى رضا شاه الپهلويّ، وحذّروه من قراره لكشف الحجاب قبل حادثة الهجوم على جامع گوهرشاد، فقامت السّلطة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بجلبه مع بقيّة الأعلام، وإيقافهم في الحبس المؤقّت لمدّة أسبوع، وبعد ذلك أرسلوهم إلى طهران ليلاً مغلولي الأيدي، ولم يسمح لهم بالرّجوع إلى مشهد، فبقي في المنفى بقيّة أيّام رضا شاه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عزل رضا شاه عن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مشهد بطلب من أعلام حوزة مشهد المقدّسة، وفي طليعتهم أستاذه الميرزا مهديّ الأصفهانيّ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مثبت على صخرة القبر الطّاهر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عند مدخل المرقد الرّضويّ المقدّس في رواق دار الضّيافة، على الجانب الشّماليّ من صحن آزاديّ، فسلام عليه يوم ولد ويوم مات ويوم يُبعث حيّاً</w:t>
      </w:r>
      <w:r>
        <w:rPr>
          <w:rFonts w:eastAsia="Amiri" w:cs="Amiri" w:ascii="Amiri" w:hAnsi="Amiri"/>
          <w:color w:val="111111"/>
          <w:sz w:val="28"/>
          <w:szCs w:val="28"/>
          <w:rtl w:val="true"/>
          <w:lang w:bidi="ar-SA"/>
        </w:rPr>
        <w:t xml:space="preserve">. </w:t>
      </w:r>
      <w:bookmarkStart w:id="639" w:name="pg9159_85219"/>
    </w:p>
    <w:p>
      <w:pPr>
        <w:pStyle w:val="Heading5"/>
        <w:numPr>
          <w:ilvl w:val="4"/>
          <w:numId w:val="1"/>
        </w:numPr>
        <w:rPr/>
      </w:pPr>
      <w:bookmarkStart w:id="640" w:name="__RefHeading___Toc3483023_2870459653"/>
      <w:bookmarkStart w:id="641" w:name="_Toc243"/>
      <w:bookmarkEnd w:id="639"/>
      <w:bookmarkEnd w:id="640"/>
      <w:r>
        <w:rPr>
          <w:rtl w:val="true"/>
        </w:rPr>
        <w:t>وصف نسخ الرّسالتين</w:t>
      </w:r>
      <w:bookmarkEnd w:id="641"/>
    </w:p>
    <w:p>
      <w:pPr>
        <w:pStyle w:val="Heading6"/>
        <w:numPr>
          <w:ilvl w:val="5"/>
          <w:numId w:val="1"/>
        </w:numPr>
        <w:rPr/>
      </w:pPr>
      <w:bookmarkStart w:id="642" w:name="__RefHeading___Toc3483025_2870459653"/>
      <w:bookmarkStart w:id="643" w:name="_Toc244"/>
      <w:bookmarkEnd w:id="642"/>
      <w:r>
        <w:rPr>
          <w:rtl w:val="true"/>
        </w:rPr>
        <w:t>الرّسالة الأولى</w:t>
      </w:r>
      <w:bookmarkEnd w:id="643"/>
    </w:p>
    <w:p>
      <w:pPr>
        <w:pStyle w:val="Heading6"/>
        <w:numPr>
          <w:ilvl w:val="5"/>
          <w:numId w:val="1"/>
        </w:numPr>
        <w:rPr/>
      </w:pPr>
      <w:bookmarkStart w:id="644" w:name="__RefHeading___Toc3483027_2870459653"/>
      <w:bookmarkStart w:id="645" w:name="_Toc245"/>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وقد اعتمدنا في تحقيقها على ستّ نسخ، وهي</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3483029_2870459653"/>
      <w:bookmarkStart w:id="647" w:name="_Toc246"/>
      <w:bookmarkEnd w:id="646"/>
      <w:r>
        <w:rPr>
          <w:rtl w:val="true"/>
        </w:rPr>
        <w:t>النّسخة الأولى</w:t>
      </w:r>
      <w:bookmarkEnd w:id="647"/>
    </w:p>
    <w:p>
      <w:pPr>
        <w:pStyle w:val="BookText"/>
        <w:rPr/>
      </w:pPr>
      <w:r>
        <w:rPr>
          <w:rFonts w:ascii="Amiri" w:hAnsi="Amiri" w:eastAsia="Amiri" w:cs="Amiri"/>
          <w:color w:val="111111"/>
          <w:sz w:val="28"/>
          <w:sz w:val="28"/>
          <w:szCs w:val="28"/>
          <w:rtl w:val="true"/>
          <w:lang w:bidi="ar-SA"/>
        </w:rPr>
        <w:t xml:space="preserve">بخطّ تلميذه المرحوم الشّيخ محمّد رضا المحقّق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نسخها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وفاة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سنوات، وهي بخطّ نستعليق، ومؤلّفة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في كلّ صفحة، وتحمل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مصوّرة هذه النسخة محفوظة لدى مؤسّسة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جعلناها نسخة الأصل في التّحقيق</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3483031_2870459653"/>
      <w:bookmarkStart w:id="649" w:name="_Toc247"/>
      <w:bookmarkEnd w:id="648"/>
      <w:r>
        <w:rPr>
          <w:rtl w:val="true"/>
        </w:rPr>
        <w:t>النّسخة الثّانية</w:t>
      </w:r>
      <w:bookmarkEnd w:id="649"/>
    </w:p>
    <w:p>
      <w:pPr>
        <w:pStyle w:val="BookText"/>
        <w:rPr/>
      </w:pPr>
      <w:r>
        <w:rPr>
          <w:rFonts w:ascii="IRNazanin" w:hAnsi="IRNazanin" w:eastAsia="IRNazanin"/>
          <w:color w:val="111111"/>
          <w:sz w:val="28"/>
          <w:sz w:val="28"/>
          <w:szCs w:val="28"/>
          <w:rtl w:val="true"/>
          <w:lang w:bidi="fa-IR"/>
        </w:rPr>
        <w:t xml:space="preserve">بخطّ تلميذه السّيّد محمّد باقر ابن السّيّد عبد الحيّ الطّباطبائيّ النّجفيّ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نسخها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وفاة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سنوات، وهي بخطّ النّسخ، ومؤلّفة 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بمعدل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في كلّ صفحة، وتعلو جميع أوراقها الاستعانة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نشر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مصوّرتها منضمّة إلى مصوّرات أُخر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مفصّلة باللّغة الفارسيّة في ترجمة المؤلّف وبيان موقف الأعلام من الفلسفة والعرفان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واحد عبر مطبعة سعيد بتاريخ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ماه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3483033_2870459653"/>
      <w:bookmarkStart w:id="651" w:name="_Toc248"/>
      <w:bookmarkEnd w:id="650"/>
      <w:r>
        <w:rPr>
          <w:rtl w:val="true"/>
        </w:rPr>
        <w:t>النّسخة الثّالثة</w:t>
      </w:r>
      <w:bookmarkEnd w:id="65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بخطّ تلميذه المرحوم الشّيخ عليّ أكبر الصّدر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نسخ، وهي بخطّ نستعليق، ومؤلّفة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في </w:t>
      </w:r>
      <w:bookmarkStart w:id="652" w:name="pg9159_85220"/>
    </w:p>
    <w:p>
      <w:pPr>
        <w:pStyle w:val="BookText"/>
        <w:rPr/>
      </w:pPr>
      <w:bookmarkEnd w:id="652"/>
      <w:r>
        <w:rPr>
          <w:rFonts w:ascii="Amiri" w:hAnsi="Amiri" w:eastAsia="Amiri" w:cs="Amiri"/>
          <w:color w:val="111111"/>
          <w:sz w:val="28"/>
          <w:sz w:val="28"/>
          <w:szCs w:val="28"/>
          <w:rtl w:val="true"/>
          <w:lang w:bidi="ar-SA"/>
        </w:rPr>
        <w:t xml:space="preserve">كلّ صفحة، وتحمل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وجيزة في الكرّ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هذه النّسخة محفوظ لدى نجل الفقيد آقا محمّد الصّدر زاده، ومصوّرتها محفوظة لدى مؤسّسة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تسلسل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3483035_2870459653"/>
      <w:bookmarkStart w:id="654" w:name="_Toc249"/>
      <w:bookmarkEnd w:id="653"/>
      <w:r>
        <w:rPr>
          <w:rtl w:val="true"/>
        </w:rPr>
        <w:t>النّسخة الرّابعة</w:t>
      </w:r>
      <w:bookmarkEnd w:id="654"/>
    </w:p>
    <w:p>
      <w:pPr>
        <w:pStyle w:val="BookText"/>
        <w:rPr/>
      </w:pPr>
      <w:r>
        <w:rPr>
          <w:rFonts w:ascii="Amiri" w:hAnsi="Amiri" w:eastAsia="Amiri" w:cs="Amiri"/>
          <w:color w:val="111111"/>
          <w:sz w:val="28"/>
          <w:sz w:val="28"/>
          <w:szCs w:val="28"/>
          <w:rtl w:val="true"/>
          <w:lang w:bidi="ar-SA"/>
        </w:rPr>
        <w:t xml:space="preserve">بخطّ تلميذه المرحوم السّيّد مرتضى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تاريخ نسخ، وهي بخطّ النّسخ، ومؤلّفة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في كلّ 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هذه النّسخة محفوظ في خزانة مخطوطات العتبة الرّضويّة المقدّسة، ومصوّرتها محفوظة لدى مؤسّسة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تسلسل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3483037_2870459653"/>
      <w:bookmarkStart w:id="656" w:name="_Toc250"/>
      <w:bookmarkEnd w:id="655"/>
      <w:r>
        <w:rPr>
          <w:rtl w:val="true"/>
        </w:rPr>
        <w:t>النّسخة الخامسة</w:t>
      </w:r>
      <w:bookmarkEnd w:id="656"/>
    </w:p>
    <w:p>
      <w:pPr>
        <w:pStyle w:val="BookText"/>
        <w:rPr/>
      </w:pPr>
      <w:r>
        <w:rPr>
          <w:rFonts w:ascii="Amiri" w:hAnsi="Amiri" w:eastAsia="Amiri" w:cs="Amiri"/>
          <w:color w:val="111111"/>
          <w:sz w:val="28"/>
          <w:sz w:val="28"/>
          <w:szCs w:val="28"/>
          <w:rtl w:val="true"/>
          <w:lang w:bidi="ar-SA"/>
        </w:rPr>
        <w:t xml:space="preserve">بخطّ تلميذه السّيّد رضا عليّ شاه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تاريخ نسخ، وهي بخطّ نستعليق، ومؤلّفة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في كلّ 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مصوّرة هذه النسخة محفوظة لدى مؤسّسة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3483039_2870459653"/>
      <w:bookmarkStart w:id="658" w:name="_Toc251"/>
      <w:bookmarkEnd w:id="657"/>
      <w:r>
        <w:rPr>
          <w:rtl w:val="true"/>
        </w:rPr>
        <w:t>النّسخة السّادسة</w:t>
      </w:r>
      <w:bookmarkEnd w:id="658"/>
    </w:p>
    <w:p>
      <w:pPr>
        <w:pStyle w:val="BookText"/>
        <w:rPr/>
      </w:pPr>
      <w:r>
        <w:rPr>
          <w:rFonts w:ascii="Amiri" w:hAnsi="Amiri" w:eastAsia="Amiri" w:cs="Amiri"/>
          <w:color w:val="111111"/>
          <w:sz w:val="28"/>
          <w:sz w:val="28"/>
          <w:szCs w:val="28"/>
          <w:rtl w:val="true"/>
          <w:lang w:bidi="ar-SA"/>
        </w:rPr>
        <w:t xml:space="preserve">نسخة العتبة الرّضويّة المقدّسة، بلا تاريخ نسخ، وهي بخطّ النّسخ، ومؤلّفة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في كلّ 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هذه النّسخة محفوظ في خزانة مخطوطات العتبة الرّضويّة بتاريخ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المرحوم الميرزا عليّ رضا ابن الميرزا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ومصوّرتها محفوظة لدى مؤسّسة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تسلسل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bookmarkStart w:id="659" w:name="pg9159_85221"/>
    </w:p>
    <w:p>
      <w:pPr>
        <w:pStyle w:val="Heading6"/>
        <w:numPr>
          <w:ilvl w:val="5"/>
          <w:numId w:val="1"/>
        </w:numPr>
        <w:rPr/>
      </w:pPr>
      <w:bookmarkStart w:id="660" w:name="__RefHeading___Toc3483041_2870459653"/>
      <w:bookmarkStart w:id="661" w:name="_Toc252"/>
      <w:bookmarkEnd w:id="659"/>
      <w:bookmarkEnd w:id="660"/>
      <w:r>
        <w:rPr>
          <w:rtl w:val="true"/>
        </w:rPr>
        <w:t>الرّسالة الأخرى</w:t>
      </w:r>
      <w:bookmarkEnd w:id="66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بخطّ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نسخها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مصنّفها، وهي بخطّ النّسخ، ومؤلّفة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في كلّ صفحة، والّتي هي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مجموع تراث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خزانة مكتبة معهد العلمين للدّراسات العليا في النّجف الأشرف</w:t>
      </w:r>
      <w:r>
        <w:rPr>
          <w:rFonts w:eastAsia="Amiri" w:cs="Amiri" w:ascii="Amiri" w:hAnsi="Amiri"/>
          <w:color w:val="111111"/>
          <w:sz w:val="28"/>
          <w:szCs w:val="28"/>
          <w:rtl w:val="true"/>
          <w:lang w:bidi="ar-SA"/>
        </w:rPr>
        <w:t xml:space="preserve">. </w:t>
      </w:r>
      <w:bookmarkStart w:id="662" w:name="pg9159_85222"/>
    </w:p>
    <w:p>
      <w:pPr>
        <w:pStyle w:val="Heading5"/>
        <w:numPr>
          <w:ilvl w:val="4"/>
          <w:numId w:val="1"/>
        </w:numPr>
        <w:rPr/>
      </w:pPr>
      <w:bookmarkStart w:id="663" w:name="__RefHeading___Toc3483043_2870459653"/>
      <w:bookmarkStart w:id="664" w:name="_Toc253"/>
      <w:bookmarkEnd w:id="662"/>
      <w:bookmarkEnd w:id="663"/>
      <w:r>
        <w:rPr>
          <w:rtl w:val="true"/>
        </w:rPr>
        <w:t>عملنا في التّحقيق</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الحروف، وضبطها بمطابقتها مع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مقابلة النّسخ، وإثبات الاختلاف بينها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النّصّ وفق القواعد الإملائيّة والنّحويّة واللّغويّة، ووضع علائم التّرقيم من دون الإشارة إلى جميع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النّصّ وتقطيعه بما يفضي إلى فهمه بشكلٍ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الإضافات بين معقوفين، وما لم نذكر مصدره فهو منّا لاقتضاء السّياق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الأقوال الواردة في النّصّ من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فهرس لبيان المصادر المعتمدة في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نتقدّم بالشّكر الجزيل لكلّ من ساهم في إنجاز هذا العمل لا سيّما مؤسّسة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لتوفيرهم النّسخ الّتي أشرنا إليها من الرّسالة الأولى، وفضيلة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جواد إسلاميّ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تفضّل به من ترجمة النّصوص محلّ الحاجة من اللّغة الفارسيّة إلى العربيّة، فلهم منّا جميعاً عظيم الامتنان، ونسأله تعالى أن يتقبّل بلطفه وكرمه هذا القليل، وله الحمد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الرّاجي عفو ربّه الغنيّ</w:t>
      </w:r>
    </w:p>
    <w:p>
      <w:pPr>
        <w:pStyle w:val="BookText"/>
        <w:rPr/>
      </w:pPr>
      <w:r>
        <w:rPr>
          <w:rFonts w:ascii="Amiri" w:hAnsi="Amiri" w:eastAsia="Amiri" w:cs="Amiri"/>
          <w:color w:val="111111"/>
          <w:sz w:val="28"/>
          <w:sz w:val="28"/>
          <w:szCs w:val="28"/>
          <w:rtl w:val="true"/>
          <w:lang w:bidi="ar-SA"/>
        </w:rPr>
        <w:t>جواد الموسويّ الغريفيّ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الأصل 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26"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الأصل 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29" o:detectmouseclick="t"/>
                <v:stroke color="#3465a4" joinstyle="round" endcap="flat"/>
                <w10:wrap type="none"/>
              </v:shape>
            </w:pict>
          </mc:Fallback>
        </mc:AlternateConten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32" o:detectmouseclick="t"/>
                <v:stroke color="#3465a4" joinstyle="round" endcap="flat"/>
                <w10:wrap type="none"/>
              </v:shape>
            </w:pict>
          </mc:Fallback>
        </mc:AlternateConten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35" o:detectmouseclick="t"/>
                <v:stroke color="#3465a4" joinstyle="round" endcap="flat"/>
                <w10:wrap type="none"/>
              </v:shape>
            </w:pict>
          </mc:Fallback>
        </mc:AlternateConten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1" o:detectmouseclick="t"/>
                <v:stroke color="#3465a4" joinstyle="round" endcap="flat"/>
                <w10:wrap type="none"/>
              </v:shape>
            </w:pict>
          </mc:Fallback>
        </mc:AlternateConten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0" o:detectmouseclick="t"/>
                <v:stroke color="#3465a4" joinstyle="round" endcap="flat"/>
                <w10:wrap type="none"/>
              </v:shape>
            </w:pict>
          </mc:Fallback>
        </mc:AlternateConten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3" o:detectmouseclick="t"/>
                <v:stroke color="#3465a4" joinstyle="round" endcap="flat"/>
                <w10:wrap type="none"/>
              </v:shape>
            </w:pict>
          </mc:Fallback>
        </mc:AlternateConten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6" o:detectmouseclick="t"/>
                <v:stroke color="#3465a4" joinstyle="round" endcap="flat"/>
                <w10:wrap type="none"/>
              </v:shape>
            </w:pict>
          </mc:Fallback>
        </mc:AlternateConten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9" o:detectmouseclick="t"/>
                <v:stroke color="#3465a4" joinstyle="round" endcap="flat"/>
                <w10:wrap type="none"/>
              </v:shape>
            </w:pict>
          </mc:Fallback>
        </mc:AlternateConten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الرّسالة الأخرى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2" o:detectmouseclick="t"/>
                <v:stroke color="#3465a4" joinstyle="round" endcap="flat"/>
                <w10:wrap type="none"/>
              </v:shape>
            </w:pict>
          </mc:Fallback>
        </mc:AlternateConten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الرّسالة الأخرى </w:t>
      </w:r>
      <w:bookmarkStart w:id="665" w:name="pg9159_85237"/>
    </w:p>
    <w:p>
      <w:pPr>
        <w:pStyle w:val="Heading3"/>
        <w:numPr>
          <w:ilvl w:val="2"/>
          <w:numId w:val="1"/>
        </w:numPr>
        <w:rPr/>
      </w:pPr>
      <w:bookmarkStart w:id="666" w:name="__RefHeading___Toc3483045_2870459653"/>
      <w:bookmarkStart w:id="667" w:name="_Toc254"/>
      <w:bookmarkEnd w:id="665"/>
      <w:bookmarkEnd w:id="666"/>
      <w:r>
        <w:rPr>
          <w:rtl w:val="true"/>
        </w:rPr>
        <w:t xml:space="preserve">رسالة في الكرّ </w:t>
      </w:r>
      <w:r>
        <w:rPr>
          <w:rtl w:val="true"/>
        </w:rPr>
        <w:t xml:space="preserve">- </w:t>
      </w:r>
      <w:r>
        <w:rPr>
          <w:rtl w:val="true"/>
        </w:rPr>
        <w:t xml:space="preserve">الشیخ الميرزا مهديّ الغروی الأصفهانيّ </w:t>
      </w:r>
      <w:r>
        <w:rPr>
          <w:rtl w:val="true"/>
        </w:rPr>
        <w:t>(</w:t>
      </w:r>
      <w:r>
        <w:rPr>
          <w:rtl w:val="true"/>
        </w:rPr>
        <w:t>قدس سره</w:t>
      </w:r>
      <w:r>
        <w:rPr>
          <w:rtl w:val="true"/>
        </w:rPr>
        <w:t>)</w:t>
      </w:r>
      <w:bookmarkEnd w:id="667"/>
    </w:p>
    <w:p>
      <w:pPr>
        <w:pStyle w:val="Heading4"/>
        <w:numPr>
          <w:ilvl w:val="3"/>
          <w:numId w:val="1"/>
        </w:numPr>
        <w:rPr/>
      </w:pPr>
      <w:bookmarkStart w:id="668" w:name="__RefHeading___Toc3483047_2870459653"/>
      <w:bookmarkStart w:id="669" w:name="_Toc255"/>
      <w:bookmarkEnd w:id="668"/>
      <w:r>
        <w:rPr>
          <w:rtl w:val="true"/>
        </w:rPr>
        <w:t>اشارة</w:t>
      </w:r>
      <w:bookmarkEnd w:id="669"/>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الفقيه المتألّه آية الله</w:t>
      </w:r>
    </w:p>
    <w:p>
      <w:pPr>
        <w:pStyle w:val="BookText"/>
        <w:rPr/>
      </w:pPr>
      <w:r>
        <w:rPr>
          <w:rFonts w:ascii="IRNazanin" w:hAnsi="IRNazanin" w:eastAsia="IRNazanin"/>
          <w:color w:val="111111"/>
          <w:sz w:val="28"/>
          <w:sz w:val="28"/>
          <w:szCs w:val="28"/>
          <w:rtl w:val="true"/>
          <w:lang w:bidi="fa-IR"/>
        </w:rPr>
        <w:t xml:space="preserve">الشیخ الميرزا مهديّ الغروی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دراسات علميّة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الحمد لله ربّ العالمين، والصّلاة على أشرف الأنبياء والمرسلين، والسّلام على محمّد</w:t>
      </w:r>
      <w:r>
        <w:rPr>
          <w:rStyle w:val="FootnoteAnchor"/>
          <w:rtl w:val="true"/>
        </w:rPr>
        <w:footnoteReference w:id="479"/>
      </w:r>
      <w:r>
        <w:rPr>
          <w:rFonts w:ascii="Amiri" w:hAnsi="Amiri" w:eastAsia="Amiri" w:cs="Amiri"/>
          <w:color w:val="111111"/>
          <w:sz w:val="28"/>
          <w:sz w:val="28"/>
          <w:szCs w:val="28"/>
          <w:rtl w:val="true"/>
          <w:lang w:bidi="ar-SA"/>
        </w:rPr>
        <w:t>وآله المعصومين الطّاهرين أجمعين، واللّعنة على أعدائهم أبد الآبدين</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الماء بقدرته، وجعله طاهراً برحمته، ومطهّراً لعباده برأفته، والصّلاة والسّلام على نبيّه المصطفى وعبده المجتبى، المبعوث على كافّة الجنّ والإنس، ليزكّيهم من كلّ دنس ورجس، وعترته المنتجبين، عاصم من اعتصم بهم، وهالك مَنْ تخلّف عنهم، هم دعائم الإسلام، وعليهم من الله ألف ألف صلاة وسلام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فهذه رسالة في أنّ الكرَّ المحدّد</w:t>
      </w:r>
      <w:r>
        <w:rPr>
          <w:rStyle w:val="FootnoteAnchor"/>
          <w:rtl w:val="true"/>
        </w:rPr>
        <w:footnoteReference w:id="481"/>
      </w:r>
      <w:r>
        <w:rPr>
          <w:rFonts w:ascii="Amiri" w:hAnsi="Amiri" w:eastAsia="Amiri" w:cs="Amiri"/>
          <w:color w:val="111111"/>
          <w:sz w:val="28"/>
          <w:sz w:val="28"/>
          <w:szCs w:val="28"/>
          <w:rtl w:val="true"/>
          <w:lang w:bidi="ar-SA"/>
        </w:rPr>
        <w:t xml:space="preserve">للماء العاصم في الشّريعة المقدّسة الختميّة ليس بنفسه من الأوزان، ولا متعيّناً بها بالتّبع، بل كيلٌ مدوّرٌ سعتُهُ ثلاثة </w:t>
      </w:r>
      <w:bookmarkStart w:id="670" w:name="pg9159_85240"/>
    </w:p>
    <w:p>
      <w:pPr>
        <w:pStyle w:val="BookText"/>
        <w:rPr/>
      </w:pPr>
      <w:bookmarkEnd w:id="670"/>
      <w:r>
        <w:rPr>
          <w:rFonts w:ascii="Amiri" w:hAnsi="Amiri" w:eastAsia="Amiri" w:cs="Amiri"/>
          <w:color w:val="111111"/>
          <w:sz w:val="28"/>
          <w:sz w:val="28"/>
          <w:szCs w:val="28"/>
          <w:rtl w:val="true"/>
          <w:lang w:bidi="ar-SA"/>
        </w:rPr>
        <w:t>أشبارٍ ونصفٍ في عمقٍ</w:t>
      </w:r>
      <w:r>
        <w:rPr>
          <w:rStyle w:val="FootnoteAnchor"/>
          <w:rtl w:val="true"/>
        </w:rPr>
        <w:footnoteReference w:id="482"/>
      </w:r>
      <w:r>
        <w:rPr>
          <w:rFonts w:ascii="Amiri" w:hAnsi="Amiri" w:eastAsia="Amiri" w:cs="Amiri"/>
          <w:color w:val="111111"/>
          <w:sz w:val="28"/>
          <w:sz w:val="28"/>
          <w:szCs w:val="28"/>
          <w:rtl w:val="true"/>
          <w:lang w:bidi="ar-SA"/>
        </w:rPr>
        <w:t>كذلك</w:t>
      </w:r>
      <w:r>
        <w:rPr>
          <w:rStyle w:val="FootnoteAnchor"/>
          <w:rtl w:val="true"/>
        </w:rPr>
        <w:footnoteReference w:id="483"/>
      </w:r>
      <w:r>
        <w:rPr>
          <w:rFonts w:ascii="Amiri" w:hAnsi="Amiri" w:eastAsia="Amiri" w:cs="Amiri"/>
          <w:color w:val="111111"/>
          <w:sz w:val="28"/>
          <w:sz w:val="28"/>
          <w:szCs w:val="28"/>
          <w:rtl w:val="true"/>
          <w:lang w:bidi="ar-SA"/>
        </w:rPr>
        <w:t>، وهي مشتملةٌ على مقدّمة ومقصدين وخاتمة</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483049_2870459653"/>
      <w:bookmarkStart w:id="672" w:name="_Toc256"/>
      <w:bookmarkEnd w:id="671"/>
      <w:r>
        <w:rPr>
          <w:rtl w:val="true"/>
        </w:rPr>
        <w:t>أمّا المقدّمة ففي بيان أمور</w:t>
      </w:r>
      <w:bookmarkEnd w:id="672"/>
    </w:p>
    <w:p>
      <w:pPr>
        <w:pStyle w:val="Heading5"/>
        <w:numPr>
          <w:ilvl w:val="4"/>
          <w:numId w:val="1"/>
        </w:numPr>
        <w:rPr/>
      </w:pPr>
      <w:bookmarkStart w:id="673" w:name="__RefHeading___Toc3483051_2870459653"/>
      <w:bookmarkStart w:id="674" w:name="_Toc257"/>
      <w:bookmarkEnd w:id="673"/>
      <w:r>
        <w:rPr>
          <w:rtl w:val="true"/>
        </w:rPr>
        <w:t>الأمر الأوّل</w:t>
      </w:r>
      <w:bookmarkEnd w:id="67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نظر إلى بدء تكامل كلّ</w:t>
      </w:r>
      <w:r>
        <w:rPr>
          <w:rStyle w:val="FootnoteAnchor"/>
          <w:rtl w:val="true"/>
        </w:rPr>
        <w:footnoteReference w:id="484"/>
      </w:r>
      <w:r>
        <w:rPr>
          <w:rFonts w:ascii="Amiri" w:hAnsi="Amiri" w:eastAsia="Amiri" w:cs="Amiri"/>
          <w:color w:val="111111"/>
          <w:sz w:val="28"/>
          <w:sz w:val="28"/>
          <w:szCs w:val="28"/>
          <w:rtl w:val="true"/>
          <w:lang w:bidi="ar-SA"/>
        </w:rPr>
        <w:t>أمّة وارتقائهم في المدنيّة يشاهدُ اختلاف الأشياء كيلاً</w:t>
      </w:r>
      <w:r>
        <w:rPr>
          <w:rStyle w:val="FootnoteAnchor"/>
          <w:rtl w:val="true"/>
        </w:rPr>
        <w:footnoteReference w:id="485"/>
      </w:r>
      <w:r>
        <w:rPr>
          <w:rFonts w:ascii="Amiri" w:hAnsi="Amiri" w:eastAsia="Amiri" w:cs="Amiri"/>
          <w:color w:val="111111"/>
          <w:sz w:val="28"/>
          <w:sz w:val="28"/>
          <w:szCs w:val="28"/>
          <w:rtl w:val="true"/>
          <w:lang w:bidi="ar-SA"/>
        </w:rPr>
        <w:t>وعدداً، وأنّ ما كان مكيلاً</w:t>
      </w:r>
      <w:r>
        <w:rPr>
          <w:rStyle w:val="FootnoteAnchor"/>
          <w:rtl w:val="true"/>
        </w:rPr>
        <w:footnoteReference w:id="486"/>
      </w:r>
      <w:r>
        <w:rPr>
          <w:rFonts w:ascii="Amiri" w:hAnsi="Amiri" w:eastAsia="Amiri" w:cs="Amiri"/>
          <w:color w:val="111111"/>
          <w:sz w:val="28"/>
          <w:sz w:val="28"/>
          <w:szCs w:val="28"/>
          <w:rtl w:val="true"/>
          <w:lang w:bidi="ar-SA"/>
        </w:rPr>
        <w:t>قد ينقلب بالتّدريج</w:t>
      </w:r>
      <w:r>
        <w:rPr>
          <w:rStyle w:val="FootnoteAnchor"/>
          <w:rtl w:val="true"/>
        </w:rPr>
        <w:footnoteReference w:id="487"/>
      </w:r>
      <w:r>
        <w:rPr>
          <w:rFonts w:ascii="Amiri" w:hAnsi="Amiri" w:eastAsia="Amiri" w:cs="Amiri"/>
          <w:color w:val="111111"/>
          <w:sz w:val="28"/>
          <w:sz w:val="28"/>
          <w:szCs w:val="28"/>
          <w:rtl w:val="true"/>
          <w:lang w:bidi="ar-SA"/>
        </w:rPr>
        <w:t>موزوناً، وقد لا ينقلب، بل يبقى مكيلاً</w:t>
      </w:r>
      <w:r>
        <w:rPr>
          <w:rStyle w:val="FootnoteAnchor"/>
          <w:rtl w:val="true"/>
        </w:rPr>
        <w:footnoteReference w:id="488"/>
      </w:r>
      <w:r>
        <w:rPr>
          <w:rFonts w:ascii="Amiri" w:hAnsi="Amiri" w:eastAsia="Amiri" w:cs="Amiri"/>
          <w:color w:val="111111"/>
          <w:sz w:val="28"/>
          <w:sz w:val="28"/>
          <w:szCs w:val="28"/>
          <w:rtl w:val="true"/>
          <w:lang w:bidi="ar-SA"/>
        </w:rPr>
        <w:t>ولو في حال</w:t>
      </w:r>
      <w:r>
        <w:rPr>
          <w:rStyle w:val="FootnoteAnchor"/>
          <w:rtl w:val="true"/>
        </w:rPr>
        <w:footnoteReference w:id="489"/>
      </w:r>
      <w:r>
        <w:rPr>
          <w:rFonts w:ascii="Amiri" w:hAnsi="Amiri" w:eastAsia="Amiri" w:cs="Amiri"/>
          <w:color w:val="111111"/>
          <w:sz w:val="28"/>
          <w:sz w:val="28"/>
          <w:szCs w:val="28"/>
          <w:rtl w:val="true"/>
          <w:lang w:bidi="ar-SA"/>
        </w:rPr>
        <w:t>عزّة وجوده، فما قيل من أنّ الوزن أصل في</w:t>
      </w:r>
      <w:r>
        <w:rPr>
          <w:rStyle w:val="FootnoteAnchor"/>
          <w:rtl w:val="true"/>
        </w:rPr>
        <w:footnoteReference w:id="490"/>
      </w:r>
      <w:r>
        <w:rPr>
          <w:rFonts w:ascii="Amiri" w:hAnsi="Amiri" w:eastAsia="Amiri" w:cs="Amiri"/>
          <w:color w:val="111111"/>
          <w:sz w:val="28"/>
          <w:sz w:val="28"/>
          <w:szCs w:val="28"/>
          <w:rtl w:val="true"/>
          <w:lang w:bidi="ar-SA"/>
        </w:rPr>
        <w:t>الكيل؛ لأنّه أضبط</w:t>
      </w:r>
      <w:r>
        <w:rPr>
          <w:rStyle w:val="FootnoteAnchor"/>
          <w:rtl w:val="true"/>
        </w:rPr>
        <w:footnoteReference w:id="491"/>
      </w:r>
      <w:r>
        <w:rPr>
          <w:rFonts w:ascii="Amiri" w:hAnsi="Amiri" w:eastAsia="Amiri" w:cs="Amiri"/>
          <w:color w:val="111111"/>
          <w:sz w:val="28"/>
          <w:sz w:val="28"/>
          <w:szCs w:val="28"/>
          <w:rtl w:val="true"/>
          <w:lang w:bidi="ar-SA"/>
        </w:rPr>
        <w:t>كلامٌ</w:t>
      </w:r>
      <w:r>
        <w:rPr>
          <w:rStyle w:val="FootnoteAnchor"/>
          <w:rtl w:val="true"/>
        </w:rPr>
        <w:footnoteReference w:id="492"/>
      </w:r>
      <w:r>
        <w:rPr>
          <w:rFonts w:ascii="Amiri" w:hAnsi="Amiri" w:eastAsia="Amiri" w:cs="Amiri"/>
          <w:color w:val="111111"/>
          <w:sz w:val="28"/>
          <w:sz w:val="28"/>
          <w:szCs w:val="28"/>
          <w:rtl w:val="true"/>
          <w:lang w:bidi="ar-SA"/>
        </w:rPr>
        <w:t xml:space="preserve">خالٍ عن التّحصيل، وذلك يظهر </w:t>
      </w:r>
      <w:bookmarkStart w:id="675" w:name="pg9159_85241"/>
    </w:p>
    <w:p>
      <w:pPr>
        <w:pStyle w:val="BookText"/>
        <w:rPr/>
      </w:pPr>
      <w:bookmarkEnd w:id="675"/>
      <w:r>
        <w:rPr>
          <w:rFonts w:ascii="Amiri" w:hAnsi="Amiri" w:eastAsia="Amiri" w:cs="Amiri"/>
          <w:color w:val="111111"/>
          <w:sz w:val="28"/>
          <w:sz w:val="28"/>
          <w:szCs w:val="28"/>
          <w:rtl w:val="true"/>
          <w:lang w:bidi="ar-SA"/>
        </w:rPr>
        <w:t>بالرّجوع إلى أهل الصّحاري، والبراري البعيدة عن المدن، فمن نظر نظراً تامّاً كاملاً في ارتقائهم، وتتبّع تواريخ</w:t>
      </w:r>
      <w:r>
        <w:rPr>
          <w:rStyle w:val="FootnoteAnchor"/>
          <w:rtl w:val="true"/>
        </w:rPr>
        <w:footnoteReference w:id="493"/>
      </w:r>
      <w:r>
        <w:rPr>
          <w:rFonts w:ascii="Amiri" w:hAnsi="Amiri" w:eastAsia="Amiri" w:cs="Amiri"/>
          <w:color w:val="111111"/>
          <w:sz w:val="28"/>
          <w:sz w:val="28"/>
          <w:szCs w:val="28"/>
          <w:rtl w:val="true"/>
          <w:lang w:bidi="ar-SA"/>
        </w:rPr>
        <w:t>الأمم المختلفة، وكيفيّة ارتقائهم وسيرهم في أمور معاشهم ومدنيّتهم</w:t>
      </w:r>
      <w:r>
        <w:rPr>
          <w:rStyle w:val="FootnoteAnchor"/>
          <w:rtl w:val="true"/>
        </w:rPr>
        <w:footnoteReference w:id="494"/>
      </w:r>
      <w:r>
        <w:rPr>
          <w:rFonts w:ascii="Amiri" w:hAnsi="Amiri" w:eastAsia="Amiri" w:cs="Amiri"/>
          <w:color w:val="111111"/>
          <w:sz w:val="28"/>
          <w:sz w:val="28"/>
          <w:szCs w:val="28"/>
          <w:rtl w:val="true"/>
          <w:lang w:bidi="ar-SA"/>
        </w:rPr>
        <w:t>، وتدريجيّة تكاملهم يُصدِّق من غير ريبٍ بأنّ الكيل أصل الوزن فإنّه بعد ارتقاء أمّة، وعزّة الشّيء قد يصير المكيل</w:t>
      </w:r>
      <w:r>
        <w:rPr>
          <w:rStyle w:val="FootnoteAnchor"/>
          <w:rtl w:val="true"/>
        </w:rPr>
        <w:footnoteReference w:id="495"/>
      </w:r>
      <w:r>
        <w:rPr>
          <w:rFonts w:ascii="Amiri" w:hAnsi="Amiri" w:eastAsia="Amiri" w:cs="Amiri"/>
          <w:color w:val="111111"/>
          <w:sz w:val="28"/>
          <w:sz w:val="28"/>
          <w:szCs w:val="28"/>
          <w:rtl w:val="true"/>
          <w:lang w:bidi="ar-SA"/>
        </w:rPr>
        <w:t>موزوناً، ويوجد الوزن من حيث الموضوعيّة، ويخترع باختلاف مراتبه حتّى يخترع وزن لا اختلاف في أصله</w:t>
      </w:r>
      <w:r>
        <w:rPr>
          <w:rStyle w:val="FootnoteAnchor"/>
          <w:rtl w:val="true"/>
        </w:rPr>
        <w:footnoteReference w:id="496"/>
      </w:r>
      <w:r>
        <w:rPr>
          <w:rFonts w:ascii="Amiri" w:hAnsi="Amiri" w:eastAsia="Amiri" w:cs="Amiri"/>
          <w:color w:val="111111"/>
          <w:sz w:val="28"/>
          <w:sz w:val="28"/>
          <w:szCs w:val="28"/>
          <w:rtl w:val="true"/>
          <w:lang w:bidi="ar-SA"/>
        </w:rPr>
        <w:t>، ولا مسامحة فيه ولو يسيراً، كما هو المتعارف الآن في أوزان الغربيّين</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3483053_2870459653"/>
      <w:bookmarkStart w:id="677" w:name="_Toc258"/>
      <w:bookmarkEnd w:id="676"/>
      <w:r>
        <w:rPr>
          <w:rtl w:val="true"/>
        </w:rPr>
        <w:t>الأمر الثانی</w:t>
      </w:r>
      <w:bookmarkEnd w:id="67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w:t>
      </w:r>
      <w:r>
        <w:rPr>
          <w:rStyle w:val="FootnoteAnchor"/>
          <w:rtl w:val="true"/>
        </w:rPr>
        <w:footnoteReference w:id="497"/>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أنّ لبعض المكيلات سيراً طبيعيّاً في طيّ مدارج ارتقاء الأمم وتكاملهم، ظهر</w:t>
      </w:r>
      <w:r>
        <w:rPr>
          <w:rStyle w:val="FootnoteAnchor"/>
          <w:rtl w:val="true"/>
        </w:rPr>
        <w:footnoteReference w:id="498"/>
      </w:r>
      <w:r>
        <w:rPr>
          <w:rFonts w:ascii="Amiri" w:hAnsi="Amiri" w:eastAsia="Amiri" w:cs="Amiri"/>
          <w:color w:val="111111"/>
          <w:sz w:val="28"/>
          <w:sz w:val="28"/>
          <w:szCs w:val="28"/>
          <w:rtl w:val="true"/>
          <w:lang w:bidi="ar-SA"/>
        </w:rPr>
        <w:t>أنّ هذا السّير الطّبيعيّ جارٍ بعينه في ألفاظ مكاييلهم في معاملاتهم ومعاشراتهم حذو النّعل بالنّعل، فتتدرّج الألفاظ الموضوعة للمكاييل خاصّة، فيطلق</w:t>
      </w:r>
      <w:r>
        <w:rPr>
          <w:rStyle w:val="FootnoteAnchor"/>
          <w:rtl w:val="true"/>
        </w:rPr>
        <w:footnoteReference w:id="499"/>
      </w:r>
      <w:r>
        <w:rPr>
          <w:rFonts w:ascii="Amiri" w:hAnsi="Amiri" w:eastAsia="Amiri" w:cs="Amiri"/>
          <w:color w:val="111111"/>
          <w:sz w:val="28"/>
          <w:sz w:val="28"/>
          <w:szCs w:val="28"/>
          <w:rtl w:val="true"/>
          <w:lang w:bidi="ar-SA"/>
        </w:rPr>
        <w:t>على وزن ما يُكال بها طريقاً إلى قدر المكيال، ثُمّ ينقلب إطلاقها من حيث الطّريقيّة إلى الموضوعيّة بحيث لو أطلق لفظ منها على نفس الكيل يؤخذ طريقاً إلى الوزن، بل ربّما يُطلق على نفس الصّنج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وما يوزن به</w:t>
      </w:r>
      <w:r>
        <w:rPr>
          <w:rFonts w:eastAsia="Amiri" w:cs="Amiri" w:ascii="Amiri" w:hAnsi="Amiri"/>
          <w:color w:val="111111"/>
          <w:sz w:val="28"/>
          <w:szCs w:val="28"/>
          <w:rtl w:val="true"/>
          <w:lang w:bidi="ar-SA"/>
        </w:rPr>
        <w:t xml:space="preserve">. </w:t>
      </w:r>
      <w:bookmarkStart w:id="678" w:name="pg9159_85242"/>
    </w:p>
    <w:p>
      <w:pPr>
        <w:pStyle w:val="Heading5"/>
        <w:numPr>
          <w:ilvl w:val="4"/>
          <w:numId w:val="1"/>
        </w:numPr>
        <w:rPr/>
      </w:pPr>
      <w:bookmarkStart w:id="679" w:name="__RefHeading___Toc3483055_2870459653"/>
      <w:bookmarkStart w:id="680" w:name="_Toc259"/>
      <w:bookmarkEnd w:id="678"/>
      <w:bookmarkEnd w:id="679"/>
      <w:r>
        <w:rPr>
          <w:rtl w:val="true"/>
        </w:rPr>
        <w:t>الأمر الثّالث</w:t>
      </w:r>
      <w:bookmarkEnd w:id="68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بل المقطوع أنّ الكُرّ من المكاييل، وأنّه</w:t>
      </w:r>
      <w:r>
        <w:rPr>
          <w:rStyle w:val="FootnoteAnchor"/>
          <w:rtl w:val="true"/>
        </w:rPr>
        <w:footnoteReference w:id="501"/>
      </w:r>
      <w:r>
        <w:rPr>
          <w:rFonts w:ascii="Amiri" w:hAnsi="Amiri" w:eastAsia="Amiri" w:cs="Amiri"/>
          <w:color w:val="111111"/>
          <w:sz w:val="28"/>
          <w:sz w:val="28"/>
          <w:szCs w:val="28"/>
          <w:rtl w:val="true"/>
          <w:lang w:bidi="ar-SA"/>
        </w:rPr>
        <w:t>كان كيلاً لأهل العراق يكيلون به الطّعام، وصرّح بهذا جماعة من اللّغويّين كالهرويّ</w:t>
      </w:r>
      <w:r>
        <w:rPr>
          <w:rStyle w:val="FootnoteAnchor"/>
          <w:rtl w:val="true"/>
        </w:rPr>
        <w:footnoteReference w:id="502"/>
      </w:r>
      <w:r>
        <w:rPr>
          <w:rFonts w:ascii="IRNazanin" w:hAnsi="IRNazanin" w:eastAsia="IRNazanin"/>
          <w:color w:val="111111"/>
          <w:sz w:val="28"/>
          <w:sz w:val="28"/>
          <w:szCs w:val="28"/>
          <w:rtl w:val="true"/>
          <w:lang w:bidi="fa-IR"/>
        </w:rPr>
        <w:t>، والقاموس</w:t>
      </w:r>
      <w:r>
        <w:rPr>
          <w:rStyle w:val="FootnoteAnchor"/>
          <w:rtl w:val="true"/>
        </w:rPr>
        <w:footnoteReference w:id="503"/>
      </w:r>
      <w:r>
        <w:rPr>
          <w:rFonts w:ascii="Amiri" w:hAnsi="Amiri" w:eastAsia="Amiri" w:cs="Amiri"/>
          <w:color w:val="111111"/>
          <w:sz w:val="28"/>
          <w:sz w:val="28"/>
          <w:szCs w:val="28"/>
          <w:rtl w:val="true"/>
          <w:lang w:bidi="ar-SA"/>
        </w:rPr>
        <w:t>، والنّهاية</w:t>
      </w:r>
      <w:r>
        <w:rPr>
          <w:rStyle w:val="FootnoteAnchor"/>
          <w:rtl w:val="true"/>
        </w:rPr>
        <w:footnoteReference w:id="504"/>
      </w:r>
      <w:r>
        <w:rPr>
          <w:rFonts w:ascii="IRNazanin" w:hAnsi="IRNazanin" w:eastAsia="IRNazanin"/>
          <w:color w:val="111111"/>
          <w:sz w:val="28"/>
          <w:sz w:val="28"/>
          <w:szCs w:val="28"/>
          <w:rtl w:val="true"/>
          <w:lang w:bidi="fa-IR"/>
        </w:rPr>
        <w:t>، والمجمع</w:t>
      </w:r>
      <w:r>
        <w:rPr>
          <w:rStyle w:val="FootnoteAnchor"/>
          <w:rtl w:val="true"/>
        </w:rPr>
        <w:footnoteReference w:id="505"/>
      </w:r>
      <w:r>
        <w:rPr>
          <w:rFonts w:ascii="IRNazanin" w:hAnsi="IRNazanin" w:eastAsia="IRNazanin"/>
          <w:color w:val="111111"/>
          <w:sz w:val="28"/>
          <w:sz w:val="28"/>
          <w:szCs w:val="28"/>
          <w:rtl w:val="true"/>
          <w:lang w:bidi="fa-IR"/>
        </w:rPr>
        <w:t>، والبرهان القاطع</w:t>
      </w:r>
      <w:r>
        <w:rPr>
          <w:rStyle w:val="FootnoteAnchor"/>
          <w:rtl w:val="true"/>
        </w:rPr>
        <w:footnoteReference w:id="506"/>
      </w:r>
      <w:r>
        <w:rPr>
          <w:rFonts w:ascii="Amiri" w:hAnsi="Amiri" w:eastAsia="Amiri" w:cs="Amiri"/>
          <w:color w:val="111111"/>
          <w:sz w:val="28"/>
          <w:sz w:val="28"/>
          <w:szCs w:val="28"/>
          <w:rtl w:val="true"/>
          <w:lang w:bidi="ar-SA"/>
        </w:rPr>
        <w:t>، وغياث اللّغة</w:t>
      </w:r>
      <w:r>
        <w:rPr>
          <w:rStyle w:val="FootnoteAnchor"/>
          <w:rtl w:val="true"/>
        </w:rPr>
        <w:footnoteReference w:id="507"/>
      </w:r>
      <w:r>
        <w:rPr>
          <w:rFonts w:ascii="Amiri" w:hAnsi="Amiri" w:eastAsia="Amiri" w:cs="Amiri"/>
          <w:color w:val="111111"/>
          <w:sz w:val="28"/>
          <w:sz w:val="28"/>
          <w:szCs w:val="28"/>
          <w:rtl w:val="true"/>
          <w:lang w:bidi="ar-SA"/>
        </w:rPr>
        <w:t>، وجماعة من الفقهاء كالمحقّق ناقلاً عن اللّغة</w:t>
      </w:r>
      <w:r>
        <w:rPr>
          <w:rStyle w:val="FootnoteAnchor"/>
          <w:rtl w:val="true"/>
        </w:rPr>
        <w:footnoteReference w:id="508"/>
      </w:r>
      <w:r>
        <w:rPr>
          <w:rFonts w:ascii="Amiri" w:hAnsi="Amiri" w:eastAsia="Amiri" w:cs="Amiri"/>
          <w:color w:val="111111"/>
          <w:sz w:val="28"/>
          <w:sz w:val="28"/>
          <w:szCs w:val="28"/>
          <w:rtl w:val="true"/>
          <w:lang w:bidi="ar-SA"/>
        </w:rPr>
        <w:t>، وكاشف الغطاء</w:t>
      </w:r>
      <w:r>
        <w:rPr>
          <w:rStyle w:val="FootnoteAnchor"/>
          <w:rtl w:val="true"/>
        </w:rPr>
        <w:footnoteReference w:id="509"/>
      </w:r>
      <w:r>
        <w:rPr>
          <w:rFonts w:ascii="Amiri" w:hAnsi="Amiri" w:eastAsia="Amiri" w:cs="Amiri"/>
          <w:color w:val="111111"/>
          <w:sz w:val="28"/>
          <w:sz w:val="28"/>
          <w:szCs w:val="28"/>
          <w:rtl w:val="true"/>
          <w:lang w:bidi="ar-SA"/>
        </w:rPr>
        <w:t>، وبعض مشايخ صاحب الحدائق</w:t>
      </w:r>
      <w:r>
        <w:rPr>
          <w:rStyle w:val="FootnoteAnchor"/>
          <w:rtl w:val="true"/>
        </w:rPr>
        <w:footnoteReference w:id="510"/>
      </w:r>
      <w:r>
        <w:rPr>
          <w:rFonts w:ascii="Amiri" w:hAnsi="Amiri" w:eastAsia="Amiri" w:cs="Amiri"/>
          <w:color w:val="111111"/>
          <w:sz w:val="28"/>
          <w:sz w:val="28"/>
          <w:szCs w:val="28"/>
          <w:rtl w:val="true"/>
          <w:lang w:bidi="ar-SA"/>
        </w:rPr>
        <w:t>، والمحقّق التّستريّ</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الأدباء نجم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يُعرف به قدر المكيل</w:t>
      </w:r>
      <w:r>
        <w:rPr>
          <w:rStyle w:val="FootnoteAnchor"/>
          <w:rtl w:val="true"/>
        </w:rPr>
        <w:footnoteReference w:id="512"/>
      </w:r>
      <w:r>
        <w:rPr>
          <w:rFonts w:ascii="Amiri" w:hAnsi="Amiri" w:eastAsia="Amiri" w:cs="Amiri"/>
          <w:color w:val="111111"/>
          <w:sz w:val="28"/>
          <w:sz w:val="28"/>
          <w:szCs w:val="28"/>
          <w:rtl w:val="true"/>
          <w:lang w:bidi="ar-SA"/>
        </w:rPr>
        <w:t>كالقفيز والكرّ</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الرّطل فهو أيضاً اسم لكيلٍ معيّن،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كيلاً يسع نصف المنّ من الخمر، كما في كتب اللّغة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رأيناها في العتبة المقدّسة الرّضويّة، ففي مجمل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يُكال به</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وفي ترجمان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ورَطل پيمانه نيم من</w:t>
      </w:r>
      <w:r>
        <w:rPr>
          <w:rFonts w:eastAsia="IRNazanin" w:cs="IRNazanin"/>
          <w:color w:val="111111"/>
          <w:sz w:val="28"/>
          <w:szCs w:val="28"/>
          <w:rtl w:val="true"/>
          <w:lang w:bidi="fa-IR"/>
        </w:rPr>
        <w:t>)</w:t>
      </w:r>
      <w:r>
        <w:rPr>
          <w:rStyle w:val="FootnoteAnchor"/>
          <w:rtl w:val="true"/>
        </w:rPr>
        <w:footnoteReference w:id="515"/>
      </w:r>
      <w:r>
        <w:rPr>
          <w:rStyle w:val="FootnoteAnchor"/>
          <w:rtl w:val="true"/>
        </w:rPr>
        <w:footnoteReference w:id="516"/>
      </w:r>
      <w:r>
        <w:rPr>
          <w:rFonts w:ascii="Amiri" w:hAnsi="Amiri" w:eastAsia="Amiri" w:cs="Amiri"/>
          <w:color w:val="111111"/>
          <w:sz w:val="28"/>
          <w:sz w:val="28"/>
          <w:szCs w:val="28"/>
          <w:rtl w:val="true"/>
          <w:lang w:bidi="ar-SA"/>
        </w:rPr>
        <w:t>، وفي إجمال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w:t>
      </w:r>
      <w:r>
        <w:rPr>
          <w:rStyle w:val="FootnoteAnchor"/>
          <w:rtl w:val="true"/>
        </w:rPr>
        <w:footnoteReference w:id="5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شراب وپيمانه است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وفي غياث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پيمانه نيم من وكاهى لفظ رطل بمعنى پياله شراب آيد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وفي البرهان القاطع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پياله وپيمانه بزرگ باشد</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وفي دائرة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 مكيال، وهو رطلان عند أهل العراق، ورطل وثلث عند أهل الحجاز</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دستور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الرّطل نصف من القبّان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وقال الفاضل الخبير السّيّد عليّ خان الكبير</w:t>
      </w:r>
      <w:r>
        <w:rPr>
          <w:rStyle w:val="FootnoteAnchor"/>
          <w:rtl w:val="true"/>
        </w:rPr>
        <w:footnoteReference w:id="523"/>
      </w:r>
      <w:r>
        <w:rPr>
          <w:rFonts w:ascii="IRNazanin" w:hAnsi="IRNazanin" w:eastAsia="IRNazanin"/>
          <w:color w:val="111111"/>
          <w:sz w:val="28"/>
          <w:sz w:val="28"/>
          <w:szCs w:val="28"/>
          <w:rtl w:val="true"/>
          <w:lang w:bidi="fa-IR"/>
        </w:rPr>
        <w:t>ناقلاً عن المغرب</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يوزن به أو 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وفي الحدائق نقلاً عن مشايخه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الكُرّ والرّطل مكيال</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xml:space="preserve">، وفي رواية الكلبيّ النّسّابة في باب الأنبذة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الأرطال؟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أرطال مكيال العراق</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على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تبعد صيرورته في الأزمنة المتأخّرة عن الصّادقَين حقيقة في الوزن كما يظهر من بعض اللّغويين والأدباء</w:t>
      </w:r>
      <w:r>
        <w:rPr>
          <w:rStyle w:val="FootnoteAnchor"/>
          <w:rtl w:val="true"/>
        </w:rPr>
        <w:footnoteReference w:id="529"/>
      </w:r>
      <w:r>
        <w:rPr>
          <w:rFonts w:ascii="Amiri" w:hAnsi="Amiri" w:eastAsia="Amiri" w:cs="Amiri"/>
          <w:color w:val="111111"/>
          <w:sz w:val="28"/>
          <w:sz w:val="28"/>
          <w:szCs w:val="28"/>
          <w:rtl w:val="true"/>
          <w:lang w:bidi="ar-SA"/>
        </w:rPr>
        <w:t>حتّى نقل بعضهم أنّه موضوعٌ للصّنجة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حال الصّاع، والمدّ وأنّهما من المكاييل، ففي دائرة المعارف</w:t>
      </w:r>
      <w:r>
        <w:rPr>
          <w:rFonts w:eastAsia="Amiri" w:cs="Amiri" w:ascii="Amiri" w:hAnsi="Amiri"/>
          <w:color w:val="111111"/>
          <w:sz w:val="28"/>
          <w:szCs w:val="28"/>
          <w:rtl w:val="true"/>
          <w:lang w:bidi="ar-SA"/>
        </w:rPr>
        <w:t xml:space="preserve">: </w:t>
      </w:r>
      <w:bookmarkStart w:id="681" w:name="pg9159_85245"/>
    </w:p>
    <w:p>
      <w:pPr>
        <w:pStyle w:val="BookText"/>
        <w:rPr/>
      </w:pPr>
      <w:bookmarkEnd w:id="6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الصّاع والصّواع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المكيال</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المدّ عبارة عن مدّ اليدين فيملأ كفّيه طعاماً كما في كتب اللّغة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الصّاع المحدّد للفطرة كيل، وقُدّر بالوزن؛ لأنّه أضبط</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3483057_2870459653"/>
      <w:bookmarkStart w:id="683" w:name="_Toc260"/>
      <w:bookmarkEnd w:id="682"/>
      <w:r>
        <w:rPr>
          <w:rtl w:val="true"/>
        </w:rPr>
        <w:t>الأمر الرّابع</w:t>
      </w:r>
      <w:bookmarkEnd w:id="68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وضوح أنّ المُراد من أسماء المكاييل الدّائرة في لسان الشّريعة ليس أمراً مخترعاً، فلا مناص عن حملها على معانيها الحقيقيّة إلى أن تقوم قرينة على خلافها، فالكرُّ يُحمل على معناه اللّغويّ، وما ورد في كمّ الكُرّ من أنّه ثلاثة أشبار ونصف</w:t>
      </w:r>
      <w:r>
        <w:rPr>
          <w:rStyle w:val="FootnoteAnchor"/>
          <w:rtl w:val="true"/>
        </w:rPr>
        <w:footnoteReference w:id="535"/>
      </w:r>
      <w:r>
        <w:rPr>
          <w:rFonts w:ascii="Amiri" w:hAnsi="Amiri" w:eastAsia="Amiri" w:cs="Amiri"/>
          <w:color w:val="111111"/>
          <w:sz w:val="28"/>
          <w:sz w:val="28"/>
          <w:szCs w:val="28"/>
          <w:rtl w:val="true"/>
          <w:lang w:bidi="ar-SA"/>
        </w:rPr>
        <w:t>، أو ستّمائة رطل</w:t>
      </w:r>
      <w:r>
        <w:rPr>
          <w:rStyle w:val="FootnoteAnchor"/>
          <w:rtl w:val="true"/>
        </w:rPr>
        <w:footnoteReference w:id="536"/>
      </w:r>
      <w:r>
        <w:rPr>
          <w:rFonts w:ascii="Amiri" w:hAnsi="Amiri" w:eastAsia="Amiri" w:cs="Amiri"/>
          <w:color w:val="111111"/>
          <w:sz w:val="28"/>
          <w:sz w:val="28"/>
          <w:szCs w:val="28"/>
          <w:rtl w:val="true"/>
          <w:lang w:bidi="ar-SA"/>
        </w:rPr>
        <w:t>يكون شارحاً لقدره، كما أنّ ما ورد في تعيين الأوزان إمّا شارحاً لوزنٍ مضبوط، أو تقدير للكيل</w:t>
      </w:r>
      <w:r>
        <w:rPr>
          <w:rStyle w:val="FootnoteAnchor"/>
          <w:rtl w:val="true"/>
        </w:rPr>
        <w:footnoteReference w:id="537"/>
      </w:r>
      <w:r>
        <w:rPr>
          <w:rFonts w:ascii="Amiri" w:hAnsi="Amiri" w:eastAsia="Amiri" w:cs="Amiri"/>
          <w:color w:val="111111"/>
          <w:sz w:val="28"/>
          <w:sz w:val="28"/>
          <w:szCs w:val="28"/>
          <w:rtl w:val="true"/>
          <w:lang w:bidi="ar-SA"/>
        </w:rPr>
        <w:t>وزناً؛ لأنّه أضبط في الأعصار المتأخّرة كما في تقدير الصّاع، والرّطل، والمدّ وزناً في الفطرة كما ستعرف إن شاء الله تعالى</w:t>
      </w:r>
      <w:r>
        <w:rPr>
          <w:rStyle w:val="FootnoteAnchor"/>
          <w:rtl w:val="true"/>
        </w:rPr>
        <w:footnoteReference w:id="538"/>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684" w:name="pg9159_85246"/>
    </w:p>
    <w:p>
      <w:pPr>
        <w:pStyle w:val="Heading5"/>
        <w:numPr>
          <w:ilvl w:val="4"/>
          <w:numId w:val="1"/>
        </w:numPr>
        <w:rPr/>
      </w:pPr>
      <w:bookmarkStart w:id="685" w:name="__RefHeading___Toc3483059_2870459653"/>
      <w:bookmarkStart w:id="686" w:name="_Toc261"/>
      <w:bookmarkEnd w:id="684"/>
      <w:bookmarkEnd w:id="685"/>
      <w:r>
        <w:rPr>
          <w:rtl w:val="true"/>
        </w:rPr>
        <w:t>الأمر الخامس</w:t>
      </w:r>
      <w:bookmarkEnd w:id="686"/>
    </w:p>
    <w:p>
      <w:pPr>
        <w:pStyle w:val="BookText"/>
        <w:rPr/>
      </w:pPr>
      <w:r>
        <w:rPr>
          <w:rFonts w:ascii="Amiri" w:hAnsi="Amiri" w:eastAsia="Amiri" w:cs="Amiri"/>
          <w:color w:val="111111"/>
          <w:sz w:val="28"/>
          <w:sz w:val="28"/>
          <w:szCs w:val="28"/>
          <w:rtl w:val="true"/>
          <w:lang w:bidi="ar-SA"/>
        </w:rPr>
        <w:t>تحديد الماء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الطّهارات</w:t>
      </w:r>
      <w:r>
        <w:rPr>
          <w:rStyle w:val="FootnoteAnchor"/>
          <w:rtl w:val="true"/>
        </w:rPr>
        <w:footnoteReference w:id="540"/>
      </w:r>
      <w:r>
        <w:rPr>
          <w:rFonts w:ascii="Amiri" w:hAnsi="Amiri" w:eastAsia="Amiri" w:cs="Amiri"/>
          <w:color w:val="111111"/>
          <w:sz w:val="28"/>
          <w:sz w:val="28"/>
          <w:szCs w:val="28"/>
          <w:rtl w:val="true"/>
          <w:lang w:bidi="ar-SA"/>
        </w:rPr>
        <w:t xml:space="preserve">إمّا يرجع إلى التّحديد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أوّلاً وبالذّات ويؤخذ بما أنّها مكاييل محدّدة للمياه أو يرجع إلى التّحديد</w:t>
      </w:r>
      <w:r>
        <w:rPr>
          <w:rStyle w:val="FootnoteAnchor"/>
          <w:rtl w:val="true"/>
        </w:rPr>
        <w:footnoteReference w:id="542"/>
      </w:r>
      <w:r>
        <w:rPr>
          <w:rFonts w:ascii="Amiri" w:hAnsi="Amiri" w:eastAsia="Amiri" w:cs="Amiri"/>
          <w:color w:val="111111"/>
          <w:sz w:val="28"/>
          <w:sz w:val="28"/>
          <w:szCs w:val="28"/>
          <w:rtl w:val="true"/>
          <w:lang w:bidi="ar-SA"/>
        </w:rPr>
        <w:t>بما يسعها، أو بما يُكال بها وزناً، فعلى الأوّل تكون الأشبار والأرطال المحمولتان على الكرّ، والأمداد المحمولة على الصّاع في الطّهارة الحدثيّة شارحات ومعرّفات لقدرهما أوّلاً وبالذّات، وعلى الثّاني سواء رجع التّحديد إلى التّقدير بما يُكال بها</w:t>
      </w:r>
      <w:r>
        <w:rPr>
          <w:rStyle w:val="FootnoteAnchor"/>
          <w:rtl w:val="true"/>
        </w:rPr>
        <w:footnoteReference w:id="543"/>
      </w:r>
      <w:r>
        <w:rPr>
          <w:rFonts w:ascii="Amiri" w:hAnsi="Amiri" w:eastAsia="Amiri" w:cs="Amiri"/>
          <w:color w:val="111111"/>
          <w:sz w:val="28"/>
          <w:sz w:val="28"/>
          <w:szCs w:val="28"/>
          <w:rtl w:val="true"/>
          <w:lang w:bidi="ar-SA"/>
        </w:rPr>
        <w:t>من الطّعام، أو بما يسعها وزناً من الماء لا يخفى ما فيه؛ لأنّه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التّحديد تحديداً، وهو الخلف، والمناقضة؛ إذ الأطعمة مختلفة بحسب الحجم، حتّى بالنّسبة إلى طعامٍ واحدٍ في قرية واحدة باختلاف المزارع، والسّنين كالمياه، فالتّحديد بما تسعه المكاييل من الطّعام أو</w:t>
      </w:r>
      <w:r>
        <w:rPr>
          <w:rStyle w:val="FootnoteAnchor"/>
          <w:rtl w:val="true"/>
        </w:rPr>
        <w:footnoteReference w:id="544"/>
      </w:r>
      <w:r>
        <w:rPr>
          <w:rFonts w:ascii="Amiri" w:hAnsi="Amiri" w:eastAsia="Amiri" w:cs="Amiri"/>
          <w:color w:val="111111"/>
          <w:sz w:val="28"/>
          <w:sz w:val="28"/>
          <w:szCs w:val="28"/>
          <w:rtl w:val="true"/>
          <w:lang w:bidi="ar-SA"/>
        </w:rPr>
        <w:t>الماء وزناً خلفٌ واضح</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الماءُ وزناً في غاية الغرابة، سيّما في الشّريعة المحمّديّة</w:t>
      </w:r>
      <w:r>
        <w:rPr>
          <w:rStyle w:val="FootnoteAnchor"/>
          <w:rtl w:val="true"/>
        </w:rPr>
        <w:footnoteReference w:id="545"/>
      </w:r>
      <w:r>
        <w:rPr>
          <w:rFonts w:ascii="Amiri" w:hAnsi="Amiri" w:eastAsia="Amiri" w:cs="Amiri"/>
          <w:color w:val="111111"/>
          <w:sz w:val="28"/>
          <w:sz w:val="28"/>
          <w:szCs w:val="28"/>
          <w:rtl w:val="true"/>
          <w:lang w:bidi="ar-SA"/>
        </w:rPr>
        <w:t xml:space="preserve">الختميّة الباقية إلى يوم القيامة الّتي بنيت قوائمها وأساسها </w:t>
      </w:r>
      <w:r>
        <w:rPr>
          <w:rStyle w:val="FootnoteAnchor"/>
          <w:rtl w:val="true"/>
        </w:rPr>
        <w:footnoteReference w:id="546"/>
      </w:r>
      <w:r>
        <w:rPr>
          <w:rFonts w:ascii="Amiri" w:hAnsi="Amiri" w:eastAsia="Amiri" w:cs="Amiri"/>
          <w:color w:val="111111"/>
          <w:sz w:val="28"/>
          <w:sz w:val="28"/>
          <w:szCs w:val="28"/>
          <w:rtl w:val="true"/>
          <w:lang w:bidi="ar-SA"/>
        </w:rPr>
        <w:t>على الفطرة</w:t>
      </w:r>
      <w:r>
        <w:rPr>
          <w:rStyle w:val="FootnoteAnchor"/>
          <w:rtl w:val="true"/>
        </w:rPr>
        <w:footnoteReference w:id="547"/>
      </w:r>
      <w:r>
        <w:rPr>
          <w:rFonts w:ascii="Amiri" w:hAnsi="Amiri" w:eastAsia="Amiri" w:cs="Amiri"/>
          <w:color w:val="111111"/>
          <w:sz w:val="28"/>
          <w:sz w:val="28"/>
          <w:szCs w:val="28"/>
          <w:rtl w:val="true"/>
          <w:lang w:bidi="ar-SA"/>
        </w:rPr>
        <w:t xml:space="preserve">إذ ليس الماء في صقع من الأصقاع موزوناً، حتّى في البلاد الواقعة تحت خطّ الاستواء، والبلاد </w:t>
      </w:r>
    </w:p>
    <w:p>
      <w:pPr>
        <w:pStyle w:val="BookText"/>
        <w:rPr/>
      </w:pPr>
      <w:r>
        <w:rPr>
          <w:rFonts w:ascii="Amiri" w:hAnsi="Amiri" w:eastAsia="Amiri" w:cs="Amiri"/>
          <w:color w:val="111111"/>
          <w:sz w:val="28"/>
          <w:sz w:val="28"/>
          <w:szCs w:val="28"/>
          <w:rtl w:val="true"/>
          <w:lang w:bidi="ar-SA"/>
        </w:rPr>
        <w:t>الحارّة الشّديدة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يرضى أحدٌ أن ينسب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Style w:val="FootnoteAnchor"/>
          <w:rtl w:val="true"/>
        </w:rPr>
        <w:footnoteReference w:id="548"/>
      </w:r>
      <w:r>
        <w:rPr>
          <w:rFonts w:ascii="IRNazanin" w:hAnsi="IRNazanin" w:eastAsia="IRNazanin"/>
          <w:color w:val="111111"/>
          <w:sz w:val="28"/>
          <w:sz w:val="28"/>
          <w:szCs w:val="28"/>
          <w:rtl w:val="true"/>
          <w:lang w:bidi="fa-IR"/>
        </w:rPr>
        <w:t xml:space="preserve">إلى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الصّحابة و</w:t>
      </w:r>
      <w:r>
        <w:rPr>
          <w:rStyle w:val="FootnoteAnchor"/>
          <w:rtl w:val="true"/>
        </w:rPr>
        <w:footnoteReference w:id="549"/>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توزين المياه عند التّطهيرات والاستعمالات، وهل سمع من</w:t>
      </w:r>
      <w:r>
        <w:rPr>
          <w:rStyle w:val="FootnoteAnchor"/>
          <w:rtl w:val="true"/>
        </w:rPr>
        <w:footnoteReference w:id="550"/>
      </w:r>
      <w:r>
        <w:rPr>
          <w:rFonts w:ascii="IRNazanin" w:hAnsi="IRNazanin" w:eastAsia="IRNazanin"/>
          <w:color w:val="111111"/>
          <w:sz w:val="28"/>
          <w:sz w:val="28"/>
          <w:szCs w:val="28"/>
          <w:rtl w:val="true"/>
          <w:lang w:bidi="fa-IR"/>
        </w:rPr>
        <w:t>أحدٍ من المسلمين حتّى الوسواسيّين إلى الحال أنّه كان يزن الماء في وقتٍ من الأوقات أو عند قضيّة من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وتحديد الموضوع الشّرعيّ بما يكون على خلاف عامّة العقلاء وفطريّاتهم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 غريبٌ جدّاً، بل مستهجن قطعاً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التّحديد بالكُرّ لغواً محضاً؛ إذ تحديد الماء أوّلاً بالكُرّ كما هو لسان الأخبار الصّادرة عن</w:t>
      </w:r>
      <w:r>
        <w:rPr>
          <w:rStyle w:val="FootnoteAnchor"/>
          <w:rtl w:val="true"/>
        </w:rPr>
        <w:footnoteReference w:id="551"/>
      </w:r>
      <w:r>
        <w:rPr>
          <w:rFonts w:ascii="Amiri" w:hAnsi="Amiri" w:eastAsia="Amiri" w:cs="Amiri"/>
          <w:color w:val="111111"/>
          <w:sz w:val="28"/>
          <w:sz w:val="28"/>
          <w:szCs w:val="28"/>
          <w:rtl w:val="true"/>
          <w:lang w:bidi="ar-SA"/>
        </w:rPr>
        <w:t>النّبيّ والمعصومين</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يسعه وزناً، ثُمّ ضبطه بالأرطال كي تكون هي المحدّدات في الحقيقة لغوٌ وعبث نظير الأكل من القفا وهو واضح، وكذلك الكلام في تحديد ماء الوضوء والغُسل بالصّاع والمُدّ</w:t>
      </w:r>
      <w:r>
        <w:rPr>
          <w:rStyle w:val="FootnoteAnchor"/>
          <w:rtl w:val="true"/>
        </w:rPr>
        <w:footnoteReference w:id="553"/>
      </w:r>
      <w:r>
        <w:rPr>
          <w:rFonts w:ascii="Amiri" w:hAnsi="Amiri" w:eastAsia="Amiri" w:cs="Amiri"/>
          <w:color w:val="111111"/>
          <w:sz w:val="28"/>
          <w:sz w:val="28"/>
          <w:szCs w:val="28"/>
          <w:rtl w:val="true"/>
          <w:lang w:bidi="ar-SA"/>
        </w:rPr>
        <w:t>طابق النّعل بالنّعل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687" w:name="pg9159_85248"/>
    </w:p>
    <w:p>
      <w:pPr>
        <w:pStyle w:val="BookText"/>
        <w:rPr/>
      </w:pPr>
      <w:bookmarkEnd w:id="687"/>
      <w:r>
        <w:rPr>
          <w:rFonts w:ascii="Amiri" w:hAnsi="Amiri" w:eastAsia="Amiri" w:cs="Amiri"/>
          <w:color w:val="111111"/>
          <w:sz w:val="28"/>
          <w:sz w:val="28"/>
          <w:szCs w:val="28"/>
          <w:rtl w:val="true"/>
          <w:lang w:bidi="ar-SA"/>
        </w:rPr>
        <w:t>وممّا ذكرنا ظهر الكلام</w:t>
      </w:r>
      <w:r>
        <w:rPr>
          <w:rStyle w:val="FootnoteAnchor"/>
          <w:rtl w:val="true"/>
        </w:rPr>
        <w:footnoteReference w:id="555"/>
      </w:r>
      <w:r>
        <w:rPr>
          <w:rFonts w:ascii="Amiri" w:hAnsi="Amiri" w:eastAsia="Amiri" w:cs="Amiri"/>
          <w:color w:val="111111"/>
          <w:sz w:val="28"/>
          <w:sz w:val="28"/>
          <w:szCs w:val="28"/>
          <w:rtl w:val="true"/>
          <w:lang w:bidi="ar-SA"/>
        </w:rPr>
        <w:t>في التّحديدات الواردة بالصّاع</w:t>
      </w:r>
      <w:r>
        <w:rPr>
          <w:rStyle w:val="FootnoteAnchor"/>
          <w:rtl w:val="true"/>
        </w:rPr>
        <w:footnoteReference w:id="556"/>
      </w:r>
      <w:r>
        <w:rPr>
          <w:rFonts w:ascii="Amiri" w:hAnsi="Amiri" w:eastAsia="Amiri" w:cs="Amiri"/>
          <w:color w:val="111111"/>
          <w:sz w:val="28"/>
          <w:sz w:val="28"/>
          <w:szCs w:val="28"/>
          <w:rtl w:val="true"/>
          <w:lang w:bidi="ar-SA"/>
        </w:rPr>
        <w:t xml:space="preserve">في الفطرة؛ لأنّ التّحديد به أوّلاً وبالذّات من حيث ما يُكال به وزناً خلفٌ، وضبطه بالأمداد والأرطال وزناً أكلٌ من القفا، بل الظّاهر من الرّوايات أنّ الصّاع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المكاييل محدّدٌ أوّلاً وبالذّات فيها، والأمداد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مكاييل أيضاً شارحة لقدره، وقدّر الصّاع وزناً توسعةً وتسهيلاً؛ لأنّه أضبط حيث إنّ الفطرة من الموزونات،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الإخراج الكيل، وقدّره العلماء بالوزن؛ لأنّه أضبط، فيجزيه الصّاع من جميع الأجناس سواء كان أثقل، أو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w:t>
      </w:r>
      <w:r>
        <w:rPr>
          <w:rStyle w:val="FootnoteAnchor"/>
          <w:rtl w:val="true"/>
        </w:rPr>
        <w:footnoteReference w:id="557"/>
      </w:r>
      <w:r>
        <w:rPr>
          <w:rFonts w:ascii="IRNazanin" w:hAnsi="IRNazanin" w:eastAsia="IRNazanin"/>
          <w:color w:val="111111"/>
          <w:sz w:val="28"/>
          <w:sz w:val="28"/>
          <w:szCs w:val="28"/>
          <w:rtl w:val="true"/>
          <w:lang w:bidi="fa-IR"/>
        </w:rPr>
        <w:t>أخرج</w:t>
      </w:r>
      <w:r>
        <w:rPr>
          <w:rStyle w:val="FootnoteAnchor"/>
          <w:rtl w:val="true"/>
        </w:rPr>
        <w:footnoteReference w:id="558"/>
      </w:r>
      <w:r>
        <w:rPr>
          <w:rFonts w:ascii="Amiri" w:hAnsi="Amiri" w:eastAsia="Amiri" w:cs="Amiri"/>
          <w:color w:val="111111"/>
          <w:sz w:val="28"/>
          <w:sz w:val="28"/>
          <w:szCs w:val="28"/>
          <w:rtl w:val="true"/>
          <w:lang w:bidi="ar-SA"/>
        </w:rPr>
        <w:t>بالوزن فالوجه الإجزاء وإن نقص عن الكيل</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3483061_2870459653"/>
      <w:bookmarkStart w:id="689" w:name="_Toc262"/>
      <w:bookmarkEnd w:id="688"/>
      <w:r>
        <w:rPr>
          <w:rtl w:val="true"/>
        </w:rPr>
        <w:t>الأمر السّادس</w:t>
      </w:r>
      <w:bookmarkEnd w:id="68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وضوح تحديد الماء العاصم من حيث</w:t>
      </w:r>
      <w:r>
        <w:rPr>
          <w:rStyle w:val="FootnoteAnchor"/>
          <w:rtl w:val="true"/>
        </w:rPr>
        <w:footnoteReference w:id="560"/>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الرّوايات</w:t>
      </w:r>
      <w:r>
        <w:rPr>
          <w:rStyle w:val="FootnoteAnchor"/>
          <w:rtl w:val="true"/>
        </w:rPr>
        <w:footnoteReference w:id="561"/>
      </w:r>
      <w:r>
        <w:rPr>
          <w:rFonts w:ascii="Amiri" w:hAnsi="Amiri" w:eastAsia="Amiri" w:cs="Amiri"/>
          <w:color w:val="111111"/>
          <w:sz w:val="28"/>
          <w:sz w:val="28"/>
          <w:szCs w:val="28"/>
          <w:rtl w:val="true"/>
          <w:lang w:bidi="ar-SA"/>
        </w:rPr>
        <w:t xml:space="preserve">لاشتمالها على القِربة، والجَرَّة، والحُبّ، والرّاوية، وسائر أوعية الماء، والقلّتان، والحوض الكبير، والماء الكثير، والذّراعين، والكرُّ، والأشبار، لا من </w:t>
      </w:r>
    </w:p>
    <w:p>
      <w:pPr>
        <w:pStyle w:val="BookText"/>
        <w:rPr/>
      </w:pPr>
      <w:r>
        <w:rPr>
          <w:rFonts w:ascii="Amiri" w:hAnsi="Amiri" w:eastAsia="Amiri" w:cs="Amiri"/>
          <w:color w:val="111111"/>
          <w:sz w:val="28"/>
          <w:sz w:val="28"/>
          <w:szCs w:val="28"/>
          <w:rtl w:val="true"/>
          <w:lang w:bidi="ar-SA"/>
        </w:rPr>
        <w:t xml:space="preserve">حيث الثّقالة كما يظهر إن شاء الله تعالى، فضلاً عن غيرها من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حصر التّحديد من حيث الكثرة بالكُرّ؛ إذ الرّوايات الواردة في التّحديد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مشتملة على تقدير ينطبق على قدر الكُرّ فتكون</w:t>
      </w:r>
      <w:r>
        <w:rPr>
          <w:rStyle w:val="FootnoteAnchor"/>
          <w:rtl w:val="true"/>
        </w:rPr>
        <w:footnoteReference w:id="562"/>
      </w:r>
      <w:r>
        <w:rPr>
          <w:rFonts w:ascii="Amiri" w:hAnsi="Amiri" w:eastAsia="Amiri" w:cs="Amiri"/>
          <w:color w:val="111111"/>
          <w:sz w:val="28"/>
          <w:sz w:val="28"/>
          <w:szCs w:val="28"/>
          <w:rtl w:val="true"/>
          <w:lang w:bidi="ar-SA"/>
        </w:rPr>
        <w:t>كمصحّحة إسماعيل بن</w:t>
      </w:r>
      <w:r>
        <w:rPr>
          <w:rStyle w:val="FootnoteAnchor"/>
          <w:rtl w:val="true"/>
        </w:rPr>
        <w:footnoteReference w:id="563"/>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إن شاء الله</w:t>
      </w:r>
      <w:r>
        <w:rPr>
          <w:rStyle w:val="FootnoteAnchor"/>
          <w:rtl w:val="true"/>
        </w:rPr>
        <w:footnoteReference w:id="564"/>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فيها، أو مشتملة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ينطبق عليه فتكون معرضة عنها، أو مشتملة على ما لا يعلم انطباقه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كروايات الأوعية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حجّيّة لها من تلك الجهة؛ للجهل بموضوعاتها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Style w:val="FootnoteAnchor"/>
          <w:rtl w:val="true"/>
        </w:rPr>
        <w:footnoteReference w:id="568"/>
      </w:r>
      <w:r>
        <w:rPr>
          <w:rFonts w:ascii="Amiri" w:hAnsi="Amiri" w:eastAsia="Amiri" w:cs="Amiri"/>
          <w:color w:val="111111"/>
          <w:sz w:val="28"/>
          <w:sz w:val="28"/>
          <w:szCs w:val="28"/>
          <w:rtl w:val="true"/>
          <w:lang w:bidi="ar-SA"/>
        </w:rPr>
        <w:t>تمهّدت هذه الأمور فيقع الكلام في المقصدين</w:t>
      </w:r>
      <w:r>
        <w:rPr>
          <w:rFonts w:eastAsia="Amiri" w:cs="Amiri" w:ascii="Amiri" w:hAnsi="Amiri"/>
          <w:color w:val="111111"/>
          <w:sz w:val="28"/>
          <w:szCs w:val="28"/>
          <w:rtl w:val="true"/>
          <w:lang w:bidi="ar-SA"/>
        </w:rPr>
        <w:t xml:space="preserve">: </w:t>
      </w:r>
      <w:bookmarkStart w:id="690" w:name="pg9159_85250"/>
    </w:p>
    <w:p>
      <w:pPr>
        <w:pStyle w:val="Heading4"/>
        <w:numPr>
          <w:ilvl w:val="3"/>
          <w:numId w:val="1"/>
        </w:numPr>
        <w:rPr/>
      </w:pPr>
      <w:bookmarkStart w:id="691" w:name="__RefHeading___Toc3483063_2870459653"/>
      <w:bookmarkStart w:id="692" w:name="_Toc263"/>
      <w:bookmarkEnd w:id="690"/>
      <w:bookmarkEnd w:id="691"/>
      <w:r>
        <w:rPr>
          <w:rtl w:val="true"/>
        </w:rPr>
        <w:t>المقصد الأوّل</w:t>
      </w:r>
      <w:bookmarkEnd w:id="692"/>
    </w:p>
    <w:p>
      <w:pPr>
        <w:pStyle w:val="Heading5"/>
        <w:numPr>
          <w:ilvl w:val="4"/>
          <w:numId w:val="1"/>
        </w:numPr>
        <w:rPr/>
      </w:pPr>
      <w:bookmarkStart w:id="693" w:name="__RefHeading___Toc3483065_2870459653"/>
      <w:bookmarkStart w:id="694" w:name="_Toc264"/>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في أنّ المحدّد للماء العاصم في الشّريعة المقدّسة هو الكُرّ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أوّلاً وبالذّات، لا ما يُكال به وزناً ومساحةً</w:t>
      </w:r>
      <w:r>
        <w:rPr>
          <w:rStyle w:val="FootnoteAnchor"/>
          <w:rtl w:val="true"/>
        </w:rPr>
        <w:footnoteReference w:id="569"/>
      </w:r>
      <w:r>
        <w:rPr>
          <w:rFonts w:ascii="Amiri" w:hAnsi="Amiri" w:eastAsia="Amiri" w:cs="Amiri"/>
          <w:color w:val="111111"/>
          <w:sz w:val="28"/>
          <w:sz w:val="28"/>
          <w:szCs w:val="28"/>
          <w:rtl w:val="true"/>
          <w:lang w:bidi="ar-SA"/>
        </w:rPr>
        <w:t>كي يكون التّقدير به</w:t>
      </w:r>
      <w:r>
        <w:rPr>
          <w:rStyle w:val="FootnoteAnchor"/>
          <w:rtl w:val="true"/>
        </w:rPr>
        <w:footnoteReference w:id="570"/>
      </w:r>
      <w:r>
        <w:rPr>
          <w:rFonts w:ascii="Amiri" w:hAnsi="Amiri" w:eastAsia="Amiri" w:cs="Amiri"/>
          <w:color w:val="111111"/>
          <w:sz w:val="28"/>
          <w:sz w:val="28"/>
          <w:szCs w:val="28"/>
          <w:rtl w:val="true"/>
          <w:lang w:bidi="ar-SA"/>
        </w:rPr>
        <w:t>بالتّبع وثانياً وبالعرض، والدّليل على ذلك</w:t>
      </w:r>
      <w:r>
        <w:rPr>
          <w:rStyle w:val="FootnoteAnchor"/>
          <w:rtl w:val="true"/>
        </w:rPr>
        <w:footnoteReference w:id="571"/>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3483067_2870459653"/>
      <w:bookmarkStart w:id="696" w:name="_Toc265"/>
      <w:bookmarkEnd w:id="695"/>
      <w:r>
        <w:rPr>
          <w:rtl w:val="true"/>
        </w:rPr>
        <w:t>الأوّل</w:t>
      </w:r>
      <w:bookmarkEnd w:id="696"/>
    </w:p>
    <w:p>
      <w:pPr>
        <w:pStyle w:val="BookText"/>
        <w:rPr/>
      </w:pPr>
      <w:r>
        <w:rPr>
          <w:rFonts w:ascii="Amiri" w:hAnsi="Amiri" w:eastAsia="Amiri" w:cs="Amiri"/>
          <w:color w:val="111111"/>
          <w:sz w:val="28"/>
          <w:sz w:val="28"/>
          <w:szCs w:val="28"/>
          <w:rtl w:val="true"/>
          <w:lang w:bidi="ar-SA"/>
        </w:rPr>
        <w:t xml:space="preserve">ظهور الأدلّة في التّقدير بنفس الكُرّ، فإنّ لسان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وهكذا، وظهورها في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الكُرّ</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أوّلاً وبالذّات بعد وضوح أنّه من المكاييل أوضح من أن يخفى</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3483069_2870459653"/>
      <w:bookmarkStart w:id="698" w:name="_Toc266"/>
      <w:bookmarkEnd w:id="697"/>
      <w:r>
        <w:rPr>
          <w:rtl w:val="true"/>
        </w:rPr>
        <w:t>الثّاني</w:t>
      </w:r>
      <w:bookmarkEnd w:id="69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الرّواة بأجمعهم تقدير الماء بالكُرّ نفسه لسؤالهم عن الكُرّ وقدره، كما هو صريح الرّوايات، وعدم سؤال أحدٍ عن وزن ما يسعه الكرّ أو مساحته</w:t>
      </w:r>
      <w:r>
        <w:rPr>
          <w:rStyle w:val="FootnoteAnchor"/>
          <w:rtl w:val="true"/>
        </w:rPr>
        <w:footnoteReference w:id="574"/>
      </w:r>
      <w:r>
        <w:rPr>
          <w:rFonts w:ascii="Amiri" w:hAnsi="Amiri" w:eastAsia="Amiri" w:cs="Amiri"/>
          <w:color w:val="111111"/>
          <w:sz w:val="28"/>
          <w:sz w:val="28"/>
          <w:szCs w:val="28"/>
          <w:rtl w:val="true"/>
          <w:lang w:bidi="ar-SA"/>
        </w:rPr>
        <w:t xml:space="preserve">، فضلاً </w:t>
      </w:r>
      <w:bookmarkStart w:id="699" w:name="pg9159_85251"/>
    </w:p>
    <w:p>
      <w:pPr>
        <w:pStyle w:val="BookText"/>
        <w:rPr/>
      </w:pPr>
      <w:bookmarkEnd w:id="699"/>
      <w:r>
        <w:rPr>
          <w:rFonts w:ascii="Amiri" w:hAnsi="Amiri" w:eastAsia="Amiri" w:cs="Amiri"/>
          <w:color w:val="111111"/>
          <w:sz w:val="28"/>
          <w:sz w:val="28"/>
          <w:szCs w:val="28"/>
          <w:rtl w:val="true"/>
          <w:lang w:bidi="ar-SA"/>
        </w:rPr>
        <w:t>عن وزن ماء الكُرّ، أو مساحته حتّى لو تعرّض أحدٌ منهم للماء لا يسأل إلّا عن قدر الكُرّ، كما في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صلوات الله عليه عن الكُرّ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قدره؟ الخبر</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حيث إنّه لم يسأل عن ماء الكُرّ كم يكون قدره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3483071_2870459653"/>
      <w:bookmarkStart w:id="701" w:name="_Toc267"/>
      <w:bookmarkEnd w:id="700"/>
      <w:r>
        <w:rPr>
          <w:rtl w:val="true"/>
        </w:rPr>
        <w:t>الثّالث</w:t>
      </w:r>
      <w:bookmarkEnd w:id="701"/>
    </w:p>
    <w:p>
      <w:pPr>
        <w:pStyle w:val="BookText"/>
        <w:rPr/>
      </w:pPr>
      <w:r>
        <w:rPr>
          <w:rFonts w:ascii="IRNazanin" w:hAnsi="IRNazanin" w:eastAsia="IRNazanin"/>
          <w:color w:val="111111"/>
          <w:sz w:val="28"/>
          <w:sz w:val="28"/>
          <w:szCs w:val="28"/>
          <w:rtl w:val="true"/>
          <w:lang w:bidi="fa-IR"/>
        </w:rPr>
        <w:t xml:space="preserve">حمل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الأرطال والأشبار على الكُرّ، وقدره بقولهم</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الكُرُّ ستّمائة رطل</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 ستّمائة رطل</w:t>
      </w:r>
      <w:r>
        <w:rPr>
          <w:rFonts w:eastAsia="Amiri" w:cs="Amiri" w:ascii="Amiri" w:hAnsi="Amiri"/>
          <w:color w:val="111111"/>
          <w:sz w:val="28"/>
          <w:szCs w:val="28"/>
          <w:rtl w:val="true"/>
          <w:lang w:bidi="ar-SA"/>
        </w:rPr>
        <w:t>)</w:t>
      </w:r>
      <w:r>
        <w:rPr>
          <w:rStyle w:val="FootnoteAnchor"/>
          <w:rtl w:val="true"/>
        </w:rPr>
        <w:footnoteReference w:id="578"/>
      </w:r>
      <w:r>
        <w:rPr>
          <w:rStyle w:val="FootnoteAnchor"/>
          <w:rtl w:val="true"/>
        </w:rPr>
        <w:footnoteReference w:id="5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ألف ومائتا رطل</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الكُرّ ألف ومائتا رطل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صالح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أشبار ونصفٌ عمقُها في ثلاثة أشبارٍ ونصفٍ عرضها</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وما الكُرُّ؟</w:t>
      </w:r>
      <w:r>
        <w:rPr>
          <w:rStyle w:val="FootnoteAnchor"/>
          <w:rtl w:val="true"/>
        </w:rPr>
        <w:footnoteReference w:id="5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ثلاثةُ أشبارٍ في </w:t>
      </w:r>
      <w:bookmarkStart w:id="702" w:name="pg9159_85252"/>
    </w:p>
    <w:p>
      <w:pPr>
        <w:pStyle w:val="BookText"/>
        <w:rPr/>
      </w:pPr>
      <w:bookmarkEnd w:id="702"/>
      <w:r>
        <w:rPr>
          <w:rFonts w:ascii="Amiri" w:hAnsi="Amiri" w:eastAsia="Amiri" w:cs="Amiri"/>
          <w:color w:val="111111"/>
          <w:sz w:val="28"/>
          <w:sz w:val="28"/>
          <w:szCs w:val="28"/>
          <w:rtl w:val="true"/>
          <w:lang w:bidi="ar-SA"/>
        </w:rPr>
        <w:t>ثلاثةِ أشبارٍ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يكونُ قدرُهُ؟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أشبارٍ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فذلك الكُرُّ من الماء</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فذلك ماء الكُرّ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 الأرطال والأشبار على الكُرّ وقدره في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كون</w:t>
      </w:r>
      <w:r>
        <w:rPr>
          <w:rStyle w:val="FootnoteAnchor"/>
          <w:rtl w:val="true"/>
        </w:rPr>
        <w:footnoteReference w:id="586"/>
      </w:r>
      <w:r>
        <w:rPr>
          <w:rFonts w:ascii="Amiri" w:hAnsi="Amiri" w:eastAsia="Amiri" w:cs="Amiri"/>
          <w:color w:val="111111"/>
          <w:sz w:val="28"/>
          <w:sz w:val="28"/>
          <w:szCs w:val="28"/>
          <w:rtl w:val="true"/>
          <w:lang w:bidi="ar-SA"/>
        </w:rPr>
        <w:t>المحدّد هو الكُرّ نفسه، فإنّها</w:t>
      </w:r>
      <w:r>
        <w:rPr>
          <w:rStyle w:val="FootnoteAnchor"/>
          <w:rtl w:val="true"/>
        </w:rPr>
        <w:footnoteReference w:id="587"/>
      </w:r>
      <w:r>
        <w:rPr>
          <w:rFonts w:ascii="Amiri" w:hAnsi="Amiri" w:eastAsia="Amiri" w:cs="Amiri"/>
          <w:color w:val="111111"/>
          <w:sz w:val="28"/>
          <w:sz w:val="28"/>
          <w:szCs w:val="28"/>
          <w:rtl w:val="true"/>
          <w:lang w:bidi="ar-SA"/>
        </w:rPr>
        <w:t>شارحة لقدره، لا لما يسعه من الطّعام أو الماء</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483073_2870459653"/>
      <w:bookmarkStart w:id="704" w:name="_Toc268"/>
      <w:bookmarkEnd w:id="703"/>
      <w:r>
        <w:rPr>
          <w:rtl w:val="true"/>
        </w:rPr>
        <w:t>الرّابع</w:t>
      </w:r>
      <w:bookmarkEnd w:id="704"/>
    </w:p>
    <w:p>
      <w:pPr>
        <w:pStyle w:val="BookText"/>
        <w:rPr/>
      </w:pPr>
      <w:r>
        <w:rPr>
          <w:rFonts w:ascii="Amiri" w:hAnsi="Amiri" w:eastAsia="Amiri" w:cs="Amiri"/>
          <w:color w:val="111111"/>
          <w:sz w:val="28"/>
          <w:sz w:val="28"/>
          <w:szCs w:val="28"/>
          <w:rtl w:val="true"/>
          <w:lang w:bidi="ar-SA"/>
        </w:rPr>
        <w:t>ما مرّ مشروحاً</w:t>
      </w:r>
      <w:r>
        <w:rPr>
          <w:rStyle w:val="FootnoteAnchor"/>
          <w:rtl w:val="true"/>
        </w:rPr>
        <w:footnoteReference w:id="588"/>
      </w:r>
      <w:r>
        <w:rPr>
          <w:rFonts w:ascii="Amiri" w:hAnsi="Amiri" w:eastAsia="Amiri" w:cs="Amiri"/>
          <w:color w:val="111111"/>
          <w:sz w:val="28"/>
          <w:sz w:val="28"/>
          <w:szCs w:val="28"/>
          <w:rtl w:val="true"/>
          <w:lang w:bidi="ar-SA"/>
        </w:rPr>
        <w:t>من أنّه يجب التّحديد بنفس الكُرّ؛ لأنّ عدم التّحديد به، والتّحديد بما يسعه إبطال للتّحديد وخلف ومناقضة</w:t>
      </w:r>
      <w:r>
        <w:rPr>
          <w:rStyle w:val="FootnoteAnchor"/>
          <w:rtl w:val="true"/>
        </w:rPr>
        <w:footnoteReference w:id="589"/>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3483075_2870459653"/>
      <w:bookmarkStart w:id="706" w:name="_Toc269"/>
      <w:bookmarkEnd w:id="705"/>
      <w:r>
        <w:rPr>
          <w:rtl w:val="true"/>
        </w:rPr>
        <w:t>الخامس</w:t>
      </w:r>
      <w:bookmarkEnd w:id="70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فُصّل سابقاً من أنّ التّحديد بما يسعه في غاية الغرابة والاستهجان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707" w:name="pg9159_85253"/>
    </w:p>
    <w:p>
      <w:pPr>
        <w:pStyle w:val="Heading5"/>
        <w:numPr>
          <w:ilvl w:val="4"/>
          <w:numId w:val="1"/>
        </w:numPr>
        <w:rPr/>
      </w:pPr>
      <w:bookmarkStart w:id="708" w:name="__RefHeading___Toc3483077_2870459653"/>
      <w:bookmarkStart w:id="709" w:name="_Toc270"/>
      <w:bookmarkEnd w:id="707"/>
      <w:bookmarkEnd w:id="708"/>
      <w:r>
        <w:rPr>
          <w:rtl w:val="true"/>
        </w:rPr>
        <w:t>السّادس</w:t>
      </w:r>
      <w:bookmarkEnd w:id="709"/>
    </w:p>
    <w:p>
      <w:pPr>
        <w:pStyle w:val="BookText"/>
        <w:rPr/>
      </w:pPr>
      <w:r>
        <w:rPr>
          <w:rFonts w:ascii="Amiri" w:hAnsi="Amiri" w:eastAsia="Amiri" w:cs="Amiri"/>
          <w:color w:val="111111"/>
          <w:sz w:val="28"/>
          <w:sz w:val="28"/>
          <w:szCs w:val="28"/>
          <w:rtl w:val="true"/>
          <w:lang w:bidi="ar-SA"/>
        </w:rPr>
        <w:t>ما ذُكر أيضاً من أنّه يجب التّحديد بالكُرّ نفسه؛ إذ التّحديد بما يسعه، ثُمّ ضبطه بالأرطال لغوٌ وعبثٌ نظير الأكل</w:t>
      </w:r>
      <w:r>
        <w:rPr>
          <w:rStyle w:val="FootnoteAnchor"/>
          <w:rtl w:val="true"/>
        </w:rPr>
        <w:footnoteReference w:id="592"/>
      </w:r>
      <w:r>
        <w:rPr>
          <w:rFonts w:ascii="Amiri" w:hAnsi="Amiri" w:eastAsia="Amiri" w:cs="Amiri"/>
          <w:color w:val="111111"/>
          <w:sz w:val="28"/>
          <w:sz w:val="28"/>
          <w:szCs w:val="28"/>
          <w:rtl w:val="true"/>
          <w:lang w:bidi="ar-SA"/>
        </w:rPr>
        <w:t>من القفا، وهو قبيحٌ جدّاً</w:t>
      </w:r>
      <w:r>
        <w:rPr>
          <w:rStyle w:val="FootnoteAnchor"/>
          <w:rtl w:val="true"/>
        </w:rPr>
        <w:footnoteReference w:id="593"/>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فالوجوه الخمسة الأخيرة من الشّواهد القويّة الّتي تُوجب صرف أقوى الظّهورات، فكيف إذا كانت مؤكّدة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وحينئذٍ</w:t>
      </w:r>
      <w:r>
        <w:rPr>
          <w:rStyle w:val="FootnoteAnchor"/>
          <w:rtl w:val="true"/>
        </w:rPr>
        <w:footnoteReference w:id="595"/>
      </w:r>
      <w:r>
        <w:rPr>
          <w:rFonts w:ascii="Amiri" w:hAnsi="Amiri" w:eastAsia="Amiri" w:cs="Amiri"/>
          <w:color w:val="111111"/>
          <w:sz w:val="28"/>
          <w:sz w:val="28"/>
          <w:szCs w:val="28"/>
          <w:rtl w:val="true"/>
          <w:lang w:bidi="ar-SA"/>
        </w:rPr>
        <w:t>يجب الأخذ بظهور الرّوايات، بل صراحتها؛ لقيام هذه الشّواهد عليها، فلا مجال لتوهّم تحديد الماء العاصم من حيث الوزن؛ لأنّه لا خلاف ظاهراً في أنّ الكُرّ كيلٌ لا يُطلق على الوزن، إنّما الكلام في أنّ الأرطال الّتي حملت عليه، وفسّر بها هل هي من الأوزان، أو المكاييل؟ وقالع مادّة النّزاع هو الرّجوع إلى اللّغة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اللّغة فقد عرفتَ أنّها تُنادي بأعلى صوتها أنّ الرّطلَ 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الرّوايات فلا إشعار فيها على خلافها، بل صرّح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الكافي في رواية الكلبيّ النّسّابة الّتي 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Style w:val="FootnoteAnchor"/>
          <w:rtl w:val="true"/>
        </w:rPr>
        <w:footnoteReference w:id="596"/>
      </w:r>
      <w:r>
        <w:rPr>
          <w:rFonts w:ascii="Amiri" w:hAnsi="Amiri" w:eastAsia="Amiri" w:cs="Amiri"/>
          <w:color w:val="111111"/>
          <w:sz w:val="28"/>
          <w:sz w:val="28"/>
          <w:szCs w:val="28"/>
          <w:rtl w:val="true"/>
          <w:lang w:bidi="ar-SA"/>
        </w:rPr>
        <w:t>مكيال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روايتان ربّما يتوهّم دلالتهما على كونه من الأوزان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سليمان بن حفص المروزيّ المرويّة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أمداد،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w:t>
      </w:r>
      <w:r>
        <w:rPr>
          <w:rStyle w:val="FootnoteAnchor"/>
          <w:rtl w:val="true"/>
        </w:rPr>
        <w:footnoteReference w:id="598"/>
      </w:r>
      <w:r>
        <w:rPr>
          <w:rFonts w:ascii="Amiri" w:hAnsi="Amiri" w:eastAsia="Amiri" w:cs="Amiri"/>
          <w:color w:val="111111"/>
          <w:sz w:val="28"/>
          <w:sz w:val="28"/>
          <w:szCs w:val="28"/>
          <w:rtl w:val="true"/>
          <w:lang w:bidi="ar-SA"/>
        </w:rPr>
        <w:t>مائتين وثمانين</w:t>
      </w:r>
      <w:r>
        <w:rPr>
          <w:rStyle w:val="FootnoteAnchor"/>
          <w:rtl w:val="true"/>
        </w:rPr>
        <w:footnoteReference w:id="599"/>
      </w:r>
      <w:r>
        <w:rPr>
          <w:rFonts w:ascii="Amiri" w:hAnsi="Amiri" w:eastAsia="Amiri" w:cs="Amiri"/>
          <w:color w:val="111111"/>
          <w:sz w:val="28"/>
          <w:sz w:val="28"/>
          <w:szCs w:val="28"/>
          <w:rtl w:val="true"/>
          <w:lang w:bidi="ar-SA"/>
        </w:rPr>
        <w:t>درهماً، والدّرهمُ وزنُ ستّةِ دوانيق</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الصّاعَ قد فُسّر في بعض الأخبار بأنّه ستّة أرطال، ورواية سليمان المذكورة دلّت بأنّ الصّاعَ وزن، فيستفاد من المجموع أنّ الرّطل أيضاً من الأوزان حتّى في باب المياه؛ إذ الرّواية المزبورة واردة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مطروحة؛ لأنّ كون الصّاع بوزن مائتين وثمانين درهماً ممّا لم يقل به أحد من الأصحاب، فهي معرض عنها، فلا وثوق بصدورها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محمّد الهمدانيّ،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الرّواية في الفطرة فكتبتُ إلى أبي الحسن صاحب العسكر</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ذلك، فكتب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صاع من قوتك</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تدفعهُ وزناً ستّة أرطال برطل المدينة، والرّطل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وخمسة</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وتسعون درهماً، تكون الفطرة ألفاً ومائة وسبعين درهماً</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ووجه التّمسّك واضح، ولكنّها على المكياليّة أدلُّ، وذلك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استعمال الرّطل في هذه الرّواية، ولو بنحو الحقيقة لا يلازم كونه مستعملاً فيه حقيقة في العصر السّابق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يمكن استعماله فيه في باب الأطعمة ولو مجازاً، ثُمّ بالتّدريج وغلبة الاستعمال صار حقيقةً فيه </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الرّواية مشتملة على قرينةٍ تظهر منها مكياليّة الصّاع والرّطل؛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تدفعه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الصّاعُ وزناً لما كان للإتيان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كما أنّها قرينة على ظهور الرّطل في حدّ نفسه في الكيل الخاصّ أيضاً؛ لأنّه مع تصريحه</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الرّواية بأنّ الرّطل والفطرة كذا وكذا درهماً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تدفعه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w:t>
      </w:r>
      <w:r>
        <w:rPr>
          <w:rStyle w:val="FootnoteAnchor"/>
          <w:rtl w:val="true"/>
        </w:rPr>
        <w:footnoteReference w:id="607"/>
      </w:r>
      <w:r>
        <w:rPr>
          <w:rFonts w:ascii="Amiri" w:hAnsi="Amiri" w:eastAsia="Amiri" w:cs="Amiri"/>
          <w:color w:val="111111"/>
          <w:sz w:val="28"/>
          <w:sz w:val="28"/>
          <w:szCs w:val="28"/>
          <w:rtl w:val="true"/>
          <w:lang w:bidi="ar-SA"/>
        </w:rPr>
        <w:t>الرّطل</w:t>
      </w:r>
      <w:r>
        <w:rPr>
          <w:rStyle w:val="FootnoteAnchor"/>
          <w:rtl w:val="true"/>
        </w:rPr>
        <w:footnoteReference w:id="608"/>
      </w:r>
      <w:r>
        <w:rPr>
          <w:rStyle w:val="FootnoteAnchor"/>
          <w:rtl w:val="true"/>
        </w:rPr>
        <w:footnoteReference w:id="609"/>
      </w:r>
      <w:r>
        <w:rPr>
          <w:rFonts w:ascii="IRNazanin" w:hAnsi="IRNazanin" w:eastAsia="IRNazanin"/>
          <w:color w:val="111111"/>
          <w:sz w:val="28"/>
          <w:sz w:val="28"/>
          <w:szCs w:val="28"/>
          <w:rtl w:val="true"/>
          <w:lang w:bidi="fa-IR"/>
        </w:rPr>
        <w:t xml:space="preserve">ظاهراً في الوزن لاستغنى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وهذا بخلاف ما إذا كان ظاهراً في الكيل فإنّه لا بُدّ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لإظهار المقصود كما هو واضح</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على ذلك رواية أخرى مرويّة عن جعفر بن إبراهيم بن محمّد الهمدانيّ المذكور، فعنه</w:t>
      </w:r>
      <w:r>
        <w:rPr>
          <w:rStyle w:val="FootnoteAnchor"/>
          <w:rtl w:val="true"/>
        </w:rPr>
        <w:footnoteReference w:id="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أبي،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الصّاع ستّة أرطال بالمدنيّ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يكون بالوزن ألفاً ومائةً وسبعين وزنةً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r>
        <w:rPr>
          <w:rFonts w:ascii="Amiri" w:hAnsi="Amiri" w:eastAsia="Amiri" w:cs="Amiri"/>
          <w:color w:val="111111"/>
          <w:sz w:val="28"/>
          <w:sz w:val="28"/>
          <w:szCs w:val="28"/>
          <w:rtl w:val="true"/>
          <w:lang w:bidi="ar-SA"/>
        </w:rPr>
        <w:t>الخبر؛ إذ بعد تعيّن</w:t>
      </w:r>
      <w:r>
        <w:rPr>
          <w:rStyle w:val="FootnoteAnchor"/>
          <w:rtl w:val="true"/>
        </w:rPr>
        <w:footnoteReference w:id="614"/>
      </w:r>
      <w:r>
        <w:rPr>
          <w:rFonts w:ascii="Amiri" w:hAnsi="Amiri" w:eastAsia="Amiri" w:cs="Amiri"/>
          <w:color w:val="111111"/>
          <w:sz w:val="28"/>
          <w:sz w:val="28"/>
          <w:szCs w:val="28"/>
          <w:rtl w:val="true"/>
          <w:lang w:bidi="ar-SA"/>
        </w:rPr>
        <w:t xml:space="preserve">الصّاع بالأرطال لو كانت ظاهرة في الوزن لما كان للإتيان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 وجهٌ، فقوله بعد نقل الأرطال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ظهور 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الكيل، لا في الوزن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فبعدما ظهرت مكياليّة الرّطل من الرّوايات المرويّة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حتّى في عصره، فضلاً عن الرّوايات المرويّة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الباب؛ لاشتمالها على حمله على الكُرّ بأنّه ستّمائة رطل</w:t>
      </w:r>
      <w:r>
        <w:rPr>
          <w:rStyle w:val="FootnoteAnchor"/>
          <w:rtl w:val="true"/>
        </w:rPr>
        <w:footnoteReference w:id="617"/>
      </w:r>
      <w:r>
        <w:rPr>
          <w:rFonts w:ascii="IRNazanin" w:hAnsi="IRNazanin" w:eastAsia="IRNazanin"/>
          <w:color w:val="111111"/>
          <w:sz w:val="28"/>
          <w:sz w:val="28"/>
          <w:szCs w:val="28"/>
          <w:rtl w:val="true"/>
          <w:lang w:bidi="fa-IR"/>
        </w:rPr>
        <w:t xml:space="preserve">، والكُرّ الّذي من المكاييل ليس من الأوزان قطعاً، ولا يُطلق على الوزن اتّفاقاً، فحملُه على الكُرّ دليل على المكياليّة، مضافاً إلى تصريح اللّغويين، وتنصيصه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في رواية الكلبيّ، لا ينبغي</w:t>
      </w:r>
      <w:r>
        <w:rPr>
          <w:rStyle w:val="FootnoteAnchor"/>
          <w:rtl w:val="true"/>
        </w:rPr>
        <w:footnoteReference w:id="618"/>
      </w:r>
      <w:r>
        <w:rPr>
          <w:rFonts w:ascii="Amiri" w:hAnsi="Amiri" w:eastAsia="Amiri" w:cs="Amiri"/>
          <w:color w:val="111111"/>
          <w:sz w:val="28"/>
          <w:sz w:val="28"/>
          <w:szCs w:val="28"/>
          <w:rtl w:val="true"/>
          <w:lang w:bidi="ar-SA"/>
        </w:rPr>
        <w:t xml:space="preserve">التّأمّل في عدم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الماء في الشّريعة من حيث الوزن، ومع الغضّ عن ذلك كلّه لا أقلّ من إجمال الرّطل في باب المياه؛ لعدم وضوح المُراد منه، ولا يصلح للقرينيّة؛ لعدم اتّصاله بروايات التّحديد بالكُرّ، فيجب الأخذ بصراحة الأدلّة المحدّدة بالكُرّ نفسه بعد تعيين الشّارع قدره بالأشبار؛ لعدم الخلاف في أنّه مكيال، ولا تجوز الفتوى بأنّ الماء محدّد بالوزن الخاصّ الّذي فُسّر به الرّطل في باب الفطرة</w:t>
      </w:r>
      <w:r>
        <w:rPr>
          <w:rFonts w:eastAsia="Amiri" w:cs="Amiri" w:ascii="Amiri" w:hAnsi="Amiri"/>
          <w:color w:val="111111"/>
          <w:sz w:val="28"/>
          <w:szCs w:val="28"/>
          <w:rtl w:val="true"/>
          <w:lang w:bidi="ar-SA"/>
        </w:rPr>
        <w:t xml:space="preserve">. </w:t>
      </w:r>
      <w:bookmarkStart w:id="710" w:name="pg9159_85258"/>
    </w:p>
    <w:p>
      <w:pPr>
        <w:pStyle w:val="Heading4"/>
        <w:numPr>
          <w:ilvl w:val="3"/>
          <w:numId w:val="1"/>
        </w:numPr>
        <w:rPr/>
      </w:pPr>
      <w:bookmarkStart w:id="711" w:name="__RefHeading___Toc3483079_2870459653"/>
      <w:bookmarkStart w:id="712" w:name="_Toc271"/>
      <w:bookmarkEnd w:id="710"/>
      <w:bookmarkEnd w:id="711"/>
      <w:r>
        <w:rPr>
          <w:rtl w:val="true"/>
        </w:rPr>
        <w:t>المقصد الثّاني</w:t>
      </w:r>
      <w:r>
        <w:rPr>
          <w:rtl w:val="true"/>
        </w:rPr>
        <w:t xml:space="preserve">: </w:t>
      </w:r>
      <w:r>
        <w:rPr>
          <w:rtl w:val="true"/>
        </w:rPr>
        <w:t>في كيف الكُرّ وكمّه</w:t>
      </w:r>
      <w:bookmarkEnd w:id="712"/>
    </w:p>
    <w:p>
      <w:pPr>
        <w:pStyle w:val="Heading5"/>
        <w:numPr>
          <w:ilvl w:val="4"/>
          <w:numId w:val="1"/>
        </w:numPr>
        <w:rPr/>
      </w:pPr>
      <w:bookmarkStart w:id="713" w:name="__RefHeading___Toc3483081_2870459653"/>
      <w:bookmarkStart w:id="714" w:name="_Toc272"/>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3483083_2870459653"/>
      <w:bookmarkStart w:id="716" w:name="_Toc273"/>
      <w:bookmarkEnd w:id="715"/>
      <w:r>
        <w:rPr>
          <w:rtl w:val="true"/>
        </w:rPr>
        <w:t>المقام الأوّل</w:t>
      </w:r>
      <w:r>
        <w:rPr>
          <w:rtl w:val="true"/>
        </w:rPr>
        <w:t xml:space="preserve">: </w:t>
      </w:r>
      <w:r>
        <w:rPr>
          <w:rtl w:val="true"/>
        </w:rPr>
        <w:t>في كيفيّته من حيث المدوّريّة وعدمها</w:t>
      </w:r>
      <w:bookmarkEnd w:id="716"/>
    </w:p>
    <w:p>
      <w:pPr>
        <w:pStyle w:val="Heading6"/>
        <w:numPr>
          <w:ilvl w:val="5"/>
          <w:numId w:val="1"/>
        </w:numPr>
        <w:rPr/>
      </w:pPr>
      <w:bookmarkStart w:id="717" w:name="__RefHeading___Toc3483085_2870459653"/>
      <w:bookmarkStart w:id="718" w:name="_Toc274"/>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 xml:space="preserve">والظّاهر أنّه مدوّر لا مربّع، 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ألفاظ المكاييل في المدوّر؛ لأنّه مقتضى الطّبيعة الأوّليّة</w:t>
      </w:r>
      <w:r>
        <w:rPr>
          <w:rStyle w:val="FootnoteAnchor"/>
          <w:rtl w:val="true"/>
        </w:rPr>
        <w:footnoteReference w:id="619"/>
      </w:r>
      <w:r>
        <w:rPr>
          <w:rFonts w:ascii="Amiri" w:hAnsi="Amiri" w:eastAsia="Amiri" w:cs="Amiri"/>
          <w:color w:val="111111"/>
          <w:sz w:val="28"/>
          <w:sz w:val="28"/>
          <w:szCs w:val="28"/>
          <w:rtl w:val="true"/>
          <w:lang w:bidi="ar-SA"/>
        </w:rPr>
        <w:t>بحيث لا يخطر ببال غيره</w:t>
      </w:r>
      <w:r>
        <w:rPr>
          <w:rStyle w:val="FootnoteAnchor"/>
          <w:rtl w:val="true"/>
        </w:rPr>
        <w:footnoteReference w:id="620"/>
      </w:r>
      <w:r>
        <w:rPr>
          <w:rFonts w:ascii="Amiri" w:hAnsi="Amiri" w:eastAsia="Amiri" w:cs="Amiri"/>
          <w:color w:val="111111"/>
          <w:sz w:val="28"/>
          <w:sz w:val="28"/>
          <w:szCs w:val="28"/>
          <w:rtl w:val="true"/>
          <w:lang w:bidi="ar-SA"/>
        </w:rPr>
        <w:t>، خصوصاً مع نقل بعض قدماء اللّغويّين كما وجدناه في العتبة المقدّسة</w:t>
      </w:r>
      <w:r>
        <w:rPr>
          <w:rStyle w:val="FootnoteAnchor"/>
          <w:rtl w:val="true"/>
        </w:rPr>
        <w:footnoteReference w:id="621"/>
      </w:r>
      <w:r>
        <w:rPr>
          <w:rFonts w:ascii="IRNazanin" w:hAnsi="IRNazanin" w:eastAsia="IRNazanin"/>
          <w:color w:val="111111"/>
          <w:sz w:val="28"/>
          <w:sz w:val="28"/>
          <w:szCs w:val="28"/>
          <w:rtl w:val="true"/>
          <w:lang w:bidi="fa-IR"/>
        </w:rPr>
        <w:t>بأنّه يُطلق على البئر، فعن قانون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وچاهى كه دست به آبش برسد</w:t>
      </w:r>
      <w:r>
        <w:rPr>
          <w:rFonts w:eastAsia="IRNazanin" w:cs="IRNazanin"/>
          <w:color w:val="111111"/>
          <w:sz w:val="28"/>
          <w:szCs w:val="28"/>
          <w:rtl w:val="true"/>
          <w:lang w:bidi="fa-IR"/>
        </w:rPr>
        <w:t>)</w:t>
      </w:r>
      <w:r>
        <w:rPr>
          <w:rStyle w:val="FootnoteAnchor"/>
          <w:rtl w:val="true"/>
        </w:rPr>
        <w:footnoteReference w:id="622"/>
      </w:r>
      <w:r>
        <w:rPr>
          <w:rFonts w:ascii="Amiri" w:hAnsi="Amiri" w:eastAsia="Amiri" w:cs="Amiri"/>
          <w:color w:val="111111"/>
          <w:sz w:val="28"/>
          <w:sz w:val="28"/>
          <w:szCs w:val="28"/>
          <w:rtl w:val="true"/>
          <w:lang w:bidi="ar-SA"/>
        </w:rPr>
        <w:t xml:space="preserve">لوضوح عدم صحّة إطلاقه على البئر الّتي هي مدوّرة إلّا إذا كان مكيالاً مدوّراً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483087_2870459653"/>
      <w:bookmarkStart w:id="720" w:name="_Toc275"/>
      <w:bookmarkEnd w:id="719"/>
      <w:r>
        <w:rPr>
          <w:rtl w:val="true"/>
        </w:rPr>
        <w:t>الوجه الأوّل</w:t>
      </w:r>
      <w:bookmarkEnd w:id="72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أخبار الأشبار كما هو المعترف به عند كثير ممّن تعرّض لتلك الجهة</w:t>
      </w:r>
      <w:r>
        <w:rPr>
          <w:rStyle w:val="FootnoteAnchor"/>
          <w:rtl w:val="true"/>
        </w:rPr>
        <w:footnoteReference w:id="623"/>
      </w:r>
      <w:r>
        <w:rPr>
          <w:rFonts w:ascii="Amiri" w:hAnsi="Amiri" w:eastAsia="Amiri" w:cs="Amiri"/>
          <w:color w:val="111111"/>
          <w:sz w:val="28"/>
          <w:sz w:val="28"/>
          <w:szCs w:val="28"/>
          <w:rtl w:val="true"/>
          <w:lang w:bidi="ar-SA"/>
        </w:rPr>
        <w:t xml:space="preserve">، فبعد شمولها للمدوّريّ يجب الانحصار به؛ لأنّ تلك الأخبار تكون </w:t>
      </w:r>
      <w:bookmarkStart w:id="721" w:name="pg9159_85259"/>
    </w:p>
    <w:p>
      <w:pPr>
        <w:pStyle w:val="BookText"/>
        <w:rPr/>
      </w:pPr>
      <w:bookmarkEnd w:id="721"/>
      <w:r>
        <w:rPr>
          <w:rFonts w:ascii="Amiri" w:hAnsi="Amiri" w:eastAsia="Amiri" w:cs="Amiri"/>
          <w:color w:val="111111"/>
          <w:sz w:val="28"/>
          <w:sz w:val="28"/>
          <w:szCs w:val="28"/>
          <w:rtl w:val="true"/>
          <w:lang w:bidi="ar-SA"/>
        </w:rPr>
        <w:t xml:space="preserve">في مقام التّحديد كما أشار إليه الشّيخ وغيره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وردّه بأنّه خلاف الإجماع</w:t>
      </w:r>
      <w:r>
        <w:rPr>
          <w:rStyle w:val="FootnoteAnchor"/>
          <w:rtl w:val="true"/>
        </w:rPr>
        <w:footnoteReference w:id="625"/>
      </w:r>
      <w:r>
        <w:rPr>
          <w:rFonts w:ascii="Amiri" w:hAnsi="Amiri" w:eastAsia="Amiri" w:cs="Amiri"/>
          <w:color w:val="111111"/>
          <w:sz w:val="28"/>
          <w:sz w:val="28"/>
          <w:szCs w:val="28"/>
          <w:rtl w:val="true"/>
          <w:lang w:bidi="ar-SA"/>
        </w:rPr>
        <w:t>سيأتي اندفاعه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2" w:name="__RefHeading___Toc3483089_2870459653"/>
      <w:bookmarkStart w:id="723" w:name="_Toc276"/>
      <w:bookmarkEnd w:id="722"/>
      <w:r>
        <w:rPr>
          <w:rtl w:val="true"/>
        </w:rPr>
        <w:t>الوجه الثّاني</w:t>
      </w:r>
      <w:bookmarkEnd w:id="723"/>
    </w:p>
    <w:p>
      <w:pPr>
        <w:pStyle w:val="BookText"/>
        <w:rPr/>
      </w:pPr>
      <w:r>
        <w:rPr>
          <w:rFonts w:ascii="Amiri" w:hAnsi="Amiri" w:eastAsia="Amiri" w:cs="Amiri"/>
          <w:color w:val="111111"/>
          <w:sz w:val="28"/>
          <w:sz w:val="28"/>
          <w:szCs w:val="28"/>
          <w:rtl w:val="true"/>
          <w:lang w:bidi="ar-SA"/>
        </w:rPr>
        <w:t>عدم التّعرّض للطّول في الرّوايات، مع التّعرّض للبعدين من العرض والعمق</w:t>
      </w:r>
      <w:r>
        <w:rPr>
          <w:rStyle w:val="FootnoteAnchor"/>
          <w:rtl w:val="true"/>
        </w:rPr>
        <w:footnoteReference w:id="627"/>
      </w:r>
      <w:r>
        <w:rPr>
          <w:rFonts w:ascii="Amiri" w:hAnsi="Amiri" w:eastAsia="Amiri" w:cs="Amiri"/>
          <w:color w:val="111111"/>
          <w:sz w:val="28"/>
          <w:sz w:val="28"/>
          <w:szCs w:val="28"/>
          <w:rtl w:val="true"/>
          <w:lang w:bidi="ar-SA"/>
        </w:rPr>
        <w:t>، والعدول عن العرض أيضاً إلى لفظة السّعة في بعضها</w:t>
      </w:r>
      <w:r>
        <w:rPr>
          <w:rStyle w:val="FootnoteAnchor"/>
          <w:rtl w:val="true"/>
        </w:rPr>
        <w:footnoteReference w:id="628"/>
      </w:r>
      <w:r>
        <w:rPr>
          <w:rFonts w:ascii="Amiri" w:hAnsi="Amiri" w:eastAsia="Amiri" w:cs="Amiri"/>
          <w:color w:val="111111"/>
          <w:sz w:val="28"/>
          <w:sz w:val="28"/>
          <w:szCs w:val="28"/>
          <w:rtl w:val="true"/>
          <w:lang w:bidi="ar-SA"/>
        </w:rPr>
        <w:t>، فإنّ الظّاهر من السّعة أن يكون ذو السّعة من أيّ جهة فرُض بتلك السّعة</w:t>
      </w:r>
      <w:r>
        <w:rPr>
          <w:rStyle w:val="FootnoteAnchor"/>
          <w:rtl w:val="true"/>
        </w:rPr>
        <w:footnoteReference w:id="629"/>
      </w:r>
      <w:r>
        <w:rPr>
          <w:rFonts w:ascii="Amiri" w:hAnsi="Amiri" w:eastAsia="Amiri" w:cs="Amiri"/>
          <w:color w:val="111111"/>
          <w:sz w:val="28"/>
          <w:sz w:val="28"/>
          <w:szCs w:val="28"/>
          <w:rtl w:val="true"/>
          <w:lang w:bidi="ar-SA"/>
        </w:rPr>
        <w:t>، وذلك لا يتصوّر إلّا في المدوّر؛ إذ المربّع ليس من جميع الجهات ثلاثة أشبار ونصف كما هو واضح لمن كان له أدنى ربط بالهندسة</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3483091_2870459653"/>
      <w:bookmarkStart w:id="725" w:name="_Toc277"/>
      <w:bookmarkEnd w:id="724"/>
      <w:r>
        <w:rPr>
          <w:rtl w:val="true"/>
        </w:rPr>
        <w:t>الوجه الثّالث</w:t>
      </w:r>
      <w:bookmarkEnd w:id="725"/>
    </w:p>
    <w:p>
      <w:pPr>
        <w:pStyle w:val="BookText"/>
        <w:rPr/>
      </w:pPr>
      <w:r>
        <w:rPr>
          <w:rFonts w:ascii="Amiri" w:hAnsi="Amiri" w:eastAsia="Amiri" w:cs="Amiri"/>
          <w:color w:val="111111"/>
          <w:sz w:val="28"/>
          <w:sz w:val="28"/>
          <w:szCs w:val="28"/>
          <w:rtl w:val="true"/>
          <w:lang w:bidi="ar-SA"/>
        </w:rPr>
        <w:t>اشتمال كلّ واحد من الرّوايات على خصوصيّة تدلُّ على المدوّريّة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صالح الثّوريّ عن أبي عبد الله</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أشبارٍ ونصفٌ عمقُها في ثلاثةِ </w:t>
      </w:r>
    </w:p>
    <w:p>
      <w:pPr>
        <w:pStyle w:val="BookText"/>
        <w:rPr/>
      </w:pPr>
      <w:r>
        <w:rPr>
          <w:rFonts w:ascii="Amiri" w:hAnsi="Amiri" w:eastAsia="Amiri" w:cs="Amiri"/>
          <w:color w:val="111111"/>
          <w:sz w:val="28"/>
          <w:sz w:val="28"/>
          <w:szCs w:val="28"/>
          <w:rtl w:val="true"/>
          <w:lang w:bidi="ar-SA"/>
        </w:rPr>
        <w:t>أشبارٍ ونصفٍ عرضها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الخبر؛ إذ الرَّكِيّ عبارة عن البئر الصّغيرة</w:t>
      </w:r>
      <w:r>
        <w:rPr>
          <w:rStyle w:val="FootnoteAnchor"/>
          <w:rtl w:val="true"/>
        </w:rPr>
        <w:footnoteReference w:id="632"/>
      </w:r>
      <w:r>
        <w:rPr>
          <w:rStyle w:val="FootnoteAnchor"/>
          <w:rtl w:val="true"/>
        </w:rPr>
        <w:footnoteReference w:id="633"/>
      </w:r>
      <w:r>
        <w:rPr>
          <w:rFonts w:ascii="IRNazanin" w:hAnsi="IRNazanin" w:eastAsia="IRNazanin"/>
          <w:color w:val="111111"/>
          <w:sz w:val="28"/>
          <w:sz w:val="28"/>
          <w:szCs w:val="28"/>
          <w:rtl w:val="true"/>
          <w:lang w:bidi="fa-IR"/>
        </w:rPr>
        <w:t xml:space="preserve">، ومن الواضح أنّ البئر مدوّرة، لا مربّعة، ويسأل الرّاوي في هذه الرّواية بقوله كم الكرّ فيجيب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أشبار ونصف عمقها في ثلاثة أشبار ونصف عرضها، ولو كان المُراد مربّعيّة الكُرّ لوجب التّصريح عليه؛ إذ المقام مشتملٌ على خصوصيّة توجب ظهور الكلام في خلاف مقصود المتكلّم،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في المقام بما عبّر</w:t>
      </w:r>
      <w:r>
        <w:rPr>
          <w:rStyle w:val="FootnoteAnchor"/>
          <w:rtl w:val="true"/>
        </w:rPr>
        <w:footnoteReference w:id="634"/>
      </w:r>
      <w:r>
        <w:rPr>
          <w:rFonts w:ascii="Amiri" w:hAnsi="Amiri" w:eastAsia="Amiri" w:cs="Amiri"/>
          <w:color w:val="111111"/>
          <w:sz w:val="28"/>
          <w:sz w:val="28"/>
          <w:szCs w:val="28"/>
          <w:rtl w:val="true"/>
          <w:lang w:bidi="ar-SA"/>
        </w:rPr>
        <w:t>به في الأخبار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الكُرّ؟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ثلاثة أشبار في ثلاثة أشبار</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اقتصاره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أشبار</w:t>
      </w:r>
      <w:r>
        <w:rPr>
          <w:rStyle w:val="FootnoteAnchor"/>
          <w:rtl w:val="true"/>
        </w:rPr>
        <w:footnoteReference w:id="636"/>
      </w:r>
      <w:r>
        <w:rPr>
          <w:rFonts w:ascii="Amiri" w:hAnsi="Amiri" w:eastAsia="Amiri" w:cs="Amiri"/>
          <w:color w:val="111111"/>
          <w:sz w:val="28"/>
          <w:sz w:val="28"/>
          <w:szCs w:val="28"/>
          <w:rtl w:val="true"/>
          <w:lang w:bidi="ar-SA"/>
        </w:rPr>
        <w:t>في ثلاثة ظاهر في المدوّر، وإلّا لكان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ثلاثة في ثلاثة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w:t>
      </w:r>
      <w:r>
        <w:rPr>
          <w:rStyle w:val="FootnoteAnchor"/>
          <w:rtl w:val="true"/>
        </w:rPr>
        <w:footnoteReference w:id="637"/>
      </w:r>
      <w:r>
        <w:rPr>
          <w:rFonts w:ascii="IRNazanin" w:hAnsi="IRNazanin" w:eastAsia="IRNazanin"/>
          <w:color w:val="111111"/>
          <w:sz w:val="28"/>
          <w:sz w:val="28"/>
          <w:szCs w:val="28"/>
          <w:rtl w:val="true"/>
          <w:lang w:bidi="fa-IR"/>
        </w:rPr>
        <w:t>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الّذي </w:t>
      </w:r>
    </w:p>
    <w:p>
      <w:pPr>
        <w:pStyle w:val="BookText"/>
        <w:rPr/>
      </w:pPr>
      <w:r>
        <w:rPr>
          <w:rFonts w:ascii="Amiri" w:hAnsi="Amiri" w:eastAsia="Amiri" w:cs="Amiri"/>
          <w:color w:val="111111"/>
          <w:sz w:val="28"/>
          <w:sz w:val="28"/>
          <w:szCs w:val="28"/>
          <w:rtl w:val="true"/>
          <w:lang w:bidi="ar-SA"/>
        </w:rPr>
        <w:t>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ظهور لفظة السّعة في المدوّر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الكُرّ من الماء نحو حُبِّي هذا</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تشبيه الكُرّ من الماء لا ماء الكُرّ بالحُبّ المدوّر لا يناسب إلّا مع المدوّريّة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الّتي توهّموا دلالتها على ما نُسب إلى المشهور من مربّعيّة الكُرّ فهي أيضاً ظاهرة فيما ذكرنا أو أظهر؛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ثلاثة أشبار ونصفاً في مثله ثلاثة أشبار ونصف</w:t>
      </w:r>
      <w:r>
        <w:rPr>
          <w:rStyle w:val="FootnoteAnchor"/>
          <w:rtl w:val="true"/>
        </w:rPr>
        <w:footnoteReference w:id="640"/>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الخبر،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ثابتة كما هو الأقوى</w:t>
      </w:r>
      <w:r>
        <w:rPr>
          <w:rStyle w:val="FootnoteAnchor"/>
          <w:rtl w:val="true"/>
        </w:rPr>
        <w:footnoteReference w:id="642"/>
      </w:r>
      <w:r>
        <w:rPr>
          <w:rFonts w:ascii="Amiri" w:hAnsi="Amiri" w:eastAsia="Amiri" w:cs="Amiri"/>
          <w:color w:val="111111"/>
          <w:sz w:val="28"/>
          <w:sz w:val="28"/>
          <w:szCs w:val="28"/>
          <w:rtl w:val="true"/>
          <w:lang w:bidi="ar-SA"/>
        </w:rPr>
        <w:t xml:space="preserve">بناءً على النّسخة المقروءة على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ظاهرة في ما ادّعيناه؛ لأنّ قوله ثلاثة أشبار ونصف بعد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بياناً لها، لا مبايناً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بعد هذه اللّفظة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الرّواية ظاهرة في ما ادّعوه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تكن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كما احتمله جماعة</w:t>
      </w:r>
      <w:r>
        <w:rPr>
          <w:rStyle w:val="FootnoteAnchor"/>
          <w:rtl w:val="true"/>
        </w:rPr>
        <w:footnoteReference w:id="643"/>
      </w:r>
      <w:r>
        <w:rPr>
          <w:rFonts w:ascii="Amiri" w:hAnsi="Amiri" w:eastAsia="Amiri" w:cs="Amiri"/>
          <w:color w:val="111111"/>
          <w:sz w:val="28"/>
          <w:sz w:val="28"/>
          <w:szCs w:val="28"/>
          <w:rtl w:val="true"/>
          <w:lang w:bidi="ar-SA"/>
        </w:rPr>
        <w:t xml:space="preserve">يكون أظهر، وفي سياق سائر </w:t>
      </w:r>
    </w:p>
    <w:p>
      <w:pPr>
        <w:pStyle w:val="BookText"/>
        <w:rPr/>
      </w:pPr>
      <w:r>
        <w:rPr>
          <w:rFonts w:ascii="IRNazanin" w:hAnsi="IRNazanin" w:eastAsia="IRNazanin"/>
          <w:color w:val="111111"/>
          <w:sz w:val="28"/>
          <w:sz w:val="28"/>
          <w:szCs w:val="28"/>
          <w:rtl w:val="true"/>
          <w:lang w:bidi="fa-IR"/>
        </w:rPr>
        <w:t>أخبار الباب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المدّعى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حجّيّة منقوله كما قرّر في محلّه</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ادّعاء في محلّ الخلاف؛ لأنّ كلمات القدماء خالية عن ذكر الأشبار، والمسألة معركة للآراء</w:t>
      </w:r>
      <w:r>
        <w:rPr>
          <w:rStyle w:val="FootnoteAnchor"/>
          <w:rtl w:val="true"/>
        </w:rPr>
        <w:footnoteReference w:id="645"/>
      </w:r>
      <w:r>
        <w:rPr>
          <w:rFonts w:ascii="Amiri" w:hAnsi="Amiri" w:eastAsia="Amiri" w:cs="Amiri"/>
          <w:color w:val="111111"/>
          <w:sz w:val="28"/>
          <w:sz w:val="28"/>
          <w:szCs w:val="28"/>
          <w:rtl w:val="true"/>
          <w:lang w:bidi="ar-SA"/>
        </w:rPr>
        <w:t>بين النّعمانيّ</w:t>
      </w:r>
      <w:r>
        <w:rPr>
          <w:rStyle w:val="FootnoteAnchor"/>
          <w:rtl w:val="true"/>
        </w:rPr>
        <w:footnoteReference w:id="646"/>
      </w:r>
      <w:r>
        <w:rPr>
          <w:rStyle w:val="FootnoteAnchor"/>
          <w:rtl w:val="true"/>
        </w:rPr>
        <w:footnoteReference w:id="647"/>
      </w:r>
      <w:r>
        <w:rPr>
          <w:rFonts w:ascii="IRNazanin" w:hAnsi="IRNazanin" w:eastAsia="IRNazanin"/>
          <w:color w:val="111111"/>
          <w:sz w:val="28"/>
          <w:sz w:val="28"/>
          <w:szCs w:val="28"/>
          <w:rtl w:val="true"/>
          <w:lang w:bidi="fa-IR"/>
        </w:rPr>
        <w:t>ومن تبعه</w:t>
      </w:r>
      <w:r>
        <w:rPr>
          <w:rStyle w:val="FootnoteAnchor"/>
          <w:rtl w:val="true"/>
        </w:rPr>
        <w:footnoteReference w:id="648"/>
      </w:r>
      <w:r>
        <w:rPr>
          <w:rFonts w:ascii="Amiri" w:hAnsi="Amiri" w:eastAsia="Amiri" w:cs="Amiri"/>
          <w:color w:val="111111"/>
          <w:sz w:val="28"/>
          <w:sz w:val="28"/>
          <w:szCs w:val="28"/>
          <w:rtl w:val="true"/>
          <w:lang w:bidi="ar-SA"/>
        </w:rPr>
        <w:t>وبين غيرهم</w:t>
      </w:r>
      <w:r>
        <w:rPr>
          <w:rStyle w:val="FootnoteAnchor"/>
          <w:rtl w:val="true"/>
        </w:rPr>
        <w:footnoteReference w:id="649"/>
      </w:r>
      <w:r>
        <w:rPr>
          <w:rFonts w:ascii="Amiri" w:hAnsi="Amiri" w:eastAsia="Amiri" w:cs="Amiri"/>
          <w:color w:val="111111"/>
          <w:sz w:val="28"/>
          <w:sz w:val="28"/>
          <w:szCs w:val="28"/>
          <w:rtl w:val="true"/>
          <w:lang w:bidi="ar-SA"/>
        </w:rPr>
        <w:t>، حتّى من المخالفين للنّعمانيّ مَن هو قائلٌ بكفاية عشرة أشبار</w:t>
      </w:r>
      <w:r>
        <w:rPr>
          <w:rStyle w:val="FootnoteAnchor"/>
          <w:rtl w:val="true"/>
        </w:rPr>
        <w:footnoteReference w:id="650"/>
      </w:r>
      <w:r>
        <w:rPr>
          <w:rFonts w:ascii="Amiri" w:hAnsi="Amiri" w:eastAsia="Amiri" w:cs="Amiri"/>
          <w:color w:val="111111"/>
          <w:sz w:val="28"/>
          <w:sz w:val="28"/>
          <w:szCs w:val="28"/>
          <w:rtl w:val="true"/>
          <w:lang w:bidi="ar-SA"/>
        </w:rPr>
        <w:t>، وجماعة من الفقهاء قد اختاروا سقوط الأنصاف</w:t>
      </w:r>
      <w:r>
        <w:rPr>
          <w:rStyle w:val="FootnoteAnchor"/>
          <w:rtl w:val="true"/>
        </w:rPr>
        <w:footnoteReference w:id="651"/>
      </w:r>
      <w:r>
        <w:rPr>
          <w:rFonts w:ascii="Amiri" w:hAnsi="Amiri" w:eastAsia="Amiri" w:cs="Amiri"/>
          <w:color w:val="111111"/>
          <w:sz w:val="28"/>
          <w:sz w:val="28"/>
          <w:szCs w:val="28"/>
          <w:rtl w:val="true"/>
          <w:lang w:bidi="ar-SA"/>
        </w:rPr>
        <w:t xml:space="preserve">، وما نختاره من ثبوت الأنصاف يكون أكثر من المربّع، ولو على المدوّريّة بناءً على سقوط الأنصاف؛ لأنّ حاصل ضربها على المدوّريّة كما عن </w:t>
      </w:r>
      <w:bookmarkStart w:id="726" w:name="pg9159_85263"/>
    </w:p>
    <w:p>
      <w:pPr>
        <w:pStyle w:val="BookText"/>
        <w:rPr/>
      </w:pPr>
      <w:bookmarkEnd w:id="726"/>
      <w:r>
        <w:rPr>
          <w:rFonts w:ascii="Amiri" w:hAnsi="Amiri" w:eastAsia="Amiri" w:cs="Amiri"/>
          <w:color w:val="111111"/>
          <w:sz w:val="28"/>
          <w:sz w:val="28"/>
          <w:szCs w:val="28"/>
          <w:rtl w:val="true"/>
          <w:lang w:bidi="ar-SA"/>
        </w:rPr>
        <w:t>المجلسيّين ثلاثة وثلاثون شبراً ونصف الشّبر وثمنه ونصف الثّمن تقريباً</w:t>
      </w:r>
      <w:r>
        <w:rPr>
          <w:rStyle w:val="FootnoteAnchor"/>
          <w:rtl w:val="true"/>
        </w:rPr>
        <w:footnoteReference w:id="652"/>
      </w:r>
      <w:r>
        <w:rPr>
          <w:rFonts w:ascii="Amiri" w:hAnsi="Amiri" w:eastAsia="Amiri" w:cs="Amiri"/>
          <w:color w:val="111111"/>
          <w:sz w:val="28"/>
          <w:sz w:val="28"/>
          <w:szCs w:val="28"/>
          <w:rtl w:val="true"/>
          <w:lang w:bidi="ar-SA"/>
        </w:rPr>
        <w:t>، فكيف يكون ما ذكرنا</w:t>
      </w:r>
      <w:r>
        <w:rPr>
          <w:rStyle w:val="FootnoteAnchor"/>
          <w:rtl w:val="true"/>
        </w:rPr>
        <w:footnoteReference w:id="653"/>
      </w:r>
      <w:r>
        <w:rPr>
          <w:rFonts w:ascii="IRNazanin" w:hAnsi="IRNazanin" w:eastAsia="IRNazanin"/>
          <w:color w:val="111111"/>
          <w:sz w:val="28"/>
          <w:sz w:val="28"/>
          <w:szCs w:val="28"/>
          <w:rtl w:val="true"/>
          <w:lang w:bidi="fa-IR"/>
        </w:rPr>
        <w:t>خلاف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w:t>
      </w:r>
      <w:r>
        <w:rPr>
          <w:rStyle w:val="FootnoteAnchor"/>
          <w:rtl w:val="true"/>
        </w:rPr>
        <w:footnoteReference w:id="654"/>
      </w:r>
      <w:r>
        <w:rPr>
          <w:rFonts w:ascii="Amiri" w:hAnsi="Amiri" w:eastAsia="Amiri" w:cs="Amiri"/>
          <w:color w:val="111111"/>
          <w:sz w:val="28"/>
          <w:sz w:val="28"/>
          <w:szCs w:val="28"/>
          <w:rtl w:val="true"/>
          <w:lang w:bidi="ar-SA"/>
        </w:rPr>
        <w:t>أنّ هذه</w:t>
      </w:r>
      <w:r>
        <w:rPr>
          <w:rStyle w:val="FootnoteAnchor"/>
          <w:rtl w:val="true"/>
        </w:rPr>
        <w:footnoteReference w:id="655"/>
      </w:r>
      <w:r>
        <w:rPr>
          <w:rFonts w:ascii="Amiri" w:hAnsi="Amiri" w:eastAsia="Amiri" w:cs="Amiri"/>
          <w:color w:val="111111"/>
          <w:sz w:val="28"/>
          <w:sz w:val="28"/>
          <w:szCs w:val="28"/>
          <w:rtl w:val="true"/>
          <w:lang w:bidi="ar-SA"/>
        </w:rPr>
        <w:t>الرّوايات ظاهرةٌ في المدوّريّة، والصّارف منتفِ فوجب الأخذ بالظّهور، كما هو المقرّر في محلّه</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483093_2870459653"/>
      <w:bookmarkStart w:id="728" w:name="_Toc278"/>
      <w:bookmarkEnd w:id="727"/>
      <w:r>
        <w:rPr>
          <w:rtl w:val="true"/>
        </w:rPr>
        <w:t>المقام الثّاني</w:t>
      </w:r>
      <w:r>
        <w:rPr>
          <w:rtl w:val="true"/>
        </w:rPr>
        <w:t xml:space="preserve">: </w:t>
      </w:r>
      <w:r>
        <w:rPr>
          <w:rtl w:val="true"/>
        </w:rPr>
        <w:t>في كمّيّة الكُرّ وقدره الّتي هي المسؤول عنها في الرّوايات</w:t>
      </w:r>
      <w:bookmarkEnd w:id="728"/>
    </w:p>
    <w:p>
      <w:pPr>
        <w:pStyle w:val="BookText"/>
        <w:rPr/>
      </w:pPr>
      <w:r>
        <w:rPr>
          <w:rFonts w:ascii="Amiri" w:hAnsi="Amiri" w:eastAsia="Amiri" w:cs="Amiri"/>
          <w:color w:val="111111"/>
          <w:sz w:val="28"/>
          <w:sz w:val="28"/>
          <w:szCs w:val="28"/>
          <w:rtl w:val="true"/>
          <w:lang w:bidi="ar-SA"/>
        </w:rPr>
        <w:t>ولا إشكال في أنّ الكُرّ مكيال تكون سعته ثلاثة أشبار ونصف في عمق كذلك</w:t>
      </w:r>
      <w:r>
        <w:rPr>
          <w:rStyle w:val="FootnoteAnchor"/>
          <w:rtl w:val="true"/>
        </w:rPr>
        <w:footnoteReference w:id="656"/>
      </w:r>
      <w:r>
        <w:rPr>
          <w:rFonts w:ascii="Amiri" w:hAnsi="Amiri" w:eastAsia="Amiri" w:cs="Amiri"/>
          <w:color w:val="111111"/>
          <w:sz w:val="28"/>
          <w:sz w:val="28"/>
          <w:szCs w:val="28"/>
          <w:rtl w:val="true"/>
          <w:lang w:bidi="ar-SA"/>
        </w:rPr>
        <w:t>، ولا إشعار في الرّوايات على خلافها، إنّما الكلام في رفع التّعارض وعلاجه بين الأخبار المثبتة فيها الأنصاف وبين المسقطة هي عنها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والعلاج واضح، إذ مع الغضّ عن احتمال كون الرّوايات المسقطة عنها الأنصاف مشيرة إلى القضيّة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قوّة</w:t>
      </w:r>
      <w:r>
        <w:rPr>
          <w:rStyle w:val="FootnoteAnchor"/>
          <w:rtl w:val="true"/>
        </w:rPr>
        <w:footnoteReference w:id="657"/>
      </w:r>
      <w:r>
        <w:rPr>
          <w:rFonts w:ascii="Amiri" w:hAnsi="Amiri" w:eastAsia="Amiri" w:cs="Amiri"/>
          <w:color w:val="111111"/>
          <w:sz w:val="28"/>
          <w:sz w:val="28"/>
          <w:szCs w:val="28"/>
          <w:rtl w:val="true"/>
          <w:lang w:bidi="ar-SA"/>
        </w:rPr>
        <w:t xml:space="preserve">احتمال السّقوط خصوصاً في الكتب دون الزّيادة بعد مسير المعظم والمشهور إلى ثبوت الأنصاف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موافقة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المثبتة فيها الأنصاف</w:t>
      </w:r>
      <w:r>
        <w:rPr>
          <w:rStyle w:val="FootnoteAnchor"/>
          <w:rtl w:val="true"/>
        </w:rPr>
        <w:footnoteReference w:id="658"/>
      </w:r>
      <w:r>
        <w:rPr>
          <w:rFonts w:ascii="Amiri" w:hAnsi="Amiri" w:eastAsia="Amiri" w:cs="Amiri"/>
          <w:color w:val="111111"/>
          <w:sz w:val="28"/>
          <w:sz w:val="28"/>
          <w:szCs w:val="28"/>
          <w:rtl w:val="true"/>
          <w:lang w:bidi="ar-SA"/>
        </w:rPr>
        <w:t>مصحّحة</w:t>
      </w:r>
      <w:r>
        <w:rPr>
          <w:rStyle w:val="FootnoteAnchor"/>
          <w:rtl w:val="true"/>
        </w:rPr>
        <w:footnoteReference w:id="659"/>
      </w: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بأنّ الماء الّذي لا ينجّسه شيء ذراعان عمقه في ذراع وشبر سعته؛ لوضوح أنّ الذّراع أزيد من الشّبرين</w:t>
      </w:r>
      <w:r>
        <w:rPr>
          <w:rStyle w:val="FootnoteAnchor"/>
          <w:rtl w:val="true"/>
        </w:rPr>
        <w:footnoteReference w:id="660"/>
      </w:r>
      <w:r>
        <w:rPr>
          <w:rFonts w:ascii="Amiri" w:hAnsi="Amiri" w:eastAsia="Amiri" w:cs="Amiri"/>
          <w:color w:val="111111"/>
          <w:sz w:val="28"/>
          <w:sz w:val="28"/>
          <w:szCs w:val="28"/>
          <w:rtl w:val="true"/>
          <w:lang w:bidi="ar-SA"/>
        </w:rPr>
        <w:t>بيسير حسّاً، ولعلّه لهذه الدّقيقة</w:t>
      </w:r>
      <w:r>
        <w:rPr>
          <w:rStyle w:val="FootnoteAnchor"/>
          <w:rtl w:val="true"/>
        </w:rPr>
        <w:footnoteReference w:id="661"/>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ذراع ونصف إلى ذراع وشبر مربّعاً كان الكرّ</w:t>
      </w:r>
      <w:r>
        <w:rPr>
          <w:rStyle w:val="FootnoteAnchor"/>
          <w:rtl w:val="true"/>
        </w:rPr>
        <w:footnoteReference w:id="662"/>
      </w:r>
      <w:r>
        <w:rPr>
          <w:rFonts w:ascii="Amiri" w:hAnsi="Amiri" w:eastAsia="Amiri" w:cs="Amiri"/>
          <w:color w:val="111111"/>
          <w:sz w:val="28"/>
          <w:sz w:val="28"/>
          <w:szCs w:val="28"/>
          <w:rtl w:val="true"/>
          <w:lang w:bidi="ar-SA"/>
        </w:rPr>
        <w:t xml:space="preserve">أو مدوّراً دون الطّائفة الأخرى الّتي لم يذكر فيها الأنصاف؛ لوضوح عدم انطباقها على المربّع والمدوّر مع سقوط الأنصاف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تعيّن</w:t>
      </w:r>
      <w:r>
        <w:rPr>
          <w:rStyle w:val="FootnoteAnchor"/>
          <w:rtl w:val="true"/>
        </w:rPr>
        <w:footnoteReference w:id="663"/>
      </w:r>
      <w:r>
        <w:rPr>
          <w:rFonts w:ascii="Amiri" w:hAnsi="Amiri" w:eastAsia="Amiri" w:cs="Amiri"/>
          <w:color w:val="111111"/>
          <w:sz w:val="28"/>
          <w:sz w:val="28"/>
          <w:szCs w:val="28"/>
          <w:rtl w:val="true"/>
          <w:lang w:bidi="ar-SA"/>
        </w:rPr>
        <w:t>الأخذ بها، دون الرّوايات الغير المشتملة على الأنصاف</w:t>
      </w:r>
      <w:r>
        <w:rPr>
          <w:rFonts w:eastAsia="Amiri" w:cs="Amiri" w:ascii="Amiri" w:hAnsi="Amiri"/>
          <w:color w:val="111111"/>
          <w:sz w:val="28"/>
          <w:szCs w:val="28"/>
          <w:rtl w:val="true"/>
          <w:lang w:bidi="ar-SA"/>
        </w:rPr>
        <w:t xml:space="preserve">. </w:t>
      </w:r>
      <w:bookmarkStart w:id="729" w:name="pg9159_85265"/>
    </w:p>
    <w:p>
      <w:pPr>
        <w:pStyle w:val="Heading4"/>
        <w:numPr>
          <w:ilvl w:val="3"/>
          <w:numId w:val="1"/>
        </w:numPr>
        <w:rPr/>
      </w:pPr>
      <w:bookmarkStart w:id="730" w:name="__RefHeading___Toc3483095_2870459653"/>
      <w:bookmarkStart w:id="731" w:name="_Toc279"/>
      <w:bookmarkEnd w:id="729"/>
      <w:bookmarkEnd w:id="730"/>
      <w:r>
        <w:rPr>
          <w:rtl w:val="true"/>
        </w:rPr>
        <w:t>خاتمة</w:t>
      </w:r>
      <w:bookmarkEnd w:id="731"/>
    </w:p>
    <w:p>
      <w:pPr>
        <w:pStyle w:val="BookText"/>
        <w:rPr/>
      </w:pPr>
      <w:r>
        <w:rPr>
          <w:rFonts w:ascii="Amiri" w:hAnsi="Amiri" w:eastAsia="Amiri" w:cs="Amiri"/>
          <w:color w:val="111111"/>
          <w:sz w:val="28"/>
          <w:sz w:val="28"/>
          <w:szCs w:val="28"/>
          <w:rtl w:val="true"/>
          <w:lang w:bidi="ar-SA"/>
        </w:rPr>
        <w:t>ينبغي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أنّ المحدّد للماء المعصوم هو الكُرّ المدوّر نفسه، وقدره ثلاثة أشبار ونصف في ثلاثة أشبار ونصف ظهر أنّه بمعزلٍ عن الضّرب وحاصله، وكيف يليق بالشّريعة السّمحة السّهلة تحديد الماء أوّلاً وبالذّات بأمرٍ لا تناله إلّا المهرة من أصحاب الهندسة، سيّما على المدوّريّة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أنّ روايات الأشبار شارحة لقدر الكُرّ</w:t>
      </w:r>
      <w:r>
        <w:rPr>
          <w:rStyle w:val="FootnoteAnchor"/>
          <w:rtl w:val="true"/>
        </w:rPr>
        <w:footnoteReference w:id="664"/>
      </w:r>
      <w:r>
        <w:rPr>
          <w:rFonts w:ascii="Amiri" w:hAnsi="Amiri" w:eastAsia="Amiri" w:cs="Amiri"/>
          <w:color w:val="111111"/>
          <w:sz w:val="28"/>
          <w:sz w:val="28"/>
          <w:szCs w:val="28"/>
          <w:rtl w:val="true"/>
          <w:lang w:bidi="ar-SA"/>
        </w:rPr>
        <w:t xml:space="preserve">تكون القضيّة خارجيّة؛ لوحدة الكُرّ، وعدم الاختلاف في مصاديقه، والأشبار الشّارحة محمولة على الأشبار المتعارفة لأهل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w:t>
      </w:r>
      <w:r>
        <w:rPr>
          <w:rStyle w:val="FootnoteAnchor"/>
          <w:rtl w:val="true"/>
        </w:rPr>
        <w:footnoteReference w:id="665"/>
      </w:r>
      <w:r>
        <w:rPr>
          <w:rFonts w:ascii="Amiri" w:hAnsi="Amiri" w:eastAsia="Amiri" w:cs="Amiri"/>
          <w:color w:val="111111"/>
          <w:sz w:val="28"/>
          <w:sz w:val="28"/>
          <w:szCs w:val="28"/>
          <w:rtl w:val="true"/>
          <w:lang w:bidi="ar-SA"/>
        </w:rPr>
        <w:t xml:space="preserve">اختلاف الأشبار المتعارفة في عصرهم مع المتعارفة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قيل من اختلاف أعضاء الإنسان بمرور الأزمنة والأعوام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الاحتياط كما لا يخفى</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أوّلاً وآخراً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الأحقر محمّد باقر بن عبد الحيّ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وصلّى الله على أشرف أنبيائه وخاتم رسله وأهل</w:t>
      </w:r>
    </w:p>
    <w:p>
      <w:pPr>
        <w:pStyle w:val="BookText"/>
        <w:rPr/>
      </w:pPr>
      <w:r>
        <w:rPr>
          <w:rFonts w:ascii="Amiri" w:hAnsi="Amiri" w:eastAsia="Amiri" w:cs="Amiri"/>
          <w:color w:val="111111"/>
          <w:sz w:val="28"/>
          <w:sz w:val="28"/>
          <w:szCs w:val="28"/>
          <w:rtl w:val="true"/>
          <w:lang w:bidi="ar-SA"/>
        </w:rPr>
        <w:t>بيته</w:t>
      </w:r>
      <w:r>
        <w:rPr>
          <w:rStyle w:val="FootnoteAnchor"/>
          <w:rtl w:val="true"/>
        </w:rPr>
        <w:footnoteReference w:id="668"/>
      </w:r>
      <w:r>
        <w:rPr>
          <w:rFonts w:ascii="Amiri" w:hAnsi="Amiri" w:eastAsia="Amiri" w:cs="Amiri"/>
          <w:color w:val="111111"/>
          <w:sz w:val="28"/>
          <w:sz w:val="28"/>
          <w:szCs w:val="28"/>
          <w:rtl w:val="true"/>
          <w:lang w:bidi="ar-SA"/>
        </w:rPr>
        <w:t>الطّاهرين المعصومين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كتبه الأحقر محمّد مهديّ الأصبهانيّ</w:t>
      </w:r>
      <w:r>
        <w:rPr>
          <w:rStyle w:val="FootnoteAnchor"/>
          <w:rtl w:val="true"/>
        </w:rPr>
        <w:footnoteReference w:id="67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فرغت من استنساخ هذه النّسخة الشّريفة في السّابع والعشرين من ربيع الثّاني من شهور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اشتغالي وقراءتي على حضرة الأستاذ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الأحقر محمّد رضا المحقّق النّيشابوريّ</w:t>
      </w:r>
      <w:r>
        <w:rPr>
          <w:rFonts w:eastAsia="Amiri" w:cs="Amiri" w:ascii="Amiri" w:hAnsi="Amiri"/>
          <w:color w:val="111111"/>
          <w:sz w:val="28"/>
          <w:szCs w:val="28"/>
          <w:rtl w:val="true"/>
          <w:lang w:bidi="ar-SA"/>
        </w:rPr>
        <w:t xml:space="preserve">. </w:t>
      </w:r>
      <w:bookmarkStart w:id="732" w:name="pg9159_85267"/>
    </w:p>
    <w:p>
      <w:pPr>
        <w:pStyle w:val="Heading3"/>
        <w:numPr>
          <w:ilvl w:val="2"/>
          <w:numId w:val="1"/>
        </w:numPr>
        <w:rPr/>
      </w:pPr>
      <w:bookmarkStart w:id="733" w:name="__RefHeading___Toc3483097_2870459653"/>
      <w:bookmarkStart w:id="734" w:name="_Toc280"/>
      <w:bookmarkEnd w:id="732"/>
      <w:bookmarkEnd w:id="733"/>
      <w:r>
        <w:rPr>
          <w:rtl w:val="true"/>
        </w:rPr>
        <w:t xml:space="preserve">رسالة في الكرّ </w:t>
      </w:r>
      <w:r>
        <w:rPr>
          <w:rtl w:val="true"/>
        </w:rPr>
        <w:t xml:space="preserve">- </w:t>
      </w:r>
      <w:r>
        <w:rPr>
          <w:rtl w:val="true"/>
        </w:rPr>
        <w:t xml:space="preserve">الشیخ هاشم القزوینی </w:t>
      </w:r>
      <w:r>
        <w:rPr>
          <w:rtl w:val="true"/>
        </w:rPr>
        <w:t>(</w:t>
      </w:r>
      <w:r>
        <w:rPr>
          <w:rtl w:val="true"/>
        </w:rPr>
        <w:t>قدس سره</w:t>
      </w:r>
      <w:r>
        <w:rPr>
          <w:rtl w:val="true"/>
        </w:rPr>
        <w:t>)</w:t>
      </w:r>
      <w:bookmarkEnd w:id="734"/>
    </w:p>
    <w:p>
      <w:pPr>
        <w:pStyle w:val="Heading4"/>
        <w:numPr>
          <w:ilvl w:val="3"/>
          <w:numId w:val="1"/>
        </w:numPr>
        <w:rPr/>
      </w:pPr>
      <w:bookmarkStart w:id="735" w:name="__RefHeading___Toc3483099_2870459653"/>
      <w:bookmarkStart w:id="736" w:name="_Toc281"/>
      <w:bookmarkEnd w:id="735"/>
      <w:r>
        <w:rPr>
          <w:rtl w:val="true"/>
        </w:rPr>
        <w:t>اشارة</w:t>
      </w:r>
      <w:bookmarkEnd w:id="736"/>
    </w:p>
    <w:p>
      <w:pPr>
        <w:pStyle w:val="BookText"/>
        <w:rPr/>
      </w:pPr>
      <w:r>
        <w:rPr>
          <w:rFonts w:ascii="IRNazanin" w:hAnsi="IRNazanin" w:eastAsia="IRNazanin"/>
          <w:color w:val="111111"/>
          <w:sz w:val="28"/>
          <w:sz w:val="28"/>
          <w:szCs w:val="28"/>
          <w:rtl w:val="true"/>
          <w:lang w:bidi="fa-IR"/>
        </w:rPr>
        <w:t>من إفادات</w:t>
      </w:r>
    </w:p>
    <w:p>
      <w:pPr>
        <w:pStyle w:val="BookText"/>
        <w:rPr/>
      </w:pPr>
      <w:r>
        <w:rPr>
          <w:rFonts w:ascii="Amiri" w:hAnsi="Amiri" w:eastAsia="Amiri" w:cs="Amiri"/>
          <w:color w:val="111111"/>
          <w:sz w:val="28"/>
          <w:sz w:val="28"/>
          <w:szCs w:val="28"/>
          <w:rtl w:val="true"/>
          <w:lang w:bidi="ar-SA"/>
        </w:rPr>
        <w:t>الفقيه المتألّه آية الله</w:t>
      </w:r>
    </w:p>
    <w:p>
      <w:pPr>
        <w:pStyle w:val="BookText"/>
        <w:rPr/>
      </w:pPr>
      <w:r>
        <w:rPr>
          <w:rFonts w:ascii="IRNazanin" w:hAnsi="IRNazanin" w:eastAsia="IRNazanin"/>
          <w:color w:val="111111"/>
          <w:sz w:val="28"/>
          <w:sz w:val="28"/>
          <w:szCs w:val="28"/>
          <w:rtl w:val="true"/>
          <w:lang w:bidi="fa-IR"/>
        </w:rPr>
        <w:t xml:space="preserve">الشیخ الميرزا مهديّ الغروی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آیة الله</w:t>
      </w:r>
    </w:p>
    <w:p>
      <w:pPr>
        <w:pStyle w:val="BookText"/>
        <w:rPr/>
      </w:pPr>
      <w:r>
        <w:rPr>
          <w:rFonts w:ascii="IRNazanin" w:hAnsi="IRNazanin" w:eastAsia="IRNazanin"/>
          <w:color w:val="111111"/>
          <w:sz w:val="28"/>
          <w:sz w:val="28"/>
          <w:szCs w:val="28"/>
          <w:rtl w:val="true"/>
          <w:lang w:bidi="fa-IR"/>
        </w:rPr>
        <w:t xml:space="preserve">الشیخ هاشم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دراسات علميّة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9159_85269"/>
      <w:bookmarkStart w:id="738" w:name="pg9159_85269"/>
      <w:bookmarkEnd w:id="738"/>
    </w:p>
    <w:p>
      <w:pPr>
        <w:pStyle w:val="BookText"/>
        <w:rPr/>
      </w:pPr>
      <w:bookmarkStart w:id="739" w:name="pg9159_85269"/>
      <w:bookmarkEnd w:id="73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على أشرف خلقه محمّد وآله المعصومين، واللّعن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فهذه رسالة ألّفت لإيضاح أنّ الكُرّ المحدّد للماء العاصم في الشّريعة المقدّسة ليس بنفسه من الأوزان، ولا متعيّناً بها بالتّبع، بل هو كيلٌ مدوّر سعته ثلاثة أشبار ونصف في عمقٍ كذلك، وهي مشتملة على مقدّمة ومقصد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وخاتمة</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3483101_2870459653"/>
      <w:bookmarkStart w:id="741" w:name="_Toc282"/>
      <w:bookmarkEnd w:id="740"/>
      <w:r>
        <w:rPr>
          <w:rtl w:val="true"/>
        </w:rPr>
        <w:t>أمّا المقدّمة ففي بيان أمور</w:t>
      </w:r>
      <w:bookmarkEnd w:id="741"/>
    </w:p>
    <w:p>
      <w:pPr>
        <w:pStyle w:val="Heading5"/>
        <w:numPr>
          <w:ilvl w:val="4"/>
          <w:numId w:val="1"/>
        </w:numPr>
        <w:rPr/>
      </w:pPr>
      <w:bookmarkStart w:id="742" w:name="__RefHeading___Toc3483103_2870459653"/>
      <w:bookmarkStart w:id="743" w:name="_Toc283"/>
      <w:bookmarkEnd w:id="742"/>
      <w:r>
        <w:rPr>
          <w:rtl w:val="true"/>
        </w:rPr>
        <w:t>الأمر الأوّل</w:t>
      </w:r>
      <w:bookmarkEnd w:id="74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الكيل ليس طريقاً إلى الوزن دائماً كما يوهمه بعض العبائر</w:t>
      </w:r>
      <w:r>
        <w:rPr>
          <w:rStyle w:val="FootnoteAnchor"/>
          <w:rtl w:val="true"/>
        </w:rPr>
        <w:footnoteReference w:id="671"/>
      </w:r>
      <w:r>
        <w:rPr>
          <w:rFonts w:ascii="Amiri" w:hAnsi="Amiri" w:eastAsia="Amiri" w:cs="Amiri"/>
          <w:color w:val="111111"/>
          <w:sz w:val="28"/>
          <w:sz w:val="28"/>
          <w:szCs w:val="28"/>
          <w:rtl w:val="true"/>
          <w:lang w:bidi="ar-SA"/>
        </w:rPr>
        <w:t xml:space="preserve">، بل الواقع من هذا أنّ الكيل قد يكون منظوراً مستقلّا ً وموضوعاً منفرداً في باب المعاملات </w:t>
      </w:r>
      <w:bookmarkStart w:id="744" w:name="pg9159_85270"/>
    </w:p>
    <w:p>
      <w:pPr>
        <w:pStyle w:val="BookText"/>
        <w:rPr/>
      </w:pPr>
      <w:bookmarkEnd w:id="744"/>
      <w:r>
        <w:rPr>
          <w:rFonts w:ascii="Amiri" w:hAnsi="Amiri" w:eastAsia="Amiri" w:cs="Amiri"/>
          <w:color w:val="111111"/>
          <w:sz w:val="28"/>
          <w:sz w:val="28"/>
          <w:szCs w:val="28"/>
          <w:rtl w:val="true"/>
          <w:lang w:bidi="ar-SA"/>
        </w:rPr>
        <w:t>والتّجارات من غير نظرٍ إلى كاشفيّته عن الوزن، وقد يكون طريقاً إليه كما إذا كان الوزن منظوراً وموضوعاً وجُعل الكيل إليه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الوزن أصل الكيل؛ لأنّه أضبط</w:t>
      </w:r>
      <w:r>
        <w:rPr>
          <w:rStyle w:val="FootnoteAnchor"/>
          <w:rtl w:val="true"/>
        </w:rPr>
        <w:footnoteReference w:id="672"/>
      </w:r>
      <w:r>
        <w:rPr>
          <w:rFonts w:ascii="Amiri" w:hAnsi="Amiri" w:eastAsia="Amiri" w:cs="Amiri"/>
          <w:color w:val="111111"/>
          <w:sz w:val="28"/>
          <w:sz w:val="28"/>
          <w:szCs w:val="28"/>
          <w:rtl w:val="true"/>
          <w:lang w:bidi="ar-SA"/>
        </w:rPr>
        <w:t>،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بالرّجوع إلى أهل الصّحاري، والبراري البعيدة عن المدن، ومن نظر إلى تاريخ الأمم المختلفة وارتقائهم، وكيفيّة ارتقائهم وسيرهم في أمور معاشهم وتدريجيّة تكاملهم يُصدِّق من غير ريب أنّ الكيل أصل الوزن، فإنّه بعد حصول العزّة للشّيء يصير المكيل موزوناً بالتّدريج، ويوجد الوزن ويخترع باختلاف مراتبه حتّى يخترع وزن لا اختلاف في أصله ولا مسامحة فيه ولو يسيراً كما هو المتعارف في أوزان الغربيّين</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3483105_2870459653"/>
      <w:bookmarkStart w:id="746" w:name="_Toc284"/>
      <w:bookmarkEnd w:id="745"/>
      <w:r>
        <w:rPr>
          <w:rtl w:val="true"/>
        </w:rPr>
        <w:t>الأمر الثّاني</w:t>
      </w:r>
      <w:bookmarkEnd w:id="74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المعنى يمكن أن يختلف من جهة انضباطه التّامّ وعدمه، وأنّ الشّيء من حيث القدر ليس تامّ الانضباط، ثُمّ بالتّدريج يصير تامّ الانضباط، كما في المكيلات والموزونات، فإنّ الأولى منهما غير تامّ الانضباط، ثُمّ بارتقاء الأمّة وحصول العزّة للشّيء يصير كيلهم محدّوداً، ثُمّ يندرج تحت الأوزان العرفيّة، ثُمّ الدّقيّة الّتي لا تختلف بوجهٍ من الوجوه، كذا اللّفظ له هذا السّير الطّبيعيّ، فإنّ اللّفظ الدّالّ على الكيل بكثرة استعماله وإرادة الوزن الخاصّ منه يصير </w:t>
      </w:r>
      <w:bookmarkStart w:id="747" w:name="pg9159_85271"/>
    </w:p>
    <w:p>
      <w:pPr>
        <w:pStyle w:val="BookText"/>
        <w:rPr/>
      </w:pPr>
      <w:bookmarkEnd w:id="747"/>
      <w:r>
        <w:rPr>
          <w:rFonts w:ascii="Amiri" w:hAnsi="Amiri" w:eastAsia="Amiri" w:cs="Amiri"/>
          <w:color w:val="111111"/>
          <w:sz w:val="28"/>
          <w:sz w:val="28"/>
          <w:szCs w:val="28"/>
          <w:rtl w:val="true"/>
          <w:lang w:bidi="ar-SA"/>
        </w:rPr>
        <w:t xml:space="preserve">حقيقةً في الوزن، بل ربّما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بالصّنجة</w:t>
      </w:r>
      <w:r>
        <w:rPr>
          <w:rStyle w:val="FootnoteAnchor"/>
          <w:rtl w:val="true"/>
        </w:rPr>
        <w:footnoteReference w:id="673"/>
      </w:r>
      <w:r>
        <w:rPr>
          <w:rFonts w:ascii="Amiri" w:hAnsi="Amiri" w:eastAsia="Amiri" w:cs="Amiri"/>
          <w:color w:val="111111"/>
          <w:sz w:val="28"/>
          <w:sz w:val="28"/>
          <w:szCs w:val="28"/>
          <w:rtl w:val="true"/>
          <w:lang w:bidi="ar-SA"/>
        </w:rPr>
        <w:t>، أعني ما به الوزن</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3483107_2870459653"/>
      <w:bookmarkStart w:id="749" w:name="_Toc285"/>
      <w:bookmarkEnd w:id="748"/>
      <w:r>
        <w:rPr>
          <w:rtl w:val="true"/>
        </w:rPr>
        <w:t>الأمر الثّالث</w:t>
      </w:r>
      <w:bookmarkEnd w:id="74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بل 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 من المكاييل، وأنّه كان كيلاً لأهل العراق يكيلون به الطّعام، وصرّح بهذا جماعةٌ 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كالهرويّ</w:t>
      </w:r>
      <w:r>
        <w:rPr>
          <w:rStyle w:val="FootnoteAnchor"/>
          <w:rtl w:val="true"/>
        </w:rPr>
        <w:footnoteReference w:id="674"/>
      </w:r>
      <w:r>
        <w:rPr>
          <w:rFonts w:ascii="IRNazanin" w:hAnsi="IRNazanin" w:eastAsia="IRNazanin"/>
          <w:color w:val="111111"/>
          <w:sz w:val="28"/>
          <w:sz w:val="28"/>
          <w:szCs w:val="28"/>
          <w:rtl w:val="true"/>
          <w:lang w:bidi="fa-IR"/>
        </w:rPr>
        <w:t>، والقاموس</w:t>
      </w:r>
      <w:r>
        <w:rPr>
          <w:rStyle w:val="FootnoteAnchor"/>
          <w:rtl w:val="true"/>
        </w:rPr>
        <w:footnoteReference w:id="675"/>
      </w:r>
      <w:r>
        <w:rPr>
          <w:rFonts w:ascii="Amiri" w:hAnsi="Amiri" w:eastAsia="Amiri" w:cs="Amiri"/>
          <w:color w:val="111111"/>
          <w:sz w:val="28"/>
          <w:sz w:val="28"/>
          <w:szCs w:val="28"/>
          <w:rtl w:val="true"/>
          <w:lang w:bidi="ar-SA"/>
        </w:rPr>
        <w:t>، والنّهاية</w:t>
      </w:r>
      <w:r>
        <w:rPr>
          <w:rStyle w:val="FootnoteAnchor"/>
          <w:rtl w:val="true"/>
        </w:rPr>
        <w:footnoteReference w:id="676"/>
      </w:r>
      <w:r>
        <w:rPr>
          <w:rFonts w:ascii="IRNazanin" w:hAnsi="IRNazanin" w:eastAsia="IRNazanin"/>
          <w:color w:val="111111"/>
          <w:sz w:val="28"/>
          <w:sz w:val="28"/>
          <w:szCs w:val="28"/>
          <w:rtl w:val="true"/>
          <w:lang w:bidi="fa-IR"/>
        </w:rPr>
        <w:t>، والمجمع</w:t>
      </w:r>
      <w:r>
        <w:rPr>
          <w:rStyle w:val="FootnoteAnchor"/>
          <w:rtl w:val="true"/>
        </w:rPr>
        <w:footnoteReference w:id="677"/>
      </w:r>
      <w:r>
        <w:rPr>
          <w:rFonts w:ascii="IRNazanin" w:hAnsi="IRNazanin" w:eastAsia="IRNazanin"/>
          <w:color w:val="111111"/>
          <w:sz w:val="28"/>
          <w:sz w:val="28"/>
          <w:szCs w:val="28"/>
          <w:rtl w:val="true"/>
          <w:lang w:bidi="fa-IR"/>
        </w:rPr>
        <w:t>، والبرهان القاطع</w:t>
      </w:r>
      <w:r>
        <w:rPr>
          <w:rStyle w:val="FootnoteAnchor"/>
          <w:rtl w:val="true"/>
        </w:rPr>
        <w:footnoteReference w:id="678"/>
      </w:r>
      <w:r>
        <w:rPr>
          <w:rFonts w:ascii="Amiri" w:hAnsi="Amiri" w:eastAsia="Amiri" w:cs="Amiri"/>
          <w:color w:val="111111"/>
          <w:sz w:val="28"/>
          <w:sz w:val="28"/>
          <w:szCs w:val="28"/>
          <w:rtl w:val="true"/>
          <w:lang w:bidi="ar-SA"/>
        </w:rPr>
        <w:t>، وغياث اللّغة</w:t>
      </w:r>
      <w:r>
        <w:rPr>
          <w:rStyle w:val="FootnoteAnchor"/>
          <w:rtl w:val="true"/>
        </w:rPr>
        <w:footnoteReference w:id="679"/>
      </w:r>
      <w:r>
        <w:rPr>
          <w:rFonts w:ascii="Amiri" w:hAnsi="Amiri" w:eastAsia="Amiri" w:cs="Amiri"/>
          <w:color w:val="111111"/>
          <w:sz w:val="28"/>
          <w:sz w:val="28"/>
          <w:szCs w:val="28"/>
          <w:rtl w:val="true"/>
          <w:lang w:bidi="ar-SA"/>
        </w:rPr>
        <w:t>، وقانون اللّغة</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وجدنا في العتبة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 وجماعة من الفقهاء كالمحقّق في المعتبر ناقلاً عن اللّغة</w:t>
      </w:r>
      <w:r>
        <w:rPr>
          <w:rStyle w:val="FootnoteAnchor"/>
          <w:rtl w:val="true"/>
        </w:rPr>
        <w:footnoteReference w:id="681"/>
      </w:r>
      <w:r>
        <w:rPr>
          <w:rFonts w:ascii="Amiri" w:hAnsi="Amiri" w:eastAsia="Amiri" w:cs="Amiri"/>
          <w:color w:val="111111"/>
          <w:sz w:val="28"/>
          <w:sz w:val="28"/>
          <w:szCs w:val="28"/>
          <w:rtl w:val="true"/>
          <w:lang w:bidi="ar-SA"/>
        </w:rPr>
        <w:t>، والمحقّق التّستريّ</w:t>
      </w:r>
      <w:r>
        <w:rPr>
          <w:rStyle w:val="FootnoteAnchor"/>
          <w:rtl w:val="true"/>
        </w:rPr>
        <w:footnoteReference w:id="682"/>
      </w:r>
      <w:r>
        <w:rPr>
          <w:rFonts w:ascii="Amiri" w:hAnsi="Amiri" w:eastAsia="Amiri" w:cs="Amiri"/>
          <w:color w:val="111111"/>
          <w:sz w:val="28"/>
          <w:sz w:val="28"/>
          <w:szCs w:val="28"/>
          <w:rtl w:val="true"/>
          <w:lang w:bidi="ar-SA"/>
        </w:rPr>
        <w:t>وكاشف الغطاء</w:t>
      </w:r>
      <w:r>
        <w:rPr>
          <w:rStyle w:val="FootnoteAnchor"/>
          <w:rtl w:val="true"/>
        </w:rPr>
        <w:footnoteReference w:id="683"/>
      </w:r>
      <w:bookmarkStart w:id="750" w:name="pg9159_85272"/>
    </w:p>
    <w:p>
      <w:pPr>
        <w:pStyle w:val="BookText"/>
        <w:rPr/>
      </w:pPr>
      <w:bookmarkEnd w:id="750"/>
      <w:r>
        <w:rPr>
          <w:rFonts w:ascii="Amiri" w:hAnsi="Amiri" w:eastAsia="Amiri" w:cs="Amiri"/>
          <w:color w:val="111111"/>
          <w:sz w:val="28"/>
          <w:sz w:val="28"/>
          <w:szCs w:val="28"/>
          <w:rtl w:val="true"/>
          <w:lang w:bidi="ar-SA"/>
        </w:rPr>
        <w:t xml:space="preserve">وبعض مشايخ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ومن الأدباء نجم الأئمّة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يعرف به قدر الكيل كالقفيز والكرّ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3483109_2870459653"/>
      <w:bookmarkStart w:id="752" w:name="_Toc286"/>
      <w:bookmarkEnd w:id="751"/>
      <w:r>
        <w:rPr>
          <w:rtl w:val="true"/>
        </w:rPr>
        <w:t>الأمر الرّابع</w:t>
      </w:r>
      <w:bookmarkEnd w:id="752"/>
    </w:p>
    <w:p>
      <w:pPr>
        <w:pStyle w:val="BookText"/>
        <w:rPr/>
      </w:pPr>
      <w:r>
        <w:rPr>
          <w:rFonts w:ascii="Amiri" w:hAnsi="Amiri" w:eastAsia="Amiri" w:cs="Amiri"/>
          <w:color w:val="111111"/>
          <w:sz w:val="28"/>
          <w:sz w:val="28"/>
          <w:szCs w:val="28"/>
          <w:rtl w:val="true"/>
          <w:lang w:bidi="ar-SA"/>
        </w:rPr>
        <w:t>أنّ الرّطل أيضاً اسم لكيل معيّن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صيرورته في الأزمنة المتأخّرة عن الصّادقَين حقيقة في الوزن، والظّاهر أنّ الرّطل كان كيلاً يسع نصف المنّ من الخمر، كما في كتب اللّغة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رأيناها في العتبة المقدّسة الرّضويّة، ففي مجمل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يُكال به</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 وفي ترجمان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ورَطل پيمانه نيم من</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آخر لعلّه إجمال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شراب وپيمانه است ورطل گران پيمانه وپياله بزرگ است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وفي برهان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گران كنايت از پياله وپيمانه بزرگ باشد</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وفي دائرة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 مكيال، وهو رطلان عند أهل العراق، ورطل وثلث عند أهل الحجاز</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الرِّطل المصريّ كذا أو اثنتي عشر أوقيّة</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والصُّواع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المكيال، وهو عند أهل العراق ثمانية أرطال</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وفي غياث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پيمانه نيم من</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 وفي دستور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الرّطل نصف من القبّان</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وقال الفاضل الخبير السّيّد عليّ خان الكبير ناقلاً عن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يوزن به أو 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وفي الحدائق نقلاً عن مشايخه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الكرّ والرّطل مكيال</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الكلبيّ النّسّابة في باب الأنبذة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الأرطال؟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أرطال مكيال العراق</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العراقيّ</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على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حال المدّ والصّاع أيضاً، فإنّهما ليسا من الأوزان لغةً وإن صارا بكثرة الاستعمال حقيقةً فيه، نظير ما مرّ في الأرطال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تلك الأمور فيقع الكلام في المقصد، وفيه أبحاث</w:t>
      </w:r>
      <w:r>
        <w:rPr>
          <w:rFonts w:eastAsia="Amiri" w:cs="Amiri" w:ascii="Amiri" w:hAnsi="Amiri"/>
          <w:color w:val="111111"/>
          <w:sz w:val="28"/>
          <w:szCs w:val="28"/>
          <w:rtl w:val="true"/>
          <w:lang w:bidi="ar-SA"/>
        </w:rPr>
        <w:t xml:space="preserve">: </w:t>
      </w:r>
      <w:bookmarkStart w:id="753" w:name="pg9159_85274"/>
    </w:p>
    <w:p>
      <w:pPr>
        <w:pStyle w:val="Heading4"/>
        <w:numPr>
          <w:ilvl w:val="3"/>
          <w:numId w:val="1"/>
        </w:numPr>
        <w:rPr/>
      </w:pPr>
      <w:bookmarkStart w:id="754" w:name="__RefHeading___Toc3483111_2870459653"/>
      <w:bookmarkStart w:id="755" w:name="_Toc287"/>
      <w:bookmarkEnd w:id="753"/>
      <w:bookmarkEnd w:id="754"/>
      <w:r>
        <w:rPr>
          <w:rtl w:val="true"/>
        </w:rPr>
        <w:t>البحث الأوّل</w:t>
      </w:r>
      <w:bookmarkEnd w:id="755"/>
    </w:p>
    <w:p>
      <w:pPr>
        <w:pStyle w:val="BookText"/>
        <w:rPr/>
      </w:pPr>
      <w:r>
        <w:rPr>
          <w:rFonts w:ascii="Amiri" w:hAnsi="Amiri" w:eastAsia="Amiri" w:cs="Amiri"/>
          <w:color w:val="111111"/>
          <w:sz w:val="28"/>
          <w:sz w:val="28"/>
          <w:szCs w:val="28"/>
          <w:rtl w:val="true"/>
          <w:lang w:bidi="ar-SA"/>
        </w:rPr>
        <w:t>لا شبهة في أنّ الماء العاصم محدود ومقدّر بالكرّ، كما يظهر لك بعد الرّجوع إلى روايات الباب، فلا بدّ من التّأمّل في أنّ الماء محدودٌ ومقدّر بنفس الكرّ، أو ما يكال به وزناً أو مساحة،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عرفت أنّه كيل، ولا يطلق على الوزن أصلاً، ولا خلاف فيه ظاهراً، وإنّما الكلام في أنّ الأرطال الّتي حملت عليه هل هي من المكاييل ليكون التّحديد بالكرّ من حيث نفسه، أو من الأوزان حتّى يكون التّحديد به من حيث ما يكال به، والرّجوع إلى اللّغة والرّوايات رافع للنّزاع، وأمّا اللّغة فقد عرفت بأنّها تنادي بأعلى صوتها بأنّها كيل، وأمّا الرّوايات أيضاً فلا إشعار فيها على خلافها بل صرّح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الكلبيّ النّسّابة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مكيال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روايتان توهم دلالتهما على أنّها من الموازين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سليمان بن حفص المروزيّ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أمداد، والمُدُّ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مائتين وثمانين درهماً، والدّرهم وزنُ ستّة دوانيق</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الصّاع قد فُسّر في بعض الأخبار بأنّه ستّة أرطال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المذكورة دلّت بأنّ الصّاع وزن، فيستفاد من المجموع بأنّ الرّطل أيضاً من الأوزان، حتّى في باب المياه؛ إذ الرّواية واردة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غير تامّة؛ إذ كون الصّاع بوزن مائتين وثمانين درهماً ممّا لم يقل به أحدٌ من الأصحاب، فهي معرضٌ عنها، فلا وثوق بصدورها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الواردة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زكاة الفطرة بأنّ الرّطل وزن كذا وكذا من الطّعام</w:t>
      </w:r>
      <w:r>
        <w:rPr>
          <w:rStyle w:val="FootnoteAnchor"/>
          <w:rtl w:val="true"/>
        </w:rPr>
        <w:footnoteReference w:id="702"/>
      </w:r>
      <w:r>
        <w:rPr>
          <w:rFonts w:ascii="Amiri" w:hAnsi="Amiri" w:eastAsia="Amiri" w:cs="Amiri"/>
          <w:color w:val="111111"/>
          <w:sz w:val="28"/>
          <w:sz w:val="28"/>
          <w:szCs w:val="28"/>
          <w:rtl w:val="true"/>
          <w:lang w:bidi="ar-SA"/>
        </w:rPr>
        <w:t>، فتدلّ بأنّ الرّطل من الأوزان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الإغماض عن نصّ الإمام الصّادر منه التّعريف بالأرطال وتصريح اللّغويين، ومضافاً إلى عدم لزوم استعمال الرّطل في هذه الرّواية ولو بنحو الحقيقة كونه مستعملاً فيه حقيقةً في العصر السّابق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استعماله فيه في باب الأطعمة ولو مجازاً، ثُمّ بالتّدريج وغلبة الاستعمال صار حقيقةً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الرّطل ولو كان حقيقةً في الوزن لا بدّ أن يراد منه الكيل ويُصرف عن ظاهره في باب الكرّ لجهات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الرّوايات الواردة في باب تحديد الماء العاصم كلّها راجعة إلى حدّ الكرّ، وما تكون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كالجَرّة والقلّتان والحُبّ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إمّا أن يرجع إليه، أو يطرح؛ إذ على القولين بلزوم الكرّيّة في عصمة الماء وعدمه تكون ملغاة وغير محدّدة، وحينئذٍ إمّا أن يراد من قدر الكرّ في أخبار الباب بلوغ الماء قدر نفس الكرّ، وإمّا أن يراد بلوغ الماء قدر ما يكال بالكرّ وزناً من الطّعام أو الشّراب، </w:t>
      </w:r>
    </w:p>
    <w:p>
      <w:pPr>
        <w:pStyle w:val="BookText"/>
        <w:rPr/>
      </w:pPr>
      <w:r>
        <w:rPr>
          <w:rFonts w:ascii="Amiri" w:hAnsi="Amiri" w:eastAsia="Amiri" w:cs="Amiri"/>
          <w:color w:val="111111"/>
          <w:sz w:val="28"/>
          <w:sz w:val="28"/>
          <w:szCs w:val="28"/>
          <w:rtl w:val="true"/>
          <w:lang w:bidi="ar-SA"/>
        </w:rPr>
        <w:t>وإن كان الأوّل مراداً فلا بدّ أن يراد من الرّطل الكيل؛ لأنّ الأوزان لا تحمل على الكيل كما هو واضح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فيمكن أن يكون الرّطل وزناً، ويصير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ما يكال بالكرّ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وزن ستّمائة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ينجّسه شيء، لكنّه غير تامّ وفاسد قطعاً؛ لأنّه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الماء قدّر وحدّد بنفس الكرّ لا بما يكال به، والأرطال محمولة وشارحة لنفس الكرّ لا لما يكال به، كما أنّ الأشبار محمولة وشارحة لقدر الكرّ وكمّه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التّحديد تحديداً؛ إذ الأطعمة مختلفة الأوزان بحسب الحجم حتّى طعام واحد باختلاف السّنين والمزارع كالمياه باختلاف الأمكنة، وضبط ما يكال بالكرّ بالأرطال يكون نظير الأكل من القفا، ولا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الاستهجان في الشّريعة الّتي بُني أساسها وقوامها على الفطرة؛ إذ الماء ليس في صقع من الأصقاع وزيناً، حتّى في البلاد الواقعة تحت خطّ الاستواء، والبلاد الحارّة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يرضى أحد أن ينسب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أحد من الصّحابة أو العلماء أنّهم عند وضوءاتهم وتطهيراتهم كانوا يزنون الماء؟</w:t>
      </w:r>
    </w:p>
    <w:p>
      <w:pPr>
        <w:pStyle w:val="BookText"/>
        <w:rPr/>
      </w:pPr>
      <w:r>
        <w:rPr>
          <w:rFonts w:ascii="Amiri" w:hAnsi="Amiri" w:eastAsia="Amiri" w:cs="Amiri"/>
          <w:color w:val="111111"/>
          <w:sz w:val="28"/>
          <w:sz w:val="28"/>
          <w:szCs w:val="28"/>
          <w:rtl w:val="true"/>
          <w:lang w:bidi="ar-SA"/>
        </w:rPr>
        <w:t>وهل سمع من أحدٍ من المسلمين حتّى الوسواسيّين إلى الحال أنّه كان يزن في مقام الحاجة والاستعمالات؟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وتحديد الموضوع بما يكون على خلاف عامّة العقلاء وفطريّاتهم من لدن آدم إلى يومنا هذا غريب جدّاً بل مستهجن قطعاً خصوصاً في الشّريعة الختميّة الباقية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التّحديد بما يكال وزناً لغواً محضاً؛ بداهة أنّه بعد التّحديد بالأشبار لا يختار توزين الماء إلّا من كان من السّفهاء، فالتّحديد من حيث الوزن يكون لغواً وعبثاً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الأشبار والأرطال حملت على الكرّ لا على ما يكال به، وإلى فهم الرّواة بأنّهم يسألون غالباً ما الكرّ؟ وما قدر الكرّ؟ وكم الكرّ؟ فالمحدّد نفس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الظّهور التّامّ بل القطع بأنّ الماء قُدّر وحُدّد بنفس الكرّ، لا بما يكال به وزناً أو 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الرّواية واردة في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مقدّرة بالصّاع وزناً من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موزونة، مع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تدفعه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الوزن لا يوجب أن يكون المراد من الرّطل وزناً في ما يكون التّحديد بالوزن فيه مخالفاً للحكمة وخُلفاً ومستهجناً عند العقلاء، ولو أغمضنا عن ذلك فلا أقلّ من عدم وضوح المراد من الرّطل في باب المياه، فلا يجوز الفتوى بأنّ الماء محدود من حيث الوزن؛ لأنّ ظاهر الأدلّة التّحديد والتّقدير بنفس الكرّ وهو مكيال، وحمل الأرطال على الكرّ، والأشبار على قدر الكرّ يوجب قوّة الظّهور في التّقدير به، وحيث لا يكون محفوفاً بما يصلح للقرينيّة يجب الأخذ بظاهرها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ظهر أنّ المحدّد هو نفس الكرّ لا شيء آخر من الجرّة والقلّة ووزن ما يكال بالكرّ من الأطعمة والأشربة</w:t>
      </w:r>
      <w:r>
        <w:rPr>
          <w:rFonts w:eastAsia="Amiri" w:cs="Amiri" w:ascii="Amiri" w:hAnsi="Amiri"/>
          <w:color w:val="111111"/>
          <w:sz w:val="28"/>
          <w:szCs w:val="28"/>
          <w:rtl w:val="true"/>
          <w:lang w:bidi="ar-SA"/>
        </w:rPr>
        <w:t xml:space="preserve">. </w:t>
      </w:r>
      <w:bookmarkStart w:id="756" w:name="pg9159_85278"/>
    </w:p>
    <w:p>
      <w:pPr>
        <w:pStyle w:val="Heading4"/>
        <w:numPr>
          <w:ilvl w:val="3"/>
          <w:numId w:val="1"/>
        </w:numPr>
        <w:rPr/>
      </w:pPr>
      <w:bookmarkStart w:id="757" w:name="__RefHeading___Toc3483113_2870459653"/>
      <w:bookmarkStart w:id="758" w:name="_Toc288"/>
      <w:bookmarkEnd w:id="756"/>
      <w:bookmarkEnd w:id="757"/>
      <w:r>
        <w:rPr>
          <w:rtl w:val="true"/>
        </w:rPr>
        <w:t>البحث الثّاني</w:t>
      </w:r>
      <w:bookmarkEnd w:id="758"/>
    </w:p>
    <w:p>
      <w:pPr>
        <w:pStyle w:val="BookText"/>
        <w:rPr/>
      </w:pPr>
      <w:r>
        <w:rPr>
          <w:rFonts w:ascii="Amiri" w:hAnsi="Amiri" w:eastAsia="Amiri" w:cs="Amiri"/>
          <w:color w:val="111111"/>
          <w:sz w:val="28"/>
          <w:sz w:val="28"/>
          <w:szCs w:val="28"/>
          <w:rtl w:val="true"/>
          <w:lang w:bidi="ar-SA"/>
        </w:rPr>
        <w:t>في أنّ الكرّ كيل مدوّر أو مربّع؟</w:t>
      </w:r>
    </w:p>
    <w:p>
      <w:pPr>
        <w:pStyle w:val="BookText"/>
        <w:rPr/>
      </w:pPr>
      <w:r>
        <w:rPr>
          <w:rFonts w:ascii="Amiri" w:hAnsi="Amiri" w:eastAsia="Amiri" w:cs="Amiri"/>
          <w:color w:val="111111"/>
          <w:sz w:val="28"/>
          <w:sz w:val="28"/>
          <w:szCs w:val="28"/>
          <w:rtl w:val="true"/>
          <w:lang w:bidi="ar-SA"/>
        </w:rPr>
        <w:t>وهنا وجوه تدلّ على أنّه 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تصريح اللّغويين بإطلاقه على البئر</w:t>
      </w:r>
      <w:r>
        <w:rPr>
          <w:rStyle w:val="FootnoteAnchor"/>
          <w:rtl w:val="true"/>
        </w:rPr>
        <w:footnoteReference w:id="703"/>
      </w:r>
      <w:r>
        <w:rPr>
          <w:rFonts w:ascii="Amiri" w:hAnsi="Amiri" w:eastAsia="Amiri" w:cs="Amiri"/>
          <w:color w:val="111111"/>
          <w:sz w:val="28"/>
          <w:sz w:val="28"/>
          <w:szCs w:val="28"/>
          <w:rtl w:val="true"/>
          <w:lang w:bidi="ar-SA"/>
        </w:rPr>
        <w:t>الّذي تصل اليد إلى مائه وهو مدوّر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أخبار الأشبار كما هو المعترف به عند كثير ممّن تعرّض لتلك الجهة</w:t>
      </w:r>
      <w:r>
        <w:rPr>
          <w:rStyle w:val="FootnoteAnchor"/>
          <w:rtl w:val="true"/>
        </w:rPr>
        <w:footnoteReference w:id="704"/>
      </w:r>
      <w:r>
        <w:rPr>
          <w:rFonts w:ascii="Amiri" w:hAnsi="Amiri" w:eastAsia="Amiri" w:cs="Amiri"/>
          <w:color w:val="111111"/>
          <w:sz w:val="28"/>
          <w:sz w:val="28"/>
          <w:szCs w:val="28"/>
          <w:rtl w:val="true"/>
          <w:lang w:bidi="ar-SA"/>
        </w:rPr>
        <w:t xml:space="preserve">، فبعد شمولها للمدوّريّ يجب الانحصار به؛ لأنّ تلك الأخبار في مقام التّحديد كما أشار إليه الشّيخ وغيره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وردّه بأنّه خلاف الإجماع</w:t>
      </w:r>
      <w:r>
        <w:rPr>
          <w:rStyle w:val="FootnoteAnchor"/>
          <w:rtl w:val="true"/>
        </w:rPr>
        <w:footnoteReference w:id="706"/>
      </w:r>
      <w:r>
        <w:rPr>
          <w:rFonts w:ascii="Amiri" w:hAnsi="Amiri" w:eastAsia="Amiri" w:cs="Amiri"/>
          <w:color w:val="111111"/>
          <w:sz w:val="28"/>
          <w:sz w:val="28"/>
          <w:szCs w:val="28"/>
          <w:rtl w:val="true"/>
          <w:lang w:bidi="ar-SA"/>
        </w:rPr>
        <w:t>سيأتي اندفاعه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الطّول في الأخبار رأساً، بل المذكور في أكثرها العرض والعمق</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السّعة</w:t>
      </w:r>
      <w:r>
        <w:rPr>
          <w:rStyle w:val="FootnoteAnchor"/>
          <w:rtl w:val="true"/>
        </w:rPr>
        <w:footnoteReference w:id="709"/>
      </w:r>
      <w:r>
        <w:rPr>
          <w:rFonts w:ascii="Amiri" w:hAnsi="Amiri" w:eastAsia="Amiri" w:cs="Amiri"/>
          <w:color w:val="111111"/>
          <w:sz w:val="28"/>
          <w:sz w:val="28"/>
          <w:szCs w:val="28"/>
          <w:rtl w:val="true"/>
          <w:lang w:bidi="ar-SA"/>
        </w:rPr>
        <w:t>، فإنّ الظّاهر من السّعة أن يكون ذو السّعة من أيّ جهة فرض بتلك السّعة، وذلك لا يتصوّر إلّا في المدوّريّ، فإنّ المربّع ليس من جميع الجهات ثلاثة أشبار ونصف كما هو واضح لمن كان له أدنى ربط بالهندسة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صالح الثّوريّ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الماء في الرّكيّ كرّاً لا ينجّسه شيء</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إذ الرّكيّ عبارة عن البئر الصّغيرة</w:t>
      </w:r>
      <w:r>
        <w:rPr>
          <w:rStyle w:val="FootnoteAnchor"/>
          <w:rtl w:val="true"/>
        </w:rPr>
        <w:footnoteReference w:id="711"/>
      </w:r>
      <w:r>
        <w:rPr>
          <w:rFonts w:ascii="IRNazanin" w:hAnsi="IRNazanin" w:eastAsia="IRNazanin"/>
          <w:color w:val="111111"/>
          <w:sz w:val="28"/>
          <w:sz w:val="28"/>
          <w:szCs w:val="28"/>
          <w:rtl w:val="true"/>
          <w:lang w:bidi="fa-IR"/>
        </w:rPr>
        <w:t xml:space="preserve">، ومن الواضح أنّ البئر مدوّر لا مربّع، ويسأل الرّاوي في هذه الرّواية كم الكرّ؟ ويجيب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ثلاثة أشبار ونصف عمقها في ثلاثة أشبار ونصف عرضها</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 ولو كان المراد مربّعيّة الكرّ لوجب التّصريح عليه؛ إذ المقام مشتمل على خصوصيّة يوجب ظهور الكلام في خلاف مقصود المتكلّم،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في المقام بما عبّر به في الأخبار الأُخر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أبي بصير الّتي توهّموا دلالتها على ما نسب إلى الأكثر من مربّعيّة الكرّ تكون ظاهرة فيما ذكرنا أو أظهر؛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ثلاثة أشبار ونصف في مثله ثلاثة أشبار ونصف في عمقه</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 xml:space="preserve">إلخ، فإن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في متن </w:t>
      </w:r>
    </w:p>
    <w:p>
      <w:pPr>
        <w:pStyle w:val="BookText"/>
        <w:rPr/>
      </w:pPr>
      <w:r>
        <w:rPr>
          <w:rFonts w:ascii="Amiri" w:hAnsi="Amiri" w:eastAsia="Amiri" w:cs="Amiri"/>
          <w:color w:val="111111"/>
          <w:sz w:val="28"/>
          <w:sz w:val="28"/>
          <w:szCs w:val="28"/>
          <w:rtl w:val="true"/>
          <w:lang w:bidi="ar-SA"/>
        </w:rPr>
        <w:t xml:space="preserve">الرّواية 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النّسخة المقروءة على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ظاهرة في ما ادّعينا؛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بعد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لها، لا أن تكون شيئاً مبايناً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بعد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الرّواية ظاهرة في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تكن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أظهر، وفي سياق سائر أخبار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إسماعيل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أشبار في ثلاثة أشبار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ثلاثة أشبار في ثلاثة أشبار في ثلاثة أشبار</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المدّعى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حجّيّة منقوله كما قرّر في موضعه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ادّعاء في محلّ النّزاع؛ إذ كلمات الأصحاب خالية عن ذكر الأشبار، والمسألة معركة الآراء بين العمانيّ</w:t>
      </w:r>
      <w:r>
        <w:rPr>
          <w:rStyle w:val="FootnoteAnchor"/>
          <w:rtl w:val="true"/>
        </w:rPr>
        <w:footnoteReference w:id="716"/>
      </w:r>
      <w:r>
        <w:rPr>
          <w:rFonts w:ascii="IRNazanin" w:hAnsi="IRNazanin" w:eastAsia="IRNazanin"/>
          <w:color w:val="111111"/>
          <w:sz w:val="28"/>
          <w:sz w:val="28"/>
          <w:szCs w:val="28"/>
          <w:rtl w:val="true"/>
          <w:lang w:bidi="fa-IR"/>
        </w:rPr>
        <w:t>ومن تبعه</w:t>
      </w:r>
      <w:r>
        <w:rPr>
          <w:rStyle w:val="FootnoteAnchor"/>
          <w:rtl w:val="true"/>
        </w:rPr>
        <w:footnoteReference w:id="717"/>
      </w:r>
      <w:r>
        <w:rPr>
          <w:rFonts w:ascii="Amiri" w:hAnsi="Amiri" w:eastAsia="Amiri" w:cs="Amiri"/>
          <w:color w:val="111111"/>
          <w:sz w:val="28"/>
          <w:sz w:val="28"/>
          <w:szCs w:val="28"/>
          <w:rtl w:val="true"/>
          <w:lang w:bidi="ar-SA"/>
        </w:rPr>
        <w:t>وبين غيرهم</w:t>
      </w:r>
      <w:r>
        <w:rPr>
          <w:rStyle w:val="FootnoteAnchor"/>
          <w:rtl w:val="true"/>
        </w:rPr>
        <w:footnoteReference w:id="718"/>
      </w:r>
      <w:r>
        <w:rPr>
          <w:rFonts w:ascii="Amiri" w:hAnsi="Amiri" w:eastAsia="Amiri" w:cs="Amiri"/>
          <w:color w:val="111111"/>
          <w:sz w:val="28"/>
          <w:sz w:val="28"/>
          <w:szCs w:val="28"/>
          <w:rtl w:val="true"/>
          <w:lang w:bidi="ar-SA"/>
        </w:rPr>
        <w:t xml:space="preserve">، حتّى من المخالفين للعمانيّ </w:t>
      </w:r>
    </w:p>
    <w:p>
      <w:pPr>
        <w:pStyle w:val="BookText"/>
        <w:rPr/>
      </w:pPr>
      <w:r>
        <w:rPr>
          <w:rFonts w:ascii="Amiri" w:hAnsi="Amiri" w:eastAsia="Amiri" w:cs="Amiri"/>
          <w:color w:val="111111"/>
          <w:sz w:val="28"/>
          <w:sz w:val="28"/>
          <w:szCs w:val="28"/>
          <w:rtl w:val="true"/>
          <w:lang w:bidi="ar-SA"/>
        </w:rPr>
        <w:t>مَن هو قائل بكفاية عشرة أشبار</w:t>
      </w:r>
      <w:r>
        <w:rPr>
          <w:rStyle w:val="FootnoteAnchor"/>
          <w:rtl w:val="true"/>
        </w:rPr>
        <w:footnoteReference w:id="719"/>
      </w:r>
      <w:r>
        <w:rPr>
          <w:rFonts w:ascii="Amiri" w:hAnsi="Amiri" w:eastAsia="Amiri" w:cs="Amiri"/>
          <w:color w:val="111111"/>
          <w:sz w:val="28"/>
          <w:sz w:val="28"/>
          <w:szCs w:val="28"/>
          <w:rtl w:val="true"/>
          <w:lang w:bidi="ar-SA"/>
        </w:rPr>
        <w:t>، وجماعة من الفقهاء اختاروا سقوط الأنصاف</w:t>
      </w:r>
      <w:r>
        <w:rPr>
          <w:rStyle w:val="FootnoteAnchor"/>
          <w:rtl w:val="true"/>
        </w:rPr>
        <w:footnoteReference w:id="720"/>
      </w:r>
      <w:r>
        <w:rPr>
          <w:rFonts w:ascii="Amiri" w:hAnsi="Amiri" w:eastAsia="Amiri" w:cs="Amiri"/>
          <w:color w:val="111111"/>
          <w:sz w:val="28"/>
          <w:sz w:val="28"/>
          <w:szCs w:val="28"/>
          <w:rtl w:val="true"/>
          <w:lang w:bidi="ar-SA"/>
        </w:rPr>
        <w:t>، واقتصر جمع من القدماء على ذكر الأرطال</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نختار من ثبوت الأنصاف تكون أكثر ولو على المدوّريّة من المربّع بناءً على سقوط الأنصاف فكيف يكون ما ذكرنا خلافاً للإجماع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ظاهرة في المدوريّة والصّارف منتفٍ فوجب الأخذ بالظّهور كما هو المقرّر في محلّه</w:t>
      </w:r>
      <w:r>
        <w:rPr>
          <w:rFonts w:eastAsia="Amiri" w:cs="Amiri" w:ascii="Amiri" w:hAnsi="Amiri"/>
          <w:color w:val="111111"/>
          <w:sz w:val="28"/>
          <w:szCs w:val="28"/>
          <w:rtl w:val="true"/>
          <w:lang w:bidi="ar-SA"/>
        </w:rPr>
        <w:t xml:space="preserve">. </w:t>
      </w:r>
      <w:bookmarkStart w:id="759" w:name="pg9159_85282"/>
    </w:p>
    <w:p>
      <w:pPr>
        <w:pStyle w:val="Heading4"/>
        <w:numPr>
          <w:ilvl w:val="3"/>
          <w:numId w:val="1"/>
        </w:numPr>
        <w:rPr/>
      </w:pPr>
      <w:bookmarkStart w:id="760" w:name="__RefHeading___Toc3483115_2870459653"/>
      <w:bookmarkStart w:id="761" w:name="_Toc289"/>
      <w:bookmarkEnd w:id="759"/>
      <w:bookmarkEnd w:id="760"/>
      <w:r>
        <w:rPr>
          <w:rtl w:val="true"/>
        </w:rPr>
        <w:t>البحث الثّالث</w:t>
      </w:r>
      <w:r>
        <w:rPr>
          <w:rtl w:val="true"/>
        </w:rPr>
        <w:t xml:space="preserve">: </w:t>
      </w:r>
      <w:r>
        <w:rPr>
          <w:rtl w:val="true"/>
        </w:rPr>
        <w:t>في قدر الكرّ</w:t>
      </w:r>
      <w:bookmarkEnd w:id="761"/>
    </w:p>
    <w:p>
      <w:pPr>
        <w:pStyle w:val="BookText"/>
        <w:rPr/>
      </w:pPr>
      <w:r>
        <w:rPr>
          <w:rFonts w:ascii="Amiri" w:hAnsi="Amiri" w:eastAsia="Amiri" w:cs="Amiri"/>
          <w:color w:val="111111"/>
          <w:sz w:val="28"/>
          <w:sz w:val="28"/>
          <w:szCs w:val="28"/>
          <w:rtl w:val="true"/>
          <w:lang w:bidi="ar-SA"/>
        </w:rPr>
        <w:t>وبعد الضّرورة بأنّ التّحديد يكون بنفس الكرّ، وسؤال الرّواة يكون عن نفس الكرّ وكمّه، وحملُ الأئمّة الأشبار على الكرّ وقدره يظهر أنّ الكرّ ثلاثة أشبار ونصف سعته في ثلاثة أشبار ونصف عمقه، فيقع الكلام في رفع التّعارض وعلاجه بين الأخبار المثبتة فيها الأنصاف وبين أخبار لم تذكر فيها الأنصاف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والعلاج واضح، إذ بعد غلبة الظّنّ بالسّقوط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الزّيادة، وبعد مصير المعظم والمشهور إلى ثبوت الأنصاف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وثوق في الأخبار الّتي لا يذكر فيها الأنصاف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فالتّرجيح لروايات الإثبات؛ لكونها أشهر وأكثر، مع الموافقة لصحيحة إسماعيل بن جابر الدّالّة بأنّ الكرّ ذراعان عمقه وذراع وشبر سعته؛ لأنّه لا ينطبق على المربّع والمدوّر بناءً على سقوط الأنصاف، وأمّا بناءً على ثبوت الأنصاف ووضوح أنّ الذّراع أكثر من الشّبرين بيسير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الدّقيقة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ذراعٍ ونصف أو ثلاثة أشبار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ذراع وشبر سعته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تنطبق على الأشبار كما هو واضح</w:t>
      </w:r>
      <w:r>
        <w:rPr>
          <w:rFonts w:eastAsia="IRNazanin" w:cs="IRNazanin"/>
          <w:color w:val="111111"/>
          <w:sz w:val="28"/>
          <w:szCs w:val="28"/>
          <w:rtl w:val="true"/>
          <w:lang w:bidi="fa-IR"/>
        </w:rPr>
        <w:t xml:space="preserve">. </w:t>
      </w:r>
      <w:bookmarkStart w:id="762" w:name="pg9159_85283"/>
    </w:p>
    <w:p>
      <w:pPr>
        <w:pStyle w:val="Heading4"/>
        <w:numPr>
          <w:ilvl w:val="3"/>
          <w:numId w:val="1"/>
        </w:numPr>
        <w:rPr/>
      </w:pPr>
      <w:bookmarkStart w:id="763" w:name="__RefHeading___Toc3483117_2870459653"/>
      <w:bookmarkStart w:id="764" w:name="_Toc290"/>
      <w:bookmarkEnd w:id="762"/>
      <w:bookmarkEnd w:id="763"/>
      <w:r>
        <w:rPr>
          <w:rtl w:val="true"/>
        </w:rPr>
        <w:t>خاتمة</w:t>
      </w:r>
      <w:bookmarkEnd w:id="764"/>
    </w:p>
    <w:p>
      <w:pPr>
        <w:pStyle w:val="BookText"/>
        <w:rPr/>
      </w:pPr>
      <w:r>
        <w:rPr>
          <w:rFonts w:ascii="IRNazanin" w:hAnsi="IRNazanin" w:eastAsia="IRNazanin"/>
          <w:color w:val="111111"/>
          <w:sz w:val="28"/>
          <w:sz w:val="28"/>
          <w:szCs w:val="28"/>
          <w:rtl w:val="true"/>
          <w:lang w:bidi="fa-IR"/>
        </w:rPr>
        <w:t xml:space="preserve">الظّاهر أنّ الكرّ أمر واحد لا تعدّد فيه، فيكون المراد هو الكيل المتعارف الّذي كان في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من أخبار الأشبار هو القضيّة الخارجيّة، ولو بقرينة وحدة الكرّ، وعدم اختلافٍ في مصاديقه، وأنّ الأشبار محمولة على أشبار متعارف أهل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إمّا أن لا تختلف الأشبار بمرور الدّهور، وإمّا بناءً على اختلافها وأنّ قامة الانسان بمرور الأزمنة تصير قصيرةً فلا بدّ من الاحتياط؛ لعدم انضباط أشبار معتدل الخلقة من أهل عصرهم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تمّت الرّسالة بيد الأحقر الأفقر محمّد هاشم القزوينيّ في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واستفدت مطالبها وجميع ما ذكر فيها من سيّدي وسندي وأستاذي العلّامة الآقا ميرزا مهديّ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كان في هذه الرّسالة من المطالب حقّاً فهو منه، وما كان غير حقّ فهو من قصور فهمي وخسّة نفسي وضعف عقلي، وأرجو من النّاظرين أن ينظروا إليها بنظر الإنصاف، وأسأل الله أن يجعلها مقبولة ومنظورة لوليّ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ونقلها الأقلّ حسين الحلّيّ من نسخة مصنّفها سلّمه الله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9159_85285"/>
      <w:bookmarkStart w:id="766" w:name="pg9159_85285"/>
      <w:bookmarkEnd w:id="766"/>
    </w:p>
    <w:p>
      <w:pPr>
        <w:pStyle w:val="Heading3"/>
        <w:numPr>
          <w:ilvl w:val="2"/>
          <w:numId w:val="1"/>
        </w:numPr>
        <w:rPr/>
      </w:pPr>
      <w:bookmarkStart w:id="767" w:name="pg9159_85285"/>
      <w:bookmarkStart w:id="768" w:name="__RefHeading___Toc3483119_2870459653"/>
      <w:bookmarkStart w:id="769" w:name="_Toc291"/>
      <w:bookmarkEnd w:id="767"/>
      <w:bookmarkEnd w:id="768"/>
      <w:r>
        <w:rPr>
          <w:rtl w:val="true"/>
        </w:rPr>
        <w:t>المصادر والمراجع</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على مدارك الأحكام، الشّيخ محمّد باقر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من لا يحضره الفقيه، الشّيخ بهاء الدّين محمّد بن الحسين بن عبد الصّمد الحارثيّ الهمدانيّ العامليّ الجبعيّ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حسّون كريم، باهتمام السّيّد محمود المرعشيّ،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النّديّة في شرح الفوائد الصّمديّة، 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الفضل سجّاديّ، منشورات ذوي القربى،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الأمين،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 الشّيخ محمّد مكّي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في قم،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في شرح الإرشاد، الشّيخ محمّد باقر بن محمّد مؤمن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 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النّجف الدّينيّة،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في شرح من لا يحضره الفقيه، الشّيخ محمّد تقي المجلسيّ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المجلسيّ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والشّیخ عليّ پناه الاشتهارديّ والسّيّد فضل الله الطّباطبائيّ،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فرهنگيّ إسلاميّ كوشانبور، الطّبعة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عليّ بن محمّد بن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التّصريح على التّوضيح، خالد بن عبد الله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تصحيح ومراجعة لجنة من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الرّضي على الكافية، الشّيخ رضيّ الدّين محمّد بن حسن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بالشّيخ الرّضيّ والملقّب بنجم الأئمّة، تصحيح </w:t>
      </w:r>
    </w:p>
    <w:p>
      <w:pPr>
        <w:pStyle w:val="BookText"/>
        <w:rPr/>
      </w:pPr>
      <w:r>
        <w:rPr>
          <w:rFonts w:ascii="IRNazanin" w:hAnsi="IRNazanin" w:eastAsia="IRNazanin"/>
          <w:color w:val="111111"/>
          <w:sz w:val="28"/>
          <w:sz w:val="28"/>
          <w:szCs w:val="28"/>
          <w:rtl w:val="true"/>
          <w:lang w:bidi="fa-IR"/>
        </w:rPr>
        <w:t>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حسن عمر،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نشر دار العلم للملايين،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في شرح شرائع الإسلام، الشّيخ مفلح بن حسن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جعفر الكوثرانيّ،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النّزوع إلى علمي الأصول والفروع، السّيّد حمزة بن عليّ بن زهرة الحسينيّ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البهارديّ،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الطّبعة الأولى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الطّبعة الثّالثة،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جعفر بن خضر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مهدويّ،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الطّبعة الأولى، قطع رحلي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جمال الدّين محمّد بن مكرم ابن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فارس صاحب الجوائب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ومطلع النّيرين،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الشّيخ أحمد بن محمّد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مجتبى العراقيّ والشّیخ عليّ پناه الاشتهارديّ والشّيخ حسين اليزديّ الأصفهانيّ، منشورات جماعة المدرّسين في الحوزة العلميّة في قم المقدّسة، الطّبعة الأولى،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 اللّغة، أحمد بن فارس بن زكريا القزوينيّ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عبد الحسين سلطان،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في أحكام الشّريعة، الشّيخ جمال الدّين أبو منصور الحسن بن يوسف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الشّيخ محمّد باقر المجلسيّ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النّاصريات، علم الهدى السّيّد عليّ 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العلميّة، </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الثّقافة والعلاقات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آقا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الجعفريّة لإحياء التّراث ومؤسّسة النّشر الإسلاميّ،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الباقريّ والشّيخ نور عليّ النّوريّ والشّيخ محمّد الميرزائيّ والسّيّد نور الدّين جعفريان،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للرّافعيّ، أحمد بن محمّد 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في شرح المختصر، الشّيخ نجم الدّين أبو القاسم جعفر بن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عدّة من الأفاضل،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معتصم الشّيعة في أحكام الشّريعة، الشّيخ محمّد محسن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بإشراف الشّيخ محمّد الإماميّ الكاشانيّ، تحقيق الشّيخ مسيح التّوحيديّ، الطّبعة الأولى،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الشّرائع، الشّيخ محمّد محسن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السّيّد المرعشيّ،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مقابس الأنوار ونفائس الأسرار فی أحکام النّبيّ المختار وآله الأطهار، الشّيخ أسد الله الكاظميّ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الأولى، رحلي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 الشّيخ محمّد بن عليّ ابن بابويه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 الشّيخ مرتضى بن محمّد أمين الأنصاريّ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ملاذ الأخيار في فهم تهذيب الأخبار، الشّيخ محمّد باقر المجلسيّ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محمّد بن عليّ ابن بابويه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إيران،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في شرح المختصر النّافع، الشّيخ جمال الدّين أبو العبّاس أحمد ابن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مجتبى العراقيّ، مؤسّسة النّشر الإسلاميّ التّابعة لجماعة المدرّسين بقم المشرّفة،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 مبارك بن محمّد الجزريّ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أحمد الزّاويّ ومحمود محمّد الطّناحيّ،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للمطبوعات،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الطّبعة الثّالثة،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أبو منصور محمّد بن أحمد بن الأزهريّ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 مرعب،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اللّغة، أبو بكر محمّد بن حسن 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السّابعة،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الهدى، الميرزا مهديّ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الهدى، الميرزا مهديّ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تقديم وتحقيق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حسين مفيد،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فرهنگي انتشاراتي منير، الطّبعة الثّانية،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احياگر حوزة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کتاب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احیاگر حوزويّ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مجموعة مؤلّفين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الأستاذ محمّد </w:t>
      </w:r>
    </w:p>
    <w:p>
      <w:pPr>
        <w:pStyle w:val="BookText"/>
        <w:rPr/>
      </w:pPr>
      <w:r>
        <w:rPr>
          <w:rFonts w:ascii="Amiri" w:hAnsi="Amiri" w:eastAsia="Amiri" w:cs="Amiri"/>
          <w:color w:val="111111"/>
          <w:sz w:val="28"/>
          <w:sz w:val="28"/>
          <w:szCs w:val="28"/>
          <w:rtl w:val="true"/>
          <w:lang w:bidi="ar-SA"/>
        </w:rPr>
        <w:t>رضا الحكيميّ، والدّكتور أحمد مهدويّ دمغني والأستاذ حسين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الطّبعة الأولى،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الأولى،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أقرب الموارد في فصح العربيّة والشّوارد، سعيد بن عبد الله الخوريّ الشّرتونيّ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منظمة الأوقاف والشّؤون الخيريّة، دار الأسوة للطّباعة والنّشر،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القاطع، السّيّد عليّ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بن محمّد بن محمّد بن عبد الرّزاق المعروف بالسّيّد المرتضى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حکما وعرفاي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الدّكتور منوچهر صدوقي سها،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طهران،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أبو منصور الحسن بن يوسف بن المطهّر الأسديّ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ترجمان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قاموس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محمّد بن شفيع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العلم والعمل، علم الهدى السّيّد عليّ 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النّجف الأشرف، 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معارف القرن العشرين، محمّد فريد وجدي،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الحسين بن إبراهيم النّطنزيّ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هادي زيدان،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غياث الدّين محمّد بن جلال الدّين بن شرف الدّين الرّامبوريّ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زمانشناس، الأستاذ أمير مهديّ حکيميّ،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همشهري، طهران،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فقيه وارسته آيت الله شیخ هاشم قزوينيّ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الأستاذ غلام رضا الجلاليّ،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للعتبة الرّضويّة، مشهد المقدّسة،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القناع عن وجوه حجّيّة الإجماع، الشّيخ أسد الله التّستريّ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متألّه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نيمه دوم مهر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كيهان فرهنگي العدد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نگاه حوزة العدد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العلويّة في الأحكام النّبويّة، الشّيخ حمزة بن عبد العزيز الدّيلميّ المعروف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البستانيّ، منشورات الحرمين،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عليّ النّمازيّ،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 تفكيك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الأستاذ محمّد رضا الحكيميّ،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مهديّ الأصفهانيّ رائد التّفكيك في المعرفة الدّينيّة، مجموعة مؤلّفين، ترجمة عباس جواد، الطّبعة الأولى، بيروت،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في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محمّد محسن المنزويّ الطّهرانيّ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بزرگ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العزيز الطّباطبائيّ،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قسيمة الاشتراك السنوي</w:t>
      </w:r>
    </w:p>
    <w:p>
      <w:pPr>
        <w:pStyle w:val="BookText"/>
        <w:rPr/>
      </w:pPr>
      <w:r>
        <w:rPr>
          <w:rFonts w:ascii="Amiri" w:hAnsi="Amiri" w:eastAsia="Amiri" w:cs="Amiri"/>
          <w:color w:val="111111"/>
          <w:sz w:val="28"/>
          <w:sz w:val="28"/>
          <w:szCs w:val="28"/>
          <w:rtl w:val="true"/>
          <w:lang w:bidi="ar-SA"/>
        </w:rPr>
        <w:t>أرجو قبول اشتراكي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سنوات</w:t>
      </w:r>
    </w:p>
    <w:p>
      <w:pPr>
        <w:pStyle w:val="BookText"/>
        <w:rPr/>
      </w:pP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تملاً هذه القسيمة وترسل مع قيمة الاشتراك إلى أحد مراكز التوزيع المذكورة، أو إلى مقر المجلة على العنوان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للاستفسار</w:t>
      </w:r>
      <w:r>
        <w:rPr>
          <w:rFonts w:eastAsia="IRNazanin" w:cs="IRNazanin"/>
          <w:color w:val="111111"/>
          <w:sz w:val="28"/>
          <w:szCs w:val="28"/>
          <w:rtl w:val="true"/>
          <w:lang w:bidi="fa-IR"/>
        </w:rPr>
        <w:t xml:space="preserve">: </w:t>
      </w:r>
      <w:r>
        <w:rPr>
          <w:rFonts w:eastAsia="IRNazanin" w:cs="IRNazanin"/>
          <w:color w:val="111111"/>
          <w:sz w:val="28"/>
          <w:szCs w:val="28"/>
          <w:lang w:bidi="fa-IR"/>
        </w:rPr>
        <w:t>7800093930</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الاشتراك السنوي</w:t>
      </w:r>
    </w:p>
    <w:p>
      <w:pPr>
        <w:pStyle w:val="BookText"/>
        <w:rPr/>
      </w:pPr>
      <w:r>
        <w:rPr>
          <w:rFonts w:ascii="IRNazanin" w:hAnsi="IRNazanin" w:eastAsia="IRNazanin"/>
          <w:color w:val="111111"/>
          <w:sz w:val="28"/>
          <w:sz w:val="28"/>
          <w:szCs w:val="28"/>
          <w:rtl w:val="true"/>
          <w:lang w:bidi="fa-IR"/>
        </w:rPr>
        <w:t>داخل العراق</w:t>
      </w:r>
      <w:r>
        <w:rPr>
          <w:rFonts w:eastAsia="IRNazanin" w:cs="IRNazanin"/>
          <w:color w:val="111111"/>
          <w:sz w:val="28"/>
          <w:szCs w:val="28"/>
          <w:rtl w:val="true"/>
          <w:lang w:bidi="fa-IR"/>
        </w:rPr>
        <w:t>: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أو ما يعادلها </w:t>
      </w:r>
    </w:p>
    <w:p>
      <w:pPr>
        <w:pStyle w:val="BookText"/>
        <w:rPr/>
      </w:pPr>
      <w:r>
        <w:rPr>
          <w:rFonts w:ascii="Amiri" w:hAnsi="Amiri" w:eastAsia="Amiri" w:cs="Amiri"/>
          <w:color w:val="111111"/>
          <w:sz w:val="28"/>
          <w:sz w:val="28"/>
          <w:szCs w:val="28"/>
          <w:rtl w:val="true"/>
          <w:lang w:bidi="ar-SA"/>
        </w:rPr>
        <w:t>مراكز التوزيع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البذرة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07802450230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القاموسي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عبد المحسن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مستشقى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07901770672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 فندق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07834413784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الجديدة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مجاور جامع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07807976000</w:t>
      </w:r>
    </w:p>
    <w:p>
      <w:pPr>
        <w:pStyle w:val="BookText"/>
        <w:rPr/>
      </w:pPr>
      <w:r>
        <w:rPr>
          <w:rFonts w:ascii="Amiri" w:hAnsi="Amiri" w:eastAsia="Amiri" w:cs="Amiri"/>
          <w:color w:val="111111"/>
          <w:sz w:val="28"/>
          <w:sz w:val="28"/>
          <w:szCs w:val="28"/>
          <w:rtl w:val="true"/>
          <w:lang w:bidi="ar-SA"/>
        </w:rPr>
        <w:t>مراكز التوزيع خارج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37838212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بنيد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50699880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مداد للثقافة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مرسلاً في المبسوط والخلاف،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نجبة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تدركني الصلاة أو يدخل وقتها فأبدأ بالنافلة؟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 ابدأ بالمكتوبة، واقض النافلة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ما 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الأربعمائة وسيأتي ذكره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جمال الدين الكلبايكاني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أوقات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ظاهر النسخة التي نقل عنها في الوسائل،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أوقات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جمال الدين الكلبايكاني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سهو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ونسبه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موسّع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التطوّع في وقت 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التطوّع في قوت 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جمال الدين الكلبايكاني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جمال الدين الكلبايكاني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جمال الدين الكلبايكاني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جمال الدين الكلبايكاني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بناء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وقال بمضمونه المحقّق العراقي،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أوقات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 النذور،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 الإشكال والجواب عنه السيّد جمال الدين الكلبايكاني في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أوقات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بتصرّف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وصيّة الصبيّ والمحجور عليه، ح</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كتاب الوصايا،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وصيّة الصبيّ والمحجور عليه، ح</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من الأخبار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 متى يجب على الجارية القناع،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أبواب مقدّمات النكاح،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والترجيح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حيث جعل الخبر المخالف للشهرة الفتوائية ليس بحجّة، فهي من باب تميّز الحجّة عن اللا حجّة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من الزيادات في القضايا والأحكام،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من الزيادات في القضايا والأحكام،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وغيرها من الآيات القرآنية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المقدّس الأردبيليّ عدم اشتراط البلوغ في نفوذ تصرّفات الصبيّ إذا كان رشيداً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يظهر من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المقصود به هو الآية السادسة من سورة النساء الّتي تقدّم الكلام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نبحث دخالة البلوغ في موضوع الحكم أو أنَّ الرشد هو تمام الموضوع خوفاً من الإطالة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البحث، ولذا افترضت تماميّة أدلّة علامية الحيض، وليس غرضي التشكيك في علامية الحيض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ويلاحظ في نفس الصفحة تعليق السيّد الخميني والمحقّق أغا ضياء العراقي، ووافقهم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إذا رأت الدم وهي تشكّ في إكمالها لتسع سنين، فإن أدّت رؤيتها هذه إلى اليقين بأنّها قد أكملت تسع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إلى أنّ البنت لا ترى دماً عادة قبل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اعتبرت ذلك الدم حيضاً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الطبّيّ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خروج الدم والخلايا من رحم الأنثى الّتي تحدث بسب تمزق بطانة الرحم بعد عدم تخصيب البويضة وموتها، ويحدث ذلك غالباً ما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من إنتاج البويضة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سلسلة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متاعب المرأة الشهرية وطرق علاجها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طلاق التي لم تبلغ والتي يئست من المحيض،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أبواب العدد،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الوصيّ يدرك أيتامه فيمتنعون من أخذ مالهم ومن يدرك ولا يؤنس منه الرشد وحدّ البلوغ،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الوصايا،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الملاحظة يراجع 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والموضع السابق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على الدرّ المختار شرح تنوير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أبواب مقدّمات النكاح،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تعريف الحدث في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قانون العقوبات العراقي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الجناية مدّة الحبس من سنة إلى خمس سنوات راجع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ويكيبيديا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الحرّة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 الزواج في الولايات المتّحدة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الزواج في الشرائع اليهودية والمسيحية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منظمة الصحّة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الآثار الضارّة للزواج المبكّر للأطفال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منظمة الصحّة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 المراهقات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منظمة الصحّة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 المراهقات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منظمة الصحّة العالمية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ذكره المحقّق الكركي في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سعيد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قطرات من يراع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تنفذ</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ح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الوقوف والصدقات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قطرات من يراع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وغيرها، 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أيضاً ما ذكره السيّد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الدراية في شرح الرسالة الموسومة بالوجيزة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استقصاء الاعتبار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إكليل المنهج في تحقيق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من تصدّق بمسكن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 ما ذكر في 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غيرهم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المشكيني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المشكيني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 السبزواري ط 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البحث يظهر أنّه زمانيّ بالعرض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العلّامة المشكيني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تعليقة العلّامة المشكيني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العلّامة المشكيني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الوصول إلى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سيظهر هذا المعنى وما بعده عند ذكر موارد استعمال مناسبة الحكم والموضوع في كلمات الأعلام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قراءة القرآن،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الشيخ محمّد عليّ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وللمحقّق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نقله عن أستاذه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أنّه يجري هذه المناسبة حتّى في الأدلّة اللبّية،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كان الدليل لبّياً كالإجماع أو العقل كان الرجوع أيضاً إلى القرينة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تلك القرينة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مناسبة الحكم والموضوع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موجبة للتصرّف في دليل الاستصحاب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وحاكمة بصدقه على المورد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الشيخ محمّد عليّ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عقود البيع،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الشرط و الخيار في البيع،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في قرب الإسناد، عن أحمد وعبد الله ابني محمّد بن عيسى، عن الحسن بن محبوب، عن عليّ 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اشترى جارية، لمن الخيار، للمشتري، أو البائع، أو لهما كليهما؟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الخيار لمن اشترى ثلاثة أيّام نظرة، فإذا مضت ثلاثة أيّام فقد وجب الشراء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باب الضرار،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بن بندار، عن أحمد بن أبي عبد الله، عن أبيه، عن بعض أصحابنا، عن عبد الله بن مسكان،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سمرة بن جندب كان له عذق، وكان طريقه إليه في جوف منزل رجل من الأنصار، فكان يجيء ويدخل إلى عذقه بغير إذن من الأنصاري، فقال 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سمرة، لا تزال تفاجئنا على حال لا نحبّ أن تفاجئنا عليها، فإذا دخلت فاستأذن،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أستأذن في طريق، وهو طريقي إلى عذقي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فشكاه الأنصاري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فأرسل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قد شكاك، وزعم أنّك تمرّ عليه وعلى أهله بغير إذنه، فاستأذن عليه إذا أردت أن 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أستأذن في طريقي إلى عذقي؟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 عنه ولك مكانه عذق في مكان كذا وكذا،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اثنان،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أريد، فلم يزل يزيده حتّى بلغ عشرة أعذاق،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عشرة في مكان كذا وكذا، فأبى،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عنه ولك مكانه عذق في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أريد،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 رجل مضارّ، ولا ضرر ولا ضرار على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أمر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فقلعت، ثمّ رُمي بها إليه، وقال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انطلق فاغرسها حيث شئت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سمع ذلك من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الدرس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التغيّر علّة لعروض الحكم على نفس الماء، موهم لإرادة الواسطة في العروض، ومقصوده أنّه واسطة في الثبوت؛ فإنّ الواسطة في العروض جزء من الموضوع، بخلاف ما نحن فيه، فإنّه حيثية تعليلية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الشيخ محمّد عليّ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الشيخ محمّد عليّ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الشيخ محمّد عليّ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الجماعة،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الشيخ محمّد عليّ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وعدّه 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 والمدافعة بالعدة والدين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كيفيّة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كلماته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والجدير بالذكر أنّ بحث 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كبحثنا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البحوث التي لم تحرّر في علم الأصول، وحقّه أن يفرد بالبحث، وأن تفرد له مسألة في علم الأصول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العمل في ليلة الجمعة ويومها،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أدنى ما يجزئ من التسبيح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الرجل يموت وعليه من صيام شهر رمضان وغيره،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أحكام السهو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التنقيح في شرح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عقود البيع،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في أعلام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إجازته بالاجتهاد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إجازته بالاجتهاد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استفدناها من جملة من المصادر،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مكتب تفكيك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متألّه قرآنيّ، زندگى‌نامه ميرزا مهديّ أصفهانيّ، ميرزا مهديّ الأصفهانيّ رائد التّفكيك في المعرفة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بقلمه الشّريف في كثير من إجازاته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أنّه سمّى نفسه في مقدّمة جملة من آثاره منها أبواب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المدعو بالمهديّ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تفكيك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نگاه حوزة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في أعلام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متألّه 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زندگى‌نامه ميرزا مهديّ أصفهانيّ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بزرگ الطّهرانيّ بعد تعداده للمؤلّفات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وجدتُ هذه الأربعة الأخيرة مع رسالة الكرّ عند السّيّد عليّ السّيستانيّ، وللسّيّد السّيستانيّ تعليق على المواهب السّنيّة سمّاه بالإفاضات الغرويّة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استفدناها من جملة من المصادر،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فقيه آزادگان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احياگر حوزة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حكما وعرفاى متأخّر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 تفكيك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كيهان فرهنگي العدد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نگاه حوزة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أبواب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ميرزا مهديّ الأصفهانيّ رائد التّفكيك في المعرفة الدّينيّة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بقلمه الشّريف في ذيل بعض آثاره، كتقريره لأبحاث الشّيخ موسى الخوانساريّ، وكما نقل عنه آقا بزرگ الطّهرانيّ أنّه حدّثه بذلك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ناشناخته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البسملة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الحمد والصّلاة والسّلام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بالصّيغة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ربّ العالمين، والصّلاة والسّلام على محمّد وآله الطّاهرين أجمعين، واللّعنة على أعدائهم من الآن إلى قيام يوم الدّين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ويصير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حاله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 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وقد حُكي أصل القول في مصادر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تواريخ</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مدنيّتهم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 شطب الأولى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 شطب الأولى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صَنْجَة الميزان، ما يوزن به كالأوقيّة والرّطل،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ونقل الأزهريّ عن الفرّاء أنّها بالسّين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تُقال بالصّاد، وعَكَس ابن السّكّيت وابن قتيبة فقالا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ولا تُقال بالسّين، وفي نسخة من التّهذيب أنّهما لغتان والسّين 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أقرب الموارد في فصح العربيّة والشّوارد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ن ج</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شطب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الكاف والرّاء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فصل الكاف من باب الرّاء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كاف عربيّ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ونفائس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الرّاء والطّاء وما يثلثهما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باب الطّاء،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وكسر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أُوقيّة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ما ورد في المتن 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رِطل ورَطل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 نصف المَنّ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نقل 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ترجمان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بعد ما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اللّغة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 الخمر و الكيل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 يزن نصف المَنّ وبعض الأحيان يأتي لفظ الرّطل بمعنى کأس الخمر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رطل 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باهظ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كأس أو كيل كبير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 في شرح الفوائد الصّمديّة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النّسخة إلّا أنّها نُقلت كذلك في المجاميع الفقهيّة،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ونفائس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المصباح المنير في غريب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تاج العروس من جواهر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الأعرابيّ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 على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للكيل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وقد ورد في باقي النّسخ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أوّلاً وبالذّات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التّحديد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 ص، 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المحمّديّة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 ص، 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أساسها وقوائمها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قوائمها وأساسها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الفطريات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 شطب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ورد في باقي النّسخ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والأئمّة المعصومين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والمعصومين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بالمُدّ والصّاع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بالصّاع والمُدّ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بالصّاع والمُدّ طابق النّعل بالنّعل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سيأتي ذكره في المقصدين الأوّل والثّاني،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معرضة عنها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وقد ورد في باقي النّسخ</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بموضوعاتها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ومساحة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إلى ما مرّ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وقد ورد في باقي النّسخ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مسامحته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مساحته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والكُرُّ ستّمائة رطل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ثلاثةُ أشبار ونصف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الكرّ؟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مشروحاً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ومناقضة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 الأكل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وحينئذ</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وثمانين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النّسخ،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 بلدك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وورد في المصدر وباقي النّسخ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تصريحه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 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الرّطل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 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وورد في المصدر وباقي النّسخ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الوزنة بالدّرهم؛ إذ روى الشّيخ هذه الرّواية عن إبراهيم بن محمّد الهمذانيّ على وجه أبسط،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الفطرة ألفاً ومائةً وسبعين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وورد في سائر النّسخ</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 بالبال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ببال غيره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على ساكنها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البئر الّذي تصل اليد إلى ماءه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الحاشية على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معتصم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الرّوايات المذكورة في الوجه التّالي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مصحّحة إسماعيل بن جابر، 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 جمع الرَّكِيّة، أو جنسها والجمع رَكايا، والرَّكِيَّة هي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أمثال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المقام بما عبّر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 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أشبار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ونصف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عن وجوه حجّيّة 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 ص،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أعلاه وقد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 شطب الأولى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ساوى ابن أبي عقيل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والقليل في التّأثّر بالنّجاسة وعدمه،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أشبار ونصف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ما نُسب إلى القطب الرّاونديّ حيث اكتفى بجمع المقادير الثّلاثة الواردة في الخبر بناءً على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ملاذ الأخيار في فهم تهذيب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فيبلغ مكسّره ثلاثة وثلاثين شبراً وخمسة أثمان شبر ونصف ثمن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مصدر قول المجلسيّ الأوّل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فتلخّص</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 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الشّبرين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الدّقيقة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فرغتُ من الاستنساخ في أوّل ليلة مولد مولانا وإمامنا وسيّدنا ثامن أئمّة الهدى، وضامن الغرباء سلطان الدّين والدّنيا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وعلى آبائه الطّاهرين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ونرجو الله أن ينفعنا ببركة جواره من فضله وإحسانه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ههنا جفّ قلمه الشّريف المبارك، كتبه الأحقر السّيّد رضا عليّ شاه الحسينيّ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الهامش التّالي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وقد حُكي أصل القول في مصادر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صَنْجَة الميزان، ما يوزن به كالأوقيّة والرّطل،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ونقل الأزهريّ عن الفرّاء أنّها بالسّين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تُقال بالصّاد، وعَكَس ابن السّكّيت وابن قتيبة فقالا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ولا تُقال بالسّين، وفي نسخة من التّهذيب أنّهما لغتان والسّين 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أقرب الموارد في فصح العربيّة والشّوارد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ن 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فصل الكاف من باب الرّاء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كاف عربيّ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ونفائس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الرّاء والطّاء وما يثلثهما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باب الطّاء،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وكسر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أُوقيّة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المقطع الأوّل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راء مهملة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 في شرح الفوائد الصّمديّة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النّسخة المُشار إليها إلّا أنّها نُقلت كذلك في المجاميع الفقهيّة،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ونفائس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الحاشية على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معتصم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الرّوايات المذكورة في الوجه التّالي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مصحّحة إسماعيل بن جابر، 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 جمع الرَّكِيّة، أو جنسها والجمع رَكايا، والرَّكِيَّة هي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عن وجوه حجّيّة 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ساوى ابن أبي عقيل العمانيّ بين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والقليل في التّأثّر بالنّجاسة وعدمه،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أشبار ونصف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ما نُسب إلى القطب الرّاونديّ حيث اكتفى بجمع المقادير الثّلاثة الواردة في الخبر بناءً على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المراسم العلويّة في الأحكام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3.jpeg"/><Relationship Id="rId323" Type="http://schemas.openxmlformats.org/officeDocument/2006/relationships/image" Target="media/image3.jpeg"/><Relationship Id="rId324" Type="http://schemas.openxmlformats.org/officeDocument/2006/relationships/footer" Target="footer317.xml"/><Relationship Id="rId325" Type="http://schemas.openxmlformats.org/officeDocument/2006/relationships/image" Target="media/image4.jpeg"/><Relationship Id="rId326" Type="http://schemas.openxmlformats.org/officeDocument/2006/relationships/image" Target="media/image4.jpeg"/><Relationship Id="rId327" Type="http://schemas.openxmlformats.org/officeDocument/2006/relationships/footer" Target="footer318.xml"/><Relationship Id="rId328" Type="http://schemas.openxmlformats.org/officeDocument/2006/relationships/image" Target="media/image5.jpeg"/><Relationship Id="rId329" Type="http://schemas.openxmlformats.org/officeDocument/2006/relationships/image" Target="media/image5.jpeg"/><Relationship Id="rId330" Type="http://schemas.openxmlformats.org/officeDocument/2006/relationships/footer" Target="footer319.xml"/><Relationship Id="rId331" Type="http://schemas.openxmlformats.org/officeDocument/2006/relationships/image" Target="media/image6.jpeg"/><Relationship Id="rId332" Type="http://schemas.openxmlformats.org/officeDocument/2006/relationships/image" Target="media/image6.jpeg"/><Relationship Id="rId333" Type="http://schemas.openxmlformats.org/officeDocument/2006/relationships/footer" Target="footer320.xml"/><Relationship Id="rId334" Type="http://schemas.openxmlformats.org/officeDocument/2006/relationships/image" Target="media/image7.jpeg"/><Relationship Id="rId335" Type="http://schemas.openxmlformats.org/officeDocument/2006/relationships/image" Target="media/image7.jpeg"/><Relationship Id="rId336" Type="http://schemas.openxmlformats.org/officeDocument/2006/relationships/footer" Target="footer321.xml"/><Relationship Id="rId337" Type="http://schemas.openxmlformats.org/officeDocument/2006/relationships/image" Target="media/image8.jpeg"/><Relationship Id="rId338" Type="http://schemas.openxmlformats.org/officeDocument/2006/relationships/image" Target="media/image8.jpeg"/><Relationship Id="rId339" Type="http://schemas.openxmlformats.org/officeDocument/2006/relationships/footer" Target="footer322.xml"/><Relationship Id="rId340" Type="http://schemas.openxmlformats.org/officeDocument/2006/relationships/image" Target="media/image9.jpeg"/><Relationship Id="rId341" Type="http://schemas.openxmlformats.org/officeDocument/2006/relationships/image" Target="media/image9.jpeg"/><Relationship Id="rId342" Type="http://schemas.openxmlformats.org/officeDocument/2006/relationships/footer" Target="footer323.xml"/><Relationship Id="rId343" Type="http://schemas.openxmlformats.org/officeDocument/2006/relationships/image" Target="media/image10.jpeg"/><Relationship Id="rId344" Type="http://schemas.openxmlformats.org/officeDocument/2006/relationships/image" Target="media/image10.jpeg"/><Relationship Id="rId345" Type="http://schemas.openxmlformats.org/officeDocument/2006/relationships/footer" Target="footer324.xml"/><Relationship Id="rId346" Type="http://schemas.openxmlformats.org/officeDocument/2006/relationships/image" Target="media/image11.jpeg"/><Relationship Id="rId347" Type="http://schemas.openxmlformats.org/officeDocument/2006/relationships/image" Target="media/image11.jpeg"/><Relationship Id="rId348" Type="http://schemas.openxmlformats.org/officeDocument/2006/relationships/footer" Target="footer325.xml"/><Relationship Id="rId349" Type="http://schemas.openxmlformats.org/officeDocument/2006/relationships/image" Target="media/image12.jpeg"/><Relationship Id="rId350" Type="http://schemas.openxmlformats.org/officeDocument/2006/relationships/image" Target="media/image12.jpeg"/><Relationship Id="rId351" Type="http://schemas.openxmlformats.org/officeDocument/2006/relationships/footer" Target="footer326.xml"/><Relationship Id="rId352" Type="http://schemas.openxmlformats.org/officeDocument/2006/relationships/image" Target="media/image13.jpeg"/><Relationship Id="rId353" Type="http://schemas.openxmlformats.org/officeDocument/2006/relationships/image" Target="media/image13.jpeg"/><Relationship Id="rId354" Type="http://schemas.openxmlformats.org/officeDocument/2006/relationships/footer" Target="footer327.xml"/><Relationship Id="rId355" Type="http://schemas.openxmlformats.org/officeDocument/2006/relationships/image" Target="media/image14.jpeg"/><Relationship Id="rId356" Type="http://schemas.openxmlformats.org/officeDocument/2006/relationships/image" Target="media/image14.jpeg"/><Relationship Id="rId357" Type="http://schemas.openxmlformats.org/officeDocument/2006/relationships/footer" Target="footer328.xml"/><Relationship Id="rId358" Type="http://schemas.openxmlformats.org/officeDocument/2006/relationships/image" Target="media/image15.jpeg"/><Relationship Id="rId359" Type="http://schemas.openxmlformats.org/officeDocument/2006/relationships/image" Target="media/image15.jpeg"/><Relationship Id="rId360" Type="http://schemas.openxmlformats.org/officeDocument/2006/relationships/footer" Target="footer329.xml"/><Relationship Id="rId361" Type="http://schemas.openxmlformats.org/officeDocument/2006/relationships/image" Target="media/image16.jpeg"/><Relationship Id="rId362" Type="http://schemas.openxmlformats.org/officeDocument/2006/relationships/image" Target="media/image16.jpeg"/><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footer" Target="footer359.xml"/><Relationship Id="rId393" Type="http://schemas.openxmlformats.org/officeDocument/2006/relationships/footer" Target="footer360.xml"/><Relationship Id="rId394" Type="http://schemas.openxmlformats.org/officeDocument/2006/relationships/footer" Target="footer361.xml"/><Relationship Id="rId395" Type="http://schemas.openxmlformats.org/officeDocument/2006/relationships/footer" Target="footer362.xml"/><Relationship Id="rId396" Type="http://schemas.openxmlformats.org/officeDocument/2006/relationships/footer" Target="footer363.xml"/><Relationship Id="rId397" Type="http://schemas.openxmlformats.org/officeDocument/2006/relationships/footer" Target="footer364.xml"/><Relationship Id="rId398" Type="http://schemas.openxmlformats.org/officeDocument/2006/relationships/footer" Target="footer365.xml"/><Relationship Id="rId399" Type="http://schemas.openxmlformats.org/officeDocument/2006/relationships/footer" Target="footer366.xml"/><Relationship Id="rId400" Type="http://schemas.openxmlformats.org/officeDocument/2006/relationships/footer" Target="footer367.xml"/><Relationship Id="rId401" Type="http://schemas.openxmlformats.org/officeDocument/2006/relationships/footer" Target="footer368.xml"/><Relationship Id="rId402" Type="http://schemas.openxmlformats.org/officeDocument/2006/relationships/footer" Target="footer369.xml"/><Relationship Id="rId403" Type="http://schemas.openxmlformats.org/officeDocument/2006/relationships/footer" Target="footer370.xml"/><Relationship Id="rId404" Type="http://schemas.openxmlformats.org/officeDocument/2006/relationships/footer" Target="footer371.xml"/><Relationship Id="rId405" Type="http://schemas.openxmlformats.org/officeDocument/2006/relationships/footer" Target="footer372.xml"/><Relationship Id="rId406" Type="http://schemas.openxmlformats.org/officeDocument/2006/relationships/footer" Target="footer373.xml"/><Relationship Id="rId407" Type="http://schemas.openxmlformats.org/officeDocument/2006/relationships/footer" Target="footer374.xml"/><Relationship Id="rId408" Type="http://schemas.openxmlformats.org/officeDocument/2006/relationships/footer" Target="footer375.xml"/><Relationship Id="rId409" Type="http://schemas.openxmlformats.org/officeDocument/2006/relationships/footer" Target="footer376.xml"/><Relationship Id="rId410" Type="http://schemas.openxmlformats.org/officeDocument/2006/relationships/footer" Target="footer377.xml"/><Relationship Id="rId411" Type="http://schemas.openxmlformats.org/officeDocument/2006/relationships/footer" Target="footer378.xml"/><Relationship Id="rId412" Type="http://schemas.openxmlformats.org/officeDocument/2006/relationships/footer" Target="footer379.xml"/><Relationship Id="rId413" Type="http://schemas.openxmlformats.org/officeDocument/2006/relationships/footer" Target="footer380.xml"/><Relationship Id="rId414" Type="http://schemas.openxmlformats.org/officeDocument/2006/relationships/footer" Target="footer381.xml"/><Relationship Id="rId415" Type="http://schemas.openxmlformats.org/officeDocument/2006/relationships/footer" Target="footer382.xml"/><Relationship Id="rId416" Type="http://schemas.openxmlformats.org/officeDocument/2006/relationships/footer" Target="footer383.xml"/><Relationship Id="rId417" Type="http://schemas.openxmlformats.org/officeDocument/2006/relationships/footer" Target="footer384.xml"/><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391.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56962</Words>
  <Characters>263626</Characters>
  <CharactersWithSpaces>318600</CharactersWithSpaces>
  <Paragraphs>2341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2026-08-20T10:15:35Z</dcterms:created>
  <dc:creator>ghaemiyeh.com</dc:creator>
  <dc:description/>
  <dc:language>en-US</dc:language>
  <cp:lastModifiedBy/>
  <dcterms:modified xsi:type="dcterms:W3CDTF">2026-08-20T13:45:48Z</dcterms:modified>
  <cp:revision>1</cp:revision>
  <dc:subject/>
  <dc:title>دراسات علمیة - 18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