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11</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1610_2870459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991612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91614_2870459653">
            <w:r>
              <w:rPr>
                <w:webHidden/>
                <w:rStyle w:val="IndexLink"/>
                <w:rtl w:val="true"/>
              </w:rPr>
              <w:t>الأسس المعتمدة للنشر</w:t>
            </w:r>
            <w:r>
              <w:rPr>
                <w:rStyle w:val="IndexLink"/>
                <w:rtl w:val="true"/>
              </w:rPr>
              <w:tab/>
            </w:r>
            <w:r>
              <w:rPr>
                <w:rStyle w:val="IndexLink"/>
              </w:rPr>
              <w:t>12</w:t>
            </w:r>
          </w:hyperlink>
        </w:p>
        <w:p>
          <w:pPr>
            <w:pStyle w:val="Contents2"/>
            <w:tabs>
              <w:tab w:val="clear" w:pos="8743"/>
              <w:tab w:val="right" w:pos="9026" w:leader="dot"/>
            </w:tabs>
            <w:rPr/>
          </w:pPr>
          <w:hyperlink w:anchor="__RefHeading___Toc2991616_2870459653">
            <w:r>
              <w:rPr>
                <w:webHidden/>
                <w:rStyle w:val="IndexLink"/>
                <w:rtl w:val="true"/>
              </w:rPr>
              <w:t>محتويات العدد</w:t>
            </w:r>
            <w:r>
              <w:rPr>
                <w:rStyle w:val="IndexLink"/>
                <w:rtl w:val="true"/>
              </w:rPr>
              <w:tab/>
            </w:r>
            <w:r>
              <w:rPr>
                <w:rStyle w:val="IndexLink"/>
              </w:rPr>
              <w:t>13</w:t>
            </w:r>
          </w:hyperlink>
        </w:p>
        <w:p>
          <w:pPr>
            <w:pStyle w:val="Contents2"/>
            <w:tabs>
              <w:tab w:val="clear" w:pos="8743"/>
              <w:tab w:val="right" w:pos="9026" w:leader="dot"/>
            </w:tabs>
            <w:rPr/>
          </w:pPr>
          <w:hyperlink w:anchor="__RefHeading___Toc2991618_2870459653">
            <w:r>
              <w:rPr>
                <w:webHidden/>
                <w:rStyle w:val="IndexLink"/>
                <w:rtl w:val="true"/>
              </w:rPr>
              <w:t>الافتتاحية</w:t>
            </w:r>
            <w:r>
              <w:rPr>
                <w:rStyle w:val="IndexLink"/>
                <w:rtl w:val="true"/>
              </w:rPr>
              <w:tab/>
            </w:r>
            <w:r>
              <w:rPr>
                <w:rStyle w:val="IndexLink"/>
              </w:rPr>
              <w:t>15</w:t>
            </w:r>
          </w:hyperlink>
        </w:p>
        <w:p>
          <w:pPr>
            <w:pStyle w:val="Contents2"/>
            <w:tabs>
              <w:tab w:val="clear" w:pos="8743"/>
              <w:tab w:val="right" w:pos="9026" w:leader="dot"/>
            </w:tabs>
            <w:rPr/>
          </w:pPr>
          <w:hyperlink w:anchor="__RefHeading___Toc2991620_2870459653">
            <w:r>
              <w:rPr>
                <w:webHidden/>
                <w:rStyle w:val="IndexLink"/>
                <w:rtl w:val="true"/>
              </w:rPr>
              <w:t>رباعيّة المسافر في المواضع الأربعة</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جاسم الفهدي </w:t>
            </w:r>
            <w:r>
              <w:rPr>
                <w:rStyle w:val="IndexLink"/>
                <w:rtl w:val="true"/>
              </w:rPr>
              <w:t>(</w:t>
            </w:r>
            <w:r>
              <w:rPr>
                <w:rStyle w:val="IndexLink"/>
                <w:rtl w:val="true"/>
              </w:rPr>
              <w:t>دام عزه</w:t>
            </w:r>
            <w:r>
              <w:rPr>
                <w:rStyle w:val="IndexLink"/>
                <w:rtl w:val="true"/>
              </w:rPr>
              <w:t>)</w:t>
              <w:tab/>
            </w:r>
            <w:r>
              <w:rPr>
                <w:rStyle w:val="IndexLink"/>
              </w:rPr>
              <w:t>21</w:t>
            </w:r>
          </w:hyperlink>
        </w:p>
        <w:p>
          <w:pPr>
            <w:pStyle w:val="Contents3"/>
            <w:tabs>
              <w:tab w:val="clear" w:pos="8459"/>
              <w:tab w:val="right" w:pos="9026" w:leader="dot"/>
            </w:tabs>
            <w:rPr/>
          </w:pPr>
          <w:hyperlink w:anchor="__RefHeading___Toc2991622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991624_2870459653">
            <w:r>
              <w:rPr>
                <w:webHidden/>
                <w:rStyle w:val="IndexLink"/>
                <w:rtl w:val="true"/>
              </w:rPr>
              <w:t>تمهيد</w:t>
            </w:r>
            <w:r>
              <w:rPr>
                <w:rStyle w:val="IndexLink"/>
                <w:rtl w:val="true"/>
              </w:rPr>
              <w:tab/>
            </w:r>
            <w:r>
              <w:rPr>
                <w:rStyle w:val="IndexLink"/>
              </w:rPr>
              <w:t>24</w:t>
            </w:r>
          </w:hyperlink>
        </w:p>
        <w:p>
          <w:pPr>
            <w:pStyle w:val="Contents4"/>
            <w:tabs>
              <w:tab w:val="clear" w:pos="8176"/>
              <w:tab w:val="right" w:pos="9026" w:leader="dot"/>
            </w:tabs>
            <w:rPr/>
          </w:pPr>
          <w:hyperlink w:anchor="__RefHeading___Toc2991626_2870459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991628_2870459653">
            <w:r>
              <w:rPr>
                <w:webHidden/>
                <w:rStyle w:val="IndexLink"/>
                <w:rtl w:val="true"/>
              </w:rPr>
              <w:t>الأمر الأوّل</w:t>
            </w:r>
            <w:r>
              <w:rPr>
                <w:rStyle w:val="IndexLink"/>
                <w:rtl w:val="true"/>
              </w:rPr>
              <w:tab/>
            </w:r>
            <w:r>
              <w:rPr>
                <w:rStyle w:val="IndexLink"/>
              </w:rPr>
              <w:t>24</w:t>
            </w:r>
          </w:hyperlink>
        </w:p>
        <w:p>
          <w:pPr>
            <w:pStyle w:val="Contents4"/>
            <w:tabs>
              <w:tab w:val="clear" w:pos="8176"/>
              <w:tab w:val="right" w:pos="9026" w:leader="dot"/>
            </w:tabs>
            <w:rPr/>
          </w:pPr>
          <w:hyperlink w:anchor="__RefHeading___Toc2991630_2870459653">
            <w:r>
              <w:rPr>
                <w:webHidden/>
                <w:rStyle w:val="IndexLink"/>
                <w:rtl w:val="true"/>
              </w:rPr>
              <w:t>الأمر الثاني</w:t>
            </w:r>
            <w:r>
              <w:rPr>
                <w:rStyle w:val="IndexLink"/>
                <w:rtl w:val="true"/>
              </w:rPr>
              <w:tab/>
            </w:r>
            <w:r>
              <w:rPr>
                <w:rStyle w:val="IndexLink"/>
              </w:rPr>
              <w:t>25</w:t>
            </w:r>
          </w:hyperlink>
        </w:p>
        <w:p>
          <w:pPr>
            <w:pStyle w:val="Contents3"/>
            <w:tabs>
              <w:tab w:val="clear" w:pos="8459"/>
              <w:tab w:val="right" w:pos="9026" w:leader="dot"/>
            </w:tabs>
            <w:rPr/>
          </w:pPr>
          <w:hyperlink w:anchor="__RefHeading___Toc2991632_2870459653">
            <w:r>
              <w:rPr>
                <w:webHidden/>
                <w:rStyle w:val="IndexLink"/>
                <w:rtl w:val="true"/>
              </w:rPr>
              <w:t>المقام الأوّل</w:t>
            </w:r>
            <w:r>
              <w:rPr>
                <w:rStyle w:val="IndexLink"/>
                <w:rtl w:val="true"/>
              </w:rPr>
              <w:t xml:space="preserve">: </w:t>
            </w:r>
            <w:r>
              <w:rPr>
                <w:rStyle w:val="IndexLink"/>
                <w:rtl w:val="true"/>
              </w:rPr>
              <w:t>حكم الصلاة الرباعية للمسافر إلى أحد المواضع الأربعة</w:t>
            </w:r>
            <w:r>
              <w:rPr>
                <w:rStyle w:val="IndexLink"/>
                <w:rtl w:val="true"/>
              </w:rPr>
              <w:tab/>
            </w:r>
            <w:r>
              <w:rPr>
                <w:rStyle w:val="IndexLink"/>
              </w:rPr>
              <w:t>29</w:t>
            </w:r>
          </w:hyperlink>
        </w:p>
        <w:p>
          <w:pPr>
            <w:pStyle w:val="Contents4"/>
            <w:tabs>
              <w:tab w:val="clear" w:pos="8176"/>
              <w:tab w:val="right" w:pos="9026" w:leader="dot"/>
            </w:tabs>
            <w:rPr/>
          </w:pPr>
          <w:hyperlink w:anchor="__RefHeading___Toc2991634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991636_2870459653">
            <w:r>
              <w:rPr>
                <w:webHidden/>
                <w:rStyle w:val="IndexLink"/>
                <w:rtl w:val="true"/>
              </w:rPr>
              <w:t>القول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2991638_2870459653">
            <w:r>
              <w:rPr>
                <w:webHidden/>
                <w:rStyle w:val="IndexLink"/>
                <w:rtl w:val="true"/>
              </w:rPr>
              <w:t>القول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2991640_2870459653">
            <w:r>
              <w:rPr>
                <w:webHidden/>
                <w:rStyle w:val="IndexLink"/>
                <w:rtl w:val="true"/>
              </w:rPr>
              <w:t>القول الثالث</w:t>
            </w:r>
            <w:r>
              <w:rPr>
                <w:rStyle w:val="IndexLink"/>
                <w:rtl w:val="true"/>
              </w:rPr>
              <w:tab/>
            </w:r>
            <w:r>
              <w:rPr>
                <w:rStyle w:val="IndexLink"/>
              </w:rPr>
              <w:t>31</w:t>
            </w:r>
          </w:hyperlink>
        </w:p>
        <w:p>
          <w:pPr>
            <w:pStyle w:val="Contents3"/>
            <w:tabs>
              <w:tab w:val="clear" w:pos="8459"/>
              <w:tab w:val="right" w:pos="9026" w:leader="dot"/>
            </w:tabs>
            <w:rPr/>
          </w:pPr>
          <w:hyperlink w:anchor="__RefHeading___Toc2991642_2870459653">
            <w:r>
              <w:rPr>
                <w:webHidden/>
                <w:rStyle w:val="IndexLink"/>
                <w:rtl w:val="true"/>
              </w:rPr>
              <w:t>الروايات الواردة في المقام</w:t>
            </w:r>
            <w:r>
              <w:rPr>
                <w:rStyle w:val="IndexLink"/>
                <w:rtl w:val="true"/>
              </w:rPr>
              <w:tab/>
            </w:r>
            <w:r>
              <w:rPr>
                <w:rStyle w:val="IndexLink"/>
              </w:rPr>
              <w:t>34</w:t>
            </w:r>
          </w:hyperlink>
        </w:p>
        <w:p>
          <w:pPr>
            <w:pStyle w:val="Contents4"/>
            <w:tabs>
              <w:tab w:val="clear" w:pos="8176"/>
              <w:tab w:val="right" w:pos="9026" w:leader="dot"/>
            </w:tabs>
            <w:rPr/>
          </w:pPr>
          <w:hyperlink w:anchor="__RefHeading___Toc2991644_287045965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991646_2870459653">
            <w:r>
              <w:rPr>
                <w:webHidden/>
                <w:rStyle w:val="IndexLink"/>
                <w:rtl w:val="true"/>
              </w:rPr>
              <w:t>الطائفة الأولى الدالة على التخيير</w:t>
            </w:r>
            <w:r>
              <w:rPr>
                <w:rStyle w:val="IndexLink"/>
                <w:rtl w:val="true"/>
              </w:rPr>
              <w:tab/>
            </w:r>
            <w:r>
              <w:rPr>
                <w:rStyle w:val="IndexLink"/>
              </w:rPr>
              <w:t>34</w:t>
            </w:r>
          </w:hyperlink>
        </w:p>
        <w:p>
          <w:pPr>
            <w:pStyle w:val="Contents4"/>
            <w:tabs>
              <w:tab w:val="clear" w:pos="8176"/>
              <w:tab w:val="right" w:pos="9026" w:leader="dot"/>
            </w:tabs>
            <w:rPr/>
          </w:pPr>
          <w:hyperlink w:anchor="__RefHeading___Toc2991648_2870459653">
            <w:r>
              <w:rPr>
                <w:webHidden/>
                <w:rStyle w:val="IndexLink"/>
                <w:rtl w:val="true"/>
              </w:rPr>
              <w:t>الطائفة الثانية الظاهرة في تعيّن التمام</w:t>
            </w:r>
            <w:r>
              <w:rPr>
                <w:rStyle w:val="IndexLink"/>
                <w:rtl w:val="true"/>
              </w:rPr>
              <w:tab/>
            </w:r>
            <w:r>
              <w:rPr>
                <w:rStyle w:val="IndexLink"/>
              </w:rPr>
              <w:t>36</w:t>
            </w:r>
          </w:hyperlink>
        </w:p>
        <w:p>
          <w:pPr>
            <w:pStyle w:val="Contents4"/>
            <w:tabs>
              <w:tab w:val="clear" w:pos="8176"/>
              <w:tab w:val="right" w:pos="9026" w:leader="dot"/>
            </w:tabs>
            <w:rPr/>
          </w:pPr>
          <w:hyperlink w:anchor="__RefHeading___Toc2991650_2870459653">
            <w:r>
              <w:rPr>
                <w:webHidden/>
                <w:rStyle w:val="IndexLink"/>
                <w:rtl w:val="true"/>
              </w:rPr>
              <w:t>الطائفة الثالثة الظاهرة في تعيّن القصر</w:t>
            </w:r>
            <w:r>
              <w:rPr>
                <w:rStyle w:val="IndexLink"/>
                <w:rtl w:val="true"/>
              </w:rPr>
              <w:tab/>
            </w:r>
            <w:r>
              <w:rPr>
                <w:rStyle w:val="IndexLink"/>
              </w:rPr>
              <w:t>42</w:t>
            </w:r>
          </w:hyperlink>
        </w:p>
        <w:p>
          <w:pPr>
            <w:pStyle w:val="Contents2"/>
            <w:tabs>
              <w:tab w:val="clear" w:pos="8743"/>
              <w:tab w:val="right" w:pos="9026" w:leader="dot"/>
            </w:tabs>
            <w:rPr/>
          </w:pPr>
          <w:hyperlink w:anchor="__RefHeading___Toc2991652_2870459653">
            <w:r>
              <w:rPr>
                <w:webHidden/>
                <w:rStyle w:val="IndexLink"/>
                <w:rtl w:val="true"/>
              </w:rPr>
              <w:t xml:space="preserve">شرطيّة الاجتهاد في القضاء بين النّفي والإثبات </w:t>
            </w:r>
            <w:r>
              <w:rPr>
                <w:rStyle w:val="IndexLink"/>
                <w:rtl w:val="true"/>
              </w:rPr>
              <w:t xml:space="preserve">- </w:t>
            </w:r>
            <w:r>
              <w:rPr>
                <w:rStyle w:val="IndexLink"/>
                <w:rtl w:val="true"/>
              </w:rPr>
              <w:t xml:space="preserve">الشَّيخ مشتاق الساعدي </w:t>
            </w:r>
            <w:r>
              <w:rPr>
                <w:rStyle w:val="IndexLink"/>
                <w:rtl w:val="true"/>
              </w:rPr>
              <w:t>(</w:t>
            </w:r>
            <w:r>
              <w:rPr>
                <w:rStyle w:val="IndexLink"/>
                <w:rtl w:val="true"/>
              </w:rPr>
              <w:t>دام عزه</w:t>
            </w:r>
            <w:r>
              <w:rPr>
                <w:rStyle w:val="IndexLink"/>
                <w:rtl w:val="true"/>
              </w:rPr>
              <w:t>)</w:t>
              <w:tab/>
            </w:r>
            <w:r>
              <w:rPr>
                <w:rStyle w:val="IndexLink"/>
              </w:rPr>
              <w:t>69</w:t>
            </w:r>
          </w:hyperlink>
        </w:p>
        <w:p>
          <w:pPr>
            <w:pStyle w:val="Contents3"/>
            <w:tabs>
              <w:tab w:val="clear" w:pos="8459"/>
              <w:tab w:val="right" w:pos="9026" w:leader="dot"/>
            </w:tabs>
            <w:rPr/>
          </w:pPr>
          <w:hyperlink w:anchor="__RefHeading___Toc2991654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991656_2870459653">
            <w:r>
              <w:rPr>
                <w:webHidden/>
                <w:rStyle w:val="IndexLink"/>
                <w:rtl w:val="true"/>
              </w:rPr>
              <w:t>مقدّمة البحث</w:t>
            </w:r>
            <w:r>
              <w:rPr>
                <w:rStyle w:val="IndexLink"/>
                <w:rtl w:val="true"/>
              </w:rPr>
              <w:tab/>
            </w:r>
            <w:r>
              <w:rPr>
                <w:rStyle w:val="IndexLink"/>
              </w:rPr>
              <w:t>71</w:t>
            </w:r>
          </w:hyperlink>
        </w:p>
        <w:p>
          <w:pPr>
            <w:pStyle w:val="Contents3"/>
            <w:tabs>
              <w:tab w:val="clear" w:pos="8459"/>
              <w:tab w:val="right" w:pos="9026" w:leader="dot"/>
            </w:tabs>
            <w:rPr/>
          </w:pPr>
          <w:hyperlink w:anchor="__RefHeading___Toc2991658_2870459653">
            <w:r>
              <w:rPr>
                <w:webHidden/>
                <w:rStyle w:val="IndexLink"/>
                <w:rtl w:val="true"/>
              </w:rPr>
              <w:t>أهمّية القضاء الشرعي</w:t>
            </w:r>
            <w:r>
              <w:rPr>
                <w:rStyle w:val="IndexLink"/>
                <w:rtl w:val="true"/>
              </w:rPr>
              <w:tab/>
            </w:r>
            <w:r>
              <w:rPr>
                <w:rStyle w:val="IndexLink"/>
              </w:rPr>
              <w:t>71</w:t>
            </w:r>
          </w:hyperlink>
        </w:p>
        <w:p>
          <w:pPr>
            <w:pStyle w:val="Contents4"/>
            <w:tabs>
              <w:tab w:val="clear" w:pos="8176"/>
              <w:tab w:val="right" w:pos="9026" w:leader="dot"/>
            </w:tabs>
            <w:rPr/>
          </w:pPr>
          <w:hyperlink w:anchor="__RefHeading___Toc2991660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991662_2870459653">
            <w:r>
              <w:rPr>
                <w:webHidden/>
                <w:rStyle w:val="IndexLink"/>
                <w:rtl w:val="true"/>
              </w:rPr>
              <w:t>المستوى الأوَّل</w:t>
            </w:r>
            <w:r>
              <w:rPr>
                <w:rStyle w:val="IndexLink"/>
                <w:rtl w:val="true"/>
              </w:rPr>
              <w:tab/>
            </w:r>
            <w:r>
              <w:rPr>
                <w:rStyle w:val="IndexLink"/>
              </w:rPr>
              <w:t>72</w:t>
            </w:r>
          </w:hyperlink>
        </w:p>
        <w:p>
          <w:pPr>
            <w:pStyle w:val="Contents4"/>
            <w:tabs>
              <w:tab w:val="clear" w:pos="8176"/>
              <w:tab w:val="right" w:pos="9026" w:leader="dot"/>
            </w:tabs>
            <w:rPr/>
          </w:pPr>
          <w:hyperlink w:anchor="__RefHeading___Toc2991664_2870459653">
            <w:r>
              <w:rPr>
                <w:webHidden/>
                <w:rStyle w:val="IndexLink"/>
                <w:rtl w:val="true"/>
              </w:rPr>
              <w:t>المستوى الثاني</w:t>
            </w:r>
            <w:r>
              <w:rPr>
                <w:rStyle w:val="IndexLink"/>
                <w:rtl w:val="true"/>
              </w:rPr>
              <w:tab/>
            </w:r>
            <w:r>
              <w:rPr>
                <w:rStyle w:val="IndexLink"/>
              </w:rPr>
              <w:t>72</w:t>
            </w:r>
          </w:hyperlink>
        </w:p>
        <w:p>
          <w:pPr>
            <w:pStyle w:val="Contents3"/>
            <w:tabs>
              <w:tab w:val="clear" w:pos="8459"/>
              <w:tab w:val="right" w:pos="9026" w:leader="dot"/>
            </w:tabs>
            <w:rPr/>
          </w:pPr>
          <w:hyperlink w:anchor="__RefHeading___Toc2991666_2870459653">
            <w:r>
              <w:rPr>
                <w:webHidden/>
                <w:rStyle w:val="IndexLink"/>
                <w:rtl w:val="true"/>
              </w:rPr>
              <w:t>الأقوال في المسألة</w:t>
            </w:r>
            <w:r>
              <w:rPr>
                <w:rStyle w:val="IndexLink"/>
                <w:rtl w:val="true"/>
              </w:rPr>
              <w:tab/>
            </w:r>
            <w:r>
              <w:rPr>
                <w:rStyle w:val="IndexLink"/>
              </w:rPr>
              <w:t>73</w:t>
            </w:r>
          </w:hyperlink>
        </w:p>
        <w:p>
          <w:pPr>
            <w:pStyle w:val="Contents4"/>
            <w:tabs>
              <w:tab w:val="clear" w:pos="8176"/>
              <w:tab w:val="right" w:pos="9026" w:leader="dot"/>
            </w:tabs>
            <w:rPr/>
          </w:pPr>
          <w:hyperlink w:anchor="__RefHeading___Toc2991668_2870459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991670_2870459653">
            <w:r>
              <w:rPr>
                <w:webHidden/>
                <w:rStyle w:val="IndexLink"/>
                <w:rtl w:val="true"/>
              </w:rPr>
              <w:t>القول الأوَّل</w:t>
            </w:r>
            <w:r>
              <w:rPr>
                <w:rStyle w:val="IndexLink"/>
                <w:rtl w:val="true"/>
              </w:rPr>
              <w:t xml:space="preserve">: </w:t>
            </w:r>
            <w:r>
              <w:rPr>
                <w:rStyle w:val="IndexLink"/>
                <w:rtl w:val="true"/>
              </w:rPr>
              <w:t>اشتراط الأعلمية</w:t>
            </w:r>
            <w:r>
              <w:rPr>
                <w:rStyle w:val="IndexLink"/>
                <w:rtl w:val="true"/>
              </w:rPr>
              <w:tab/>
            </w:r>
            <w:r>
              <w:rPr>
                <w:rStyle w:val="IndexLink"/>
              </w:rPr>
              <w:t>73</w:t>
            </w:r>
          </w:hyperlink>
        </w:p>
        <w:p>
          <w:pPr>
            <w:pStyle w:val="Contents5"/>
            <w:tabs>
              <w:tab w:val="clear" w:pos="7892"/>
              <w:tab w:val="right" w:pos="9026" w:leader="dot"/>
            </w:tabs>
            <w:rPr/>
          </w:pPr>
          <w:hyperlink w:anchor="__RefHeading___Toc2991672_2870459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991674_2870459653">
            <w:r>
              <w:rPr>
                <w:webHidden/>
                <w:rStyle w:val="IndexLink"/>
                <w:rtl w:val="true"/>
              </w:rPr>
              <w:t>الدليل الأوّل</w:t>
            </w:r>
            <w:r>
              <w:rPr>
                <w:rStyle w:val="IndexLink"/>
                <w:rtl w:val="true"/>
              </w:rPr>
              <w:tab/>
            </w:r>
            <w:r>
              <w:rPr>
                <w:rStyle w:val="IndexLink"/>
              </w:rPr>
              <w:t>75</w:t>
            </w:r>
          </w:hyperlink>
        </w:p>
        <w:p>
          <w:pPr>
            <w:pStyle w:val="Contents5"/>
            <w:tabs>
              <w:tab w:val="clear" w:pos="7892"/>
              <w:tab w:val="right" w:pos="9026" w:leader="dot"/>
            </w:tabs>
            <w:rPr/>
          </w:pPr>
          <w:hyperlink w:anchor="__RefHeading___Toc2991676_2870459653">
            <w:r>
              <w:rPr>
                <w:webHidden/>
                <w:rStyle w:val="IndexLink"/>
                <w:rtl w:val="true"/>
              </w:rPr>
              <w:t>الدليل الثاني</w:t>
            </w:r>
            <w:r>
              <w:rPr>
                <w:rStyle w:val="IndexLink"/>
                <w:rtl w:val="true"/>
              </w:rPr>
              <w:tab/>
            </w:r>
            <w:r>
              <w:rPr>
                <w:rStyle w:val="IndexLink"/>
              </w:rPr>
              <w:t>77</w:t>
            </w:r>
          </w:hyperlink>
        </w:p>
        <w:p>
          <w:pPr>
            <w:pStyle w:val="Contents5"/>
            <w:tabs>
              <w:tab w:val="clear" w:pos="7892"/>
              <w:tab w:val="right" w:pos="9026" w:leader="dot"/>
            </w:tabs>
            <w:rPr/>
          </w:pPr>
          <w:hyperlink w:anchor="__RefHeading___Toc2991678_2870459653">
            <w:r>
              <w:rPr>
                <w:webHidden/>
                <w:rStyle w:val="IndexLink"/>
                <w:rtl w:val="true"/>
              </w:rPr>
              <w:t>الدليل الثالث</w:t>
            </w:r>
            <w:r>
              <w:rPr>
                <w:rStyle w:val="IndexLink"/>
                <w:rtl w:val="true"/>
              </w:rPr>
              <w:tab/>
            </w:r>
            <w:r>
              <w:rPr>
                <w:rStyle w:val="IndexLink"/>
              </w:rPr>
              <w:t>78</w:t>
            </w:r>
          </w:hyperlink>
        </w:p>
        <w:p>
          <w:pPr>
            <w:pStyle w:val="Contents5"/>
            <w:tabs>
              <w:tab w:val="clear" w:pos="7892"/>
              <w:tab w:val="right" w:pos="9026" w:leader="dot"/>
            </w:tabs>
            <w:rPr/>
          </w:pPr>
          <w:hyperlink w:anchor="__RefHeading___Toc2991680_2870459653">
            <w:r>
              <w:rPr>
                <w:webHidden/>
                <w:rStyle w:val="IndexLink"/>
                <w:rtl w:val="true"/>
              </w:rPr>
              <w:t>الدليل الرابع</w:t>
            </w:r>
            <w:r>
              <w:rPr>
                <w:rStyle w:val="IndexLink"/>
                <w:rtl w:val="true"/>
              </w:rPr>
              <w:tab/>
            </w:r>
            <w:r>
              <w:rPr>
                <w:rStyle w:val="IndexLink"/>
              </w:rPr>
              <w:t>78</w:t>
            </w:r>
          </w:hyperlink>
        </w:p>
        <w:p>
          <w:pPr>
            <w:pStyle w:val="Contents5"/>
            <w:tabs>
              <w:tab w:val="clear" w:pos="7892"/>
              <w:tab w:val="right" w:pos="9026" w:leader="dot"/>
            </w:tabs>
            <w:rPr/>
          </w:pPr>
          <w:hyperlink w:anchor="__RefHeading___Toc2991682_2870459653">
            <w:r>
              <w:rPr>
                <w:webHidden/>
                <w:rStyle w:val="IndexLink"/>
                <w:rtl w:val="true"/>
              </w:rPr>
              <w:t>الدليل الخامس</w:t>
            </w:r>
            <w:r>
              <w:rPr>
                <w:rStyle w:val="IndexLink"/>
                <w:rtl w:val="true"/>
              </w:rPr>
              <w:tab/>
            </w:r>
            <w:r>
              <w:rPr>
                <w:rStyle w:val="IndexLink"/>
              </w:rPr>
              <w:t>80</w:t>
            </w:r>
          </w:hyperlink>
        </w:p>
        <w:p>
          <w:pPr>
            <w:pStyle w:val="Contents4"/>
            <w:tabs>
              <w:tab w:val="clear" w:pos="8176"/>
              <w:tab w:val="right" w:pos="9026" w:leader="dot"/>
            </w:tabs>
            <w:rPr/>
          </w:pPr>
          <w:hyperlink w:anchor="__RefHeading___Toc2991684_2870459653">
            <w:r>
              <w:rPr>
                <w:webHidden/>
                <w:rStyle w:val="IndexLink"/>
                <w:rtl w:val="true"/>
              </w:rPr>
              <w:t>القول الثاني</w:t>
            </w:r>
            <w:r>
              <w:rPr>
                <w:rStyle w:val="IndexLink"/>
                <w:rtl w:val="true"/>
              </w:rPr>
              <w:tab/>
            </w:r>
            <w:r>
              <w:rPr>
                <w:rStyle w:val="IndexLink"/>
              </w:rPr>
              <w:t>80</w:t>
            </w:r>
          </w:hyperlink>
        </w:p>
        <w:p>
          <w:pPr>
            <w:pStyle w:val="Contents5"/>
            <w:tabs>
              <w:tab w:val="clear" w:pos="7892"/>
              <w:tab w:val="right" w:pos="9026" w:leader="dot"/>
            </w:tabs>
            <w:rPr/>
          </w:pPr>
          <w:hyperlink w:anchor="__RefHeading___Toc2991686_2870459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991688_2870459653">
            <w:r>
              <w:rPr>
                <w:webHidden/>
                <w:rStyle w:val="IndexLink"/>
                <w:rtl w:val="true"/>
              </w:rPr>
              <w:t>أ</w:t>
            </w:r>
            <w:r>
              <w:rPr>
                <w:rStyle w:val="IndexLink"/>
                <w:rtl w:val="true"/>
              </w:rPr>
              <w:t xml:space="preserve">- </w:t>
            </w:r>
            <w:r>
              <w:rPr>
                <w:rStyle w:val="IndexLink"/>
                <w:rtl w:val="true"/>
              </w:rPr>
              <w:t>اشتراط الاجتهاد المطلق في القاضي</w:t>
            </w:r>
            <w:r>
              <w:rPr>
                <w:rStyle w:val="IndexLink"/>
                <w:rtl w:val="true"/>
              </w:rPr>
              <w:tab/>
            </w:r>
            <w:r>
              <w:rPr>
                <w:rStyle w:val="IndexLink"/>
              </w:rPr>
              <w:t>83</w:t>
            </w:r>
          </w:hyperlink>
        </w:p>
        <w:p>
          <w:pPr>
            <w:pStyle w:val="Contents6"/>
            <w:tabs>
              <w:tab w:val="clear" w:pos="7609"/>
              <w:tab w:val="right" w:pos="9026" w:leader="dot"/>
            </w:tabs>
            <w:rPr/>
          </w:pPr>
          <w:hyperlink w:anchor="__RefHeading___Toc2991690_287045965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2991692_2870459653">
            <w:r>
              <w:rPr>
                <w:webHidden/>
                <w:rStyle w:val="IndexLink"/>
                <w:rtl w:val="true"/>
              </w:rPr>
              <w:t>الدليل الأوَّل</w:t>
            </w:r>
            <w:r>
              <w:rPr>
                <w:rStyle w:val="IndexLink"/>
                <w:rtl w:val="true"/>
              </w:rPr>
              <w:tab/>
            </w:r>
            <w:r>
              <w:rPr>
                <w:rStyle w:val="IndexLink"/>
              </w:rPr>
              <w:t>83</w:t>
            </w:r>
          </w:hyperlink>
        </w:p>
        <w:p>
          <w:pPr>
            <w:pStyle w:val="Contents6"/>
            <w:tabs>
              <w:tab w:val="clear" w:pos="7609"/>
              <w:tab w:val="right" w:pos="9026" w:leader="dot"/>
            </w:tabs>
            <w:rPr/>
          </w:pPr>
          <w:hyperlink w:anchor="__RefHeading___Toc2991694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84</w:t>
            </w:r>
          </w:hyperlink>
        </w:p>
        <w:p>
          <w:pPr>
            <w:pStyle w:val="Contents6"/>
            <w:tabs>
              <w:tab w:val="clear" w:pos="7609"/>
              <w:tab w:val="right" w:pos="9026" w:leader="dot"/>
            </w:tabs>
            <w:rPr/>
          </w:pPr>
          <w:hyperlink w:anchor="__RefHeading___Toc2991696_2870459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2991698_2870459653">
            <w:r>
              <w:rPr>
                <w:webHidden/>
                <w:rStyle w:val="IndexLink"/>
                <w:rtl w:val="true"/>
              </w:rPr>
              <w:t>الرواية الأُولى</w:t>
            </w:r>
            <w:r>
              <w:rPr>
                <w:rStyle w:val="IndexLink"/>
                <w:rtl w:val="true"/>
              </w:rPr>
              <w:tab/>
            </w:r>
            <w:r>
              <w:rPr>
                <w:rStyle w:val="IndexLink"/>
              </w:rPr>
              <w:t>84</w:t>
            </w:r>
          </w:hyperlink>
        </w:p>
        <w:p>
          <w:pPr>
            <w:pStyle w:val="Contents6"/>
            <w:tabs>
              <w:tab w:val="clear" w:pos="7609"/>
              <w:tab w:val="right" w:pos="9026" w:leader="dot"/>
            </w:tabs>
            <w:rPr/>
          </w:pPr>
          <w:hyperlink w:anchor="__RefHeading___Toc2991700_2870459653">
            <w:r>
              <w:rPr>
                <w:webHidden/>
                <w:rStyle w:val="IndexLink"/>
                <w:rtl w:val="true"/>
              </w:rPr>
              <w:t>الرواية الثانية</w:t>
            </w:r>
            <w:r>
              <w:rPr>
                <w:rStyle w:val="IndexLink"/>
                <w:rtl w:val="true"/>
              </w:rPr>
              <w:tab/>
            </w:r>
            <w:r>
              <w:rPr>
                <w:rStyle w:val="IndexLink"/>
              </w:rPr>
              <w:t>86</w:t>
            </w:r>
          </w:hyperlink>
        </w:p>
        <w:p>
          <w:pPr>
            <w:pStyle w:val="Contents6"/>
            <w:tabs>
              <w:tab w:val="clear" w:pos="7609"/>
              <w:tab w:val="right" w:pos="9026" w:leader="dot"/>
            </w:tabs>
            <w:rPr/>
          </w:pPr>
          <w:hyperlink w:anchor="__RefHeading___Toc2991702_2870459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991704_2870459653">
            <w:r>
              <w:rPr>
                <w:webHidden/>
                <w:rStyle w:val="IndexLink"/>
                <w:rtl w:val="true"/>
              </w:rPr>
              <w:t>الجهة الأولى</w:t>
            </w:r>
            <w:r>
              <w:rPr>
                <w:rStyle w:val="IndexLink"/>
                <w:rtl w:val="true"/>
              </w:rPr>
              <w:t xml:space="preserve">: </w:t>
            </w:r>
            <w:r>
              <w:rPr>
                <w:rStyle w:val="IndexLink"/>
                <w:rtl w:val="true"/>
              </w:rPr>
              <w:t>سند الرواية</w:t>
            </w:r>
            <w:r>
              <w:rPr>
                <w:rStyle w:val="IndexLink"/>
                <w:rtl w:val="true"/>
              </w:rPr>
              <w:tab/>
            </w:r>
            <w:r>
              <w:rPr>
                <w:rStyle w:val="IndexLink"/>
              </w:rPr>
              <w:t>87</w:t>
            </w:r>
          </w:hyperlink>
        </w:p>
        <w:p>
          <w:pPr>
            <w:pStyle w:val="Contents6"/>
            <w:tabs>
              <w:tab w:val="clear" w:pos="7609"/>
              <w:tab w:val="right" w:pos="9026" w:leader="dot"/>
            </w:tabs>
            <w:rPr/>
          </w:pPr>
          <w:hyperlink w:anchor="__RefHeading___Toc2991706_2870459653">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991708_2870459653">
            <w:r>
              <w:rPr>
                <w:webHidden/>
                <w:rStyle w:val="IndexLink"/>
                <w:rtl w:val="true"/>
              </w:rPr>
              <w:t>الوجه الأوَّل</w:t>
            </w:r>
            <w:r>
              <w:rPr>
                <w:rStyle w:val="IndexLink"/>
                <w:rtl w:val="true"/>
              </w:rPr>
              <w:tab/>
            </w:r>
            <w:r>
              <w:rPr>
                <w:rStyle w:val="IndexLink"/>
              </w:rPr>
              <w:t>87</w:t>
            </w:r>
          </w:hyperlink>
        </w:p>
        <w:p>
          <w:pPr>
            <w:pStyle w:val="Contents6"/>
            <w:tabs>
              <w:tab w:val="clear" w:pos="7609"/>
              <w:tab w:val="right" w:pos="9026" w:leader="dot"/>
            </w:tabs>
            <w:rPr/>
          </w:pPr>
          <w:hyperlink w:anchor="__RefHeading___Toc2991710_2870459653">
            <w:r>
              <w:rPr>
                <w:webHidden/>
                <w:rStyle w:val="IndexLink"/>
                <w:rtl w:val="true"/>
              </w:rPr>
              <w:t>الوجه الثاني</w:t>
            </w:r>
            <w:r>
              <w:rPr>
                <w:rStyle w:val="IndexLink"/>
                <w:rtl w:val="true"/>
              </w:rPr>
              <w:tab/>
            </w:r>
            <w:r>
              <w:rPr>
                <w:rStyle w:val="IndexLink"/>
              </w:rPr>
              <w:t>87</w:t>
            </w:r>
          </w:hyperlink>
        </w:p>
        <w:p>
          <w:pPr>
            <w:pStyle w:val="Contents6"/>
            <w:tabs>
              <w:tab w:val="clear" w:pos="7609"/>
              <w:tab w:val="right" w:pos="9026" w:leader="dot"/>
            </w:tabs>
            <w:rPr/>
          </w:pPr>
          <w:hyperlink w:anchor="__RefHeading___Toc2991712_2870459653">
            <w:r>
              <w:rPr>
                <w:webHidden/>
                <w:rStyle w:val="IndexLink"/>
                <w:rtl w:val="true"/>
              </w:rPr>
              <w:t>الوجه الثالث</w:t>
            </w:r>
            <w:r>
              <w:rPr>
                <w:rStyle w:val="IndexLink"/>
                <w:rtl w:val="true"/>
              </w:rPr>
              <w:tab/>
            </w:r>
            <w:r>
              <w:rPr>
                <w:rStyle w:val="IndexLink"/>
              </w:rPr>
              <w:t>88</w:t>
            </w:r>
          </w:hyperlink>
        </w:p>
        <w:p>
          <w:pPr>
            <w:pStyle w:val="Contents6"/>
            <w:tabs>
              <w:tab w:val="clear" w:pos="7609"/>
              <w:tab w:val="right" w:pos="9026" w:leader="dot"/>
            </w:tabs>
            <w:rPr/>
          </w:pPr>
          <w:hyperlink w:anchor="__RefHeading___Toc2991714_2870459653">
            <w:r>
              <w:rPr>
                <w:webHidden/>
                <w:rStyle w:val="IndexLink"/>
                <w:rtl w:val="true"/>
              </w:rPr>
              <w:t>الوجه الرابع</w:t>
            </w:r>
            <w:r>
              <w:rPr>
                <w:rStyle w:val="IndexLink"/>
                <w:rtl w:val="true"/>
              </w:rPr>
              <w:tab/>
            </w:r>
            <w:r>
              <w:rPr>
                <w:rStyle w:val="IndexLink"/>
              </w:rPr>
              <w:t>89</w:t>
            </w:r>
          </w:hyperlink>
        </w:p>
        <w:p>
          <w:pPr>
            <w:pStyle w:val="Contents6"/>
            <w:tabs>
              <w:tab w:val="clear" w:pos="7609"/>
              <w:tab w:val="right" w:pos="9026" w:leader="dot"/>
            </w:tabs>
            <w:rPr/>
          </w:pPr>
          <w:hyperlink w:anchor="__RefHeading___Toc2991716_2870459653">
            <w:r>
              <w:rPr>
                <w:webHidden/>
                <w:rStyle w:val="IndexLink"/>
                <w:rtl w:val="true"/>
              </w:rPr>
              <w:t>الوجه الخامس</w:t>
            </w:r>
            <w:r>
              <w:rPr>
                <w:rStyle w:val="IndexLink"/>
                <w:rtl w:val="true"/>
              </w:rPr>
              <w:tab/>
            </w:r>
            <w:r>
              <w:rPr>
                <w:rStyle w:val="IndexLink"/>
              </w:rPr>
              <w:t>89</w:t>
            </w:r>
          </w:hyperlink>
        </w:p>
        <w:p>
          <w:pPr>
            <w:pStyle w:val="Contents6"/>
            <w:tabs>
              <w:tab w:val="clear" w:pos="7609"/>
              <w:tab w:val="right" w:pos="9026" w:leader="dot"/>
            </w:tabs>
            <w:rPr/>
          </w:pPr>
          <w:hyperlink w:anchor="__RefHeading___Toc2991718_2870459653">
            <w:r>
              <w:rPr>
                <w:webHidden/>
                <w:rStyle w:val="IndexLink"/>
                <w:rtl w:val="true"/>
              </w:rPr>
              <w:t>الوجه السادس</w:t>
            </w:r>
            <w:r>
              <w:rPr>
                <w:rStyle w:val="IndexLink"/>
                <w:rtl w:val="true"/>
              </w:rPr>
              <w:tab/>
            </w:r>
            <w:r>
              <w:rPr>
                <w:rStyle w:val="IndexLink"/>
              </w:rPr>
              <w:t>89</w:t>
            </w:r>
          </w:hyperlink>
        </w:p>
        <w:p>
          <w:pPr>
            <w:pStyle w:val="Contents6"/>
            <w:tabs>
              <w:tab w:val="clear" w:pos="7609"/>
              <w:tab w:val="right" w:pos="9026" w:leader="dot"/>
            </w:tabs>
            <w:rPr/>
          </w:pPr>
          <w:hyperlink w:anchor="__RefHeading___Toc2991720_2870459653">
            <w:r>
              <w:rPr>
                <w:webHidden/>
                <w:rStyle w:val="IndexLink"/>
                <w:rtl w:val="true"/>
              </w:rPr>
              <w:t>الجهة الأخرى</w:t>
            </w:r>
            <w:r>
              <w:rPr>
                <w:rStyle w:val="IndexLink"/>
                <w:rtl w:val="true"/>
              </w:rPr>
              <w:t xml:space="preserve">: </w:t>
            </w:r>
            <w:r>
              <w:rPr>
                <w:rStyle w:val="IndexLink"/>
                <w:rtl w:val="true"/>
              </w:rPr>
              <w:t>النقاش في دلالة الرواية</w:t>
            </w:r>
            <w:r>
              <w:rPr>
                <w:rStyle w:val="IndexLink"/>
                <w:rtl w:val="true"/>
              </w:rPr>
              <w:tab/>
            </w:r>
            <w:r>
              <w:rPr>
                <w:rStyle w:val="IndexLink"/>
              </w:rPr>
              <w:t>90</w:t>
            </w:r>
          </w:hyperlink>
        </w:p>
        <w:p>
          <w:pPr>
            <w:pStyle w:val="Contents5"/>
            <w:tabs>
              <w:tab w:val="clear" w:pos="7892"/>
              <w:tab w:val="right" w:pos="9026" w:leader="dot"/>
            </w:tabs>
            <w:rPr/>
          </w:pPr>
          <w:hyperlink w:anchor="__RefHeading___Toc2991722_2870459653">
            <w:r>
              <w:rPr>
                <w:webHidden/>
                <w:rStyle w:val="IndexLink"/>
                <w:rtl w:val="true"/>
              </w:rPr>
              <w:t>ب</w:t>
            </w:r>
            <w:r>
              <w:rPr>
                <w:rStyle w:val="IndexLink"/>
                <w:rtl w:val="true"/>
              </w:rPr>
              <w:t xml:space="preserve">- </w:t>
            </w:r>
            <w:r>
              <w:rPr>
                <w:rStyle w:val="IndexLink"/>
                <w:rtl w:val="true"/>
              </w:rPr>
              <w:t>اشتراط الاجتهاد المتجزئ في القاضي</w:t>
            </w:r>
            <w:r>
              <w:rPr>
                <w:rStyle w:val="IndexLink"/>
                <w:rtl w:val="true"/>
              </w:rPr>
              <w:tab/>
            </w:r>
            <w:r>
              <w:rPr>
                <w:rStyle w:val="IndexLink"/>
              </w:rPr>
              <w:t>91</w:t>
            </w:r>
          </w:hyperlink>
        </w:p>
        <w:p>
          <w:pPr>
            <w:pStyle w:val="Contents4"/>
            <w:tabs>
              <w:tab w:val="clear" w:pos="8176"/>
              <w:tab w:val="right" w:pos="9026" w:leader="dot"/>
            </w:tabs>
            <w:rPr/>
          </w:pPr>
          <w:hyperlink w:anchor="__RefHeading___Toc2991724_2870459653">
            <w:r>
              <w:rPr>
                <w:webHidden/>
                <w:rStyle w:val="IndexLink"/>
                <w:rtl w:val="true"/>
              </w:rPr>
              <w:t>القول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2991726_2870459653">
            <w:r>
              <w:rPr>
                <w:webHidden/>
                <w:rStyle w:val="IndexLink"/>
                <w:rtl w:val="true"/>
              </w:rPr>
              <w:t>القول الرابع</w:t>
            </w:r>
            <w:r>
              <w:rPr>
                <w:rStyle w:val="IndexLink"/>
                <w:rtl w:val="true"/>
              </w:rPr>
              <w:tab/>
            </w:r>
            <w:r>
              <w:rPr>
                <w:rStyle w:val="IndexLink"/>
              </w:rPr>
              <w:t>91</w:t>
            </w:r>
          </w:hyperlink>
        </w:p>
        <w:p>
          <w:pPr>
            <w:pStyle w:val="Contents4"/>
            <w:tabs>
              <w:tab w:val="clear" w:pos="8176"/>
              <w:tab w:val="right" w:pos="9026" w:leader="dot"/>
            </w:tabs>
            <w:rPr/>
          </w:pPr>
          <w:hyperlink w:anchor="__RefHeading___Toc2991728_2870459653">
            <w:r>
              <w:rPr>
                <w:webHidden/>
                <w:rStyle w:val="IndexLink"/>
                <w:rtl w:val="true"/>
              </w:rPr>
              <w:t>القول الخامس</w:t>
            </w:r>
            <w:r>
              <w:rPr>
                <w:rStyle w:val="IndexLink"/>
                <w:rtl w:val="true"/>
              </w:rPr>
              <w:tab/>
            </w:r>
            <w:r>
              <w:rPr>
                <w:rStyle w:val="IndexLink"/>
              </w:rPr>
              <w:t>94</w:t>
            </w:r>
          </w:hyperlink>
        </w:p>
        <w:p>
          <w:pPr>
            <w:pStyle w:val="Contents3"/>
            <w:tabs>
              <w:tab w:val="clear" w:pos="8459"/>
              <w:tab w:val="right" w:pos="9026" w:leader="dot"/>
            </w:tabs>
            <w:rPr/>
          </w:pPr>
          <w:hyperlink w:anchor="__RefHeading___Toc2991730_2870459653">
            <w:r>
              <w:rPr>
                <w:webHidden/>
                <w:rStyle w:val="IndexLink"/>
                <w:rtl w:val="true"/>
              </w:rPr>
              <w:t>المصادر</w:t>
            </w:r>
            <w:r>
              <w:rPr>
                <w:rStyle w:val="IndexLink"/>
                <w:rtl w:val="true"/>
              </w:rPr>
              <w:tab/>
            </w:r>
            <w:r>
              <w:rPr>
                <w:rStyle w:val="IndexLink"/>
              </w:rPr>
              <w:t>98</w:t>
            </w:r>
          </w:hyperlink>
        </w:p>
        <w:p>
          <w:pPr>
            <w:pStyle w:val="Contents2"/>
            <w:tabs>
              <w:tab w:val="clear" w:pos="8743"/>
              <w:tab w:val="right" w:pos="9026" w:leader="dot"/>
            </w:tabs>
            <w:rPr/>
          </w:pPr>
          <w:hyperlink w:anchor="__RefHeading___Toc2991732_2870459653">
            <w:r>
              <w:rPr>
                <w:webHidden/>
                <w:rStyle w:val="IndexLink"/>
                <w:rtl w:val="true"/>
              </w:rPr>
              <w:t>دراسات فقهيّة مقارنة بين قانون الأحوال الشّخصيّة العراقيّ ومشروع قانون الأحوال الشّخصيّة الجعفريّ</w:t>
            </w:r>
            <w:r>
              <w:rPr>
                <w:rStyle w:val="IndexLink"/>
                <w:rtl w:val="true"/>
              </w:rPr>
              <w:t>: (</w:t>
            </w:r>
            <w:r>
              <w:rPr>
                <w:rStyle w:val="IndexLink"/>
                <w:rtl w:val="true"/>
              </w:rPr>
              <w:t>الأحكام العامّة والزّواج أنموذجا</w:t>
            </w:r>
            <w:r>
              <w:rPr>
                <w:rStyle w:val="IndexLink"/>
                <w:rtl w:val="true"/>
              </w:rPr>
              <w:t>) (</w:t>
            </w:r>
            <w:r>
              <w:rPr>
                <w:rStyle w:val="IndexLink"/>
                <w:rtl w:val="true"/>
              </w:rPr>
              <w:t>الحلقة الأولى</w:t>
            </w:r>
            <w:r>
              <w:rPr>
                <w:rStyle w:val="IndexLink"/>
                <w:rtl w:val="true"/>
              </w:rPr>
              <w:t xml:space="preserve">) - </w:t>
            </w:r>
            <w:r>
              <w:rPr>
                <w:rStyle w:val="IndexLink"/>
                <w:rtl w:val="true"/>
              </w:rPr>
              <w:t xml:space="preserve">الشيخ يحيى السعداوي </w:t>
            </w:r>
            <w:r>
              <w:rPr>
                <w:rStyle w:val="IndexLink"/>
                <w:rtl w:val="true"/>
              </w:rPr>
              <w:t>(</w:t>
            </w:r>
            <w:r>
              <w:rPr>
                <w:rStyle w:val="IndexLink"/>
                <w:rtl w:val="true"/>
              </w:rPr>
              <w:t>دام عزه</w:t>
            </w:r>
            <w:r>
              <w:rPr>
                <w:rStyle w:val="IndexLink"/>
                <w:rtl w:val="true"/>
              </w:rPr>
              <w:t>)</w:t>
              <w:tab/>
            </w:r>
            <w:r>
              <w:rPr>
                <w:rStyle w:val="IndexLink"/>
              </w:rPr>
              <w:t>105</w:t>
            </w:r>
          </w:hyperlink>
        </w:p>
        <w:p>
          <w:pPr>
            <w:pStyle w:val="Contents3"/>
            <w:tabs>
              <w:tab w:val="clear" w:pos="8459"/>
              <w:tab w:val="right" w:pos="9026" w:leader="dot"/>
            </w:tabs>
            <w:rPr/>
          </w:pPr>
          <w:hyperlink w:anchor="__RefHeading___Toc2991734_2870459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991736_2870459653">
            <w:r>
              <w:rPr>
                <w:webHidden/>
                <w:rStyle w:val="IndexLink"/>
                <w:rtl w:val="true"/>
              </w:rPr>
              <w:t>المقدّمة</w:t>
            </w:r>
            <w:r>
              <w:rPr>
                <w:rStyle w:val="IndexLink"/>
                <w:rtl w:val="true"/>
              </w:rPr>
              <w:tab/>
            </w:r>
            <w:r>
              <w:rPr>
                <w:rStyle w:val="IndexLink"/>
              </w:rPr>
              <w:t>107</w:t>
            </w:r>
          </w:hyperlink>
        </w:p>
        <w:p>
          <w:pPr>
            <w:pStyle w:val="Contents3"/>
            <w:tabs>
              <w:tab w:val="clear" w:pos="8459"/>
              <w:tab w:val="right" w:pos="9026" w:leader="dot"/>
            </w:tabs>
            <w:rPr/>
          </w:pPr>
          <w:hyperlink w:anchor="__RefHeading___Toc2991738_2870459653">
            <w:r>
              <w:rPr>
                <w:webHidden/>
                <w:rStyle w:val="IndexLink"/>
                <w:rtl w:val="true"/>
              </w:rPr>
              <w:t>المبحث الأوّل</w:t>
            </w:r>
            <w:r>
              <w:rPr>
                <w:rStyle w:val="IndexLink"/>
                <w:rtl w:val="true"/>
              </w:rPr>
              <w:tab/>
            </w:r>
            <w:r>
              <w:rPr>
                <w:rStyle w:val="IndexLink"/>
              </w:rPr>
              <w:t>111</w:t>
            </w:r>
          </w:hyperlink>
        </w:p>
        <w:p>
          <w:pPr>
            <w:pStyle w:val="Contents4"/>
            <w:tabs>
              <w:tab w:val="clear" w:pos="8176"/>
              <w:tab w:val="right" w:pos="9026" w:leader="dot"/>
            </w:tabs>
            <w:rPr/>
          </w:pPr>
          <w:hyperlink w:anchor="__RefHeading___Toc2991740_2870459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2991742_2870459653">
            <w:r>
              <w:rPr>
                <w:webHidden/>
                <w:rStyle w:val="IndexLink"/>
                <w:rtl w:val="true"/>
              </w:rPr>
              <w:t>المطلب الأوّل</w:t>
            </w:r>
            <w:r>
              <w:rPr>
                <w:rStyle w:val="IndexLink"/>
                <w:rtl w:val="true"/>
              </w:rPr>
              <w:t xml:space="preserve">: </w:t>
            </w:r>
            <w:r>
              <w:rPr>
                <w:rStyle w:val="IndexLink"/>
                <w:rtl w:val="true"/>
              </w:rPr>
              <w:t>تأريخ قانون الأحوال الشخصية العراقي وأسباب نشوئه وتعريفه لغةً واصطلاحاً</w:t>
            </w:r>
            <w:r>
              <w:rPr>
                <w:rStyle w:val="IndexLink"/>
                <w:rtl w:val="true"/>
              </w:rPr>
              <w:tab/>
            </w:r>
            <w:r>
              <w:rPr>
                <w:rStyle w:val="IndexLink"/>
              </w:rPr>
              <w:t>111</w:t>
            </w:r>
          </w:hyperlink>
        </w:p>
        <w:p>
          <w:pPr>
            <w:pStyle w:val="Contents5"/>
            <w:tabs>
              <w:tab w:val="clear" w:pos="7892"/>
              <w:tab w:val="right" w:pos="9026" w:leader="dot"/>
            </w:tabs>
            <w:rPr/>
          </w:pPr>
          <w:hyperlink w:anchor="__RefHeading___Toc2991744_2870459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991746_2870459653">
            <w:r>
              <w:rPr>
                <w:webHidden/>
                <w:rStyle w:val="IndexLink"/>
                <w:rtl w:val="true"/>
              </w:rPr>
              <w:t>المقصد الأوّل</w:t>
            </w:r>
            <w:r>
              <w:rPr>
                <w:rStyle w:val="IndexLink"/>
                <w:rtl w:val="true"/>
              </w:rPr>
              <w:t xml:space="preserve">: </w:t>
            </w:r>
            <w:r>
              <w:rPr>
                <w:rStyle w:val="IndexLink"/>
                <w:rtl w:val="true"/>
              </w:rPr>
              <w:t>تأريخ قانون الأحوال الشخصية في العراق وأسباب نشوئه</w:t>
            </w:r>
            <w:r>
              <w:rPr>
                <w:rStyle w:val="IndexLink"/>
                <w:rtl w:val="true"/>
              </w:rPr>
              <w:tab/>
            </w:r>
            <w:r>
              <w:rPr>
                <w:rStyle w:val="IndexLink"/>
              </w:rPr>
              <w:t>111</w:t>
            </w:r>
          </w:hyperlink>
        </w:p>
        <w:p>
          <w:pPr>
            <w:pStyle w:val="Contents5"/>
            <w:tabs>
              <w:tab w:val="clear" w:pos="7892"/>
              <w:tab w:val="right" w:pos="9026" w:leader="dot"/>
            </w:tabs>
            <w:rPr/>
          </w:pPr>
          <w:hyperlink w:anchor="__RefHeading___Toc2991748_2870459653">
            <w:r>
              <w:rPr>
                <w:webHidden/>
                <w:rStyle w:val="IndexLink"/>
                <w:rtl w:val="true"/>
              </w:rPr>
              <w:t>المقصد الآخر</w:t>
            </w:r>
            <w:r>
              <w:rPr>
                <w:rStyle w:val="IndexLink"/>
                <w:rtl w:val="true"/>
              </w:rPr>
              <w:t xml:space="preserve">: </w:t>
            </w:r>
            <w:r>
              <w:rPr>
                <w:rStyle w:val="IndexLink"/>
                <w:rtl w:val="true"/>
              </w:rPr>
              <w:t>تعريف قانون الأحوال الشخصية لغةً واصطلاحاً</w:t>
            </w:r>
            <w:r>
              <w:rPr>
                <w:rStyle w:val="IndexLink"/>
                <w:rtl w:val="true"/>
              </w:rPr>
              <w:tab/>
            </w:r>
            <w:r>
              <w:rPr>
                <w:rStyle w:val="IndexLink"/>
              </w:rPr>
              <w:t>116</w:t>
            </w:r>
          </w:hyperlink>
        </w:p>
        <w:p>
          <w:pPr>
            <w:pStyle w:val="Contents6"/>
            <w:tabs>
              <w:tab w:val="clear" w:pos="7609"/>
              <w:tab w:val="right" w:pos="9026" w:leader="dot"/>
            </w:tabs>
            <w:rPr/>
          </w:pPr>
          <w:hyperlink w:anchor="__RefHeading___Toc2991750_2870459653">
            <w:r>
              <w:rPr>
                <w:webHidden/>
                <w:rStyle w:val="IndexLink"/>
                <w:rtl w:val="true"/>
              </w:rPr>
              <w:t>الفرع الأوّل</w:t>
            </w:r>
            <w:r>
              <w:rPr>
                <w:rStyle w:val="IndexLink"/>
                <w:rtl w:val="true"/>
              </w:rPr>
              <w:t xml:space="preserve">: </w:t>
            </w:r>
            <w:r>
              <w:rPr>
                <w:rStyle w:val="IndexLink"/>
                <w:rtl w:val="true"/>
              </w:rPr>
              <w:t>تعريف الأحوال، والشخصية، والتقنين، والقانون لغةً</w:t>
            </w:r>
            <w:r>
              <w:rPr>
                <w:rStyle w:val="IndexLink"/>
                <w:rtl w:val="true"/>
              </w:rPr>
              <w:tab/>
            </w:r>
            <w:r>
              <w:rPr>
                <w:rStyle w:val="IndexLink"/>
              </w:rPr>
              <w:t>116</w:t>
            </w:r>
          </w:hyperlink>
        </w:p>
        <w:p>
          <w:pPr>
            <w:pStyle w:val="Contents6"/>
            <w:tabs>
              <w:tab w:val="clear" w:pos="7609"/>
              <w:tab w:val="right" w:pos="9026" w:leader="dot"/>
            </w:tabs>
            <w:rPr/>
          </w:pPr>
          <w:hyperlink w:anchor="__RefHeading___Toc2991752_2870459653">
            <w:r>
              <w:rPr>
                <w:webHidden/>
                <w:rStyle w:val="IndexLink"/>
                <w:rtl w:val="true"/>
              </w:rPr>
              <w:t>أوّلاً</w:t>
            </w:r>
            <w:r>
              <w:rPr>
                <w:rStyle w:val="IndexLink"/>
                <w:rtl w:val="true"/>
              </w:rPr>
              <w:t xml:space="preserve">: </w:t>
            </w:r>
            <w:r>
              <w:rPr>
                <w:rStyle w:val="IndexLink"/>
                <w:rtl w:val="true"/>
              </w:rPr>
              <w:t>الأحوال لغةً</w:t>
            </w:r>
            <w:r>
              <w:rPr>
                <w:rStyle w:val="IndexLink"/>
                <w:rtl w:val="true"/>
              </w:rPr>
              <w:tab/>
            </w:r>
            <w:r>
              <w:rPr>
                <w:rStyle w:val="IndexLink"/>
              </w:rPr>
              <w:t>116</w:t>
            </w:r>
          </w:hyperlink>
        </w:p>
        <w:p>
          <w:pPr>
            <w:pStyle w:val="Contents6"/>
            <w:tabs>
              <w:tab w:val="clear" w:pos="7609"/>
              <w:tab w:val="right" w:pos="9026" w:leader="dot"/>
            </w:tabs>
            <w:rPr/>
          </w:pPr>
          <w:hyperlink w:anchor="__RefHeading___Toc2991754_2870459653">
            <w:r>
              <w:rPr>
                <w:webHidden/>
                <w:rStyle w:val="IndexLink"/>
                <w:rtl w:val="true"/>
              </w:rPr>
              <w:t>ثانياً</w:t>
            </w:r>
            <w:r>
              <w:rPr>
                <w:rStyle w:val="IndexLink"/>
                <w:rtl w:val="true"/>
              </w:rPr>
              <w:t xml:space="preserve">: </w:t>
            </w:r>
            <w:r>
              <w:rPr>
                <w:rStyle w:val="IndexLink"/>
                <w:rtl w:val="true"/>
              </w:rPr>
              <w:t>الشخصية لغةً</w:t>
            </w:r>
            <w:r>
              <w:rPr>
                <w:rStyle w:val="IndexLink"/>
                <w:rtl w:val="true"/>
              </w:rPr>
              <w:tab/>
            </w:r>
            <w:r>
              <w:rPr>
                <w:rStyle w:val="IndexLink"/>
              </w:rPr>
              <w:t>117</w:t>
            </w:r>
          </w:hyperlink>
        </w:p>
        <w:p>
          <w:pPr>
            <w:pStyle w:val="Contents6"/>
            <w:tabs>
              <w:tab w:val="clear" w:pos="7609"/>
              <w:tab w:val="right" w:pos="9026" w:leader="dot"/>
            </w:tabs>
            <w:rPr/>
          </w:pPr>
          <w:hyperlink w:anchor="__RefHeading___Toc2991756_2870459653">
            <w:r>
              <w:rPr>
                <w:webHidden/>
                <w:rStyle w:val="IndexLink"/>
                <w:rtl w:val="true"/>
              </w:rPr>
              <w:t>ثالثاً</w:t>
            </w:r>
            <w:r>
              <w:rPr>
                <w:rStyle w:val="IndexLink"/>
                <w:rtl w:val="true"/>
              </w:rPr>
              <w:t xml:space="preserve">: </w:t>
            </w:r>
            <w:r>
              <w:rPr>
                <w:rStyle w:val="IndexLink"/>
                <w:rtl w:val="true"/>
              </w:rPr>
              <w:t>الأحوال الشخصية لغةً</w:t>
            </w:r>
            <w:r>
              <w:rPr>
                <w:rStyle w:val="IndexLink"/>
                <w:rtl w:val="true"/>
              </w:rPr>
              <w:tab/>
            </w:r>
            <w:r>
              <w:rPr>
                <w:rStyle w:val="IndexLink"/>
              </w:rPr>
              <w:t>117</w:t>
            </w:r>
          </w:hyperlink>
        </w:p>
        <w:p>
          <w:pPr>
            <w:pStyle w:val="Contents6"/>
            <w:tabs>
              <w:tab w:val="clear" w:pos="7609"/>
              <w:tab w:val="right" w:pos="9026" w:leader="dot"/>
            </w:tabs>
            <w:rPr/>
          </w:pPr>
          <w:hyperlink w:anchor="__RefHeading___Toc2991758_2870459653">
            <w:r>
              <w:rPr>
                <w:webHidden/>
                <w:rStyle w:val="IndexLink"/>
                <w:rtl w:val="true"/>
              </w:rPr>
              <w:t>رابعاً</w:t>
            </w:r>
            <w:r>
              <w:rPr>
                <w:rStyle w:val="IndexLink"/>
                <w:rtl w:val="true"/>
              </w:rPr>
              <w:t xml:space="preserve">: </w:t>
            </w:r>
            <w:r>
              <w:rPr>
                <w:rStyle w:val="IndexLink"/>
                <w:rtl w:val="true"/>
              </w:rPr>
              <w:t>التقنين لغةً من قنن</w:t>
            </w:r>
            <w:r>
              <w:rPr>
                <w:rStyle w:val="IndexLink"/>
                <w:rtl w:val="true"/>
              </w:rPr>
              <w:tab/>
            </w:r>
            <w:r>
              <w:rPr>
                <w:rStyle w:val="IndexLink"/>
              </w:rPr>
              <w:t>118</w:t>
            </w:r>
          </w:hyperlink>
        </w:p>
        <w:p>
          <w:pPr>
            <w:pStyle w:val="Contents6"/>
            <w:tabs>
              <w:tab w:val="clear" w:pos="7609"/>
              <w:tab w:val="right" w:pos="9026" w:leader="dot"/>
            </w:tabs>
            <w:rPr/>
          </w:pPr>
          <w:hyperlink w:anchor="__RefHeading___Toc2991760_2870459653">
            <w:r>
              <w:rPr>
                <w:webHidden/>
                <w:rStyle w:val="IndexLink"/>
                <w:rtl w:val="true"/>
              </w:rPr>
              <w:t>خامساً</w:t>
            </w:r>
            <w:r>
              <w:rPr>
                <w:rStyle w:val="IndexLink"/>
                <w:rtl w:val="true"/>
              </w:rPr>
              <w:t xml:space="preserve">: </w:t>
            </w:r>
            <w:r>
              <w:rPr>
                <w:rStyle w:val="IndexLink"/>
                <w:rtl w:val="true"/>
              </w:rPr>
              <w:t>القانون لغةً</w:t>
            </w:r>
            <w:r>
              <w:rPr>
                <w:rStyle w:val="IndexLink"/>
                <w:rtl w:val="true"/>
              </w:rPr>
              <w:tab/>
            </w:r>
            <w:r>
              <w:rPr>
                <w:rStyle w:val="IndexLink"/>
              </w:rPr>
              <w:t>118</w:t>
            </w:r>
          </w:hyperlink>
        </w:p>
        <w:p>
          <w:pPr>
            <w:pStyle w:val="Contents6"/>
            <w:tabs>
              <w:tab w:val="clear" w:pos="7609"/>
              <w:tab w:val="right" w:pos="9026" w:leader="dot"/>
            </w:tabs>
            <w:rPr/>
          </w:pPr>
          <w:hyperlink w:anchor="__RefHeading___Toc2991762_2870459653">
            <w:r>
              <w:rPr>
                <w:webHidden/>
                <w:rStyle w:val="IndexLink"/>
                <w:rtl w:val="true"/>
              </w:rPr>
              <w:t>الفرع الثاني</w:t>
            </w:r>
            <w:r>
              <w:rPr>
                <w:rStyle w:val="IndexLink"/>
                <w:rtl w:val="true"/>
              </w:rPr>
              <w:t xml:space="preserve">: </w:t>
            </w:r>
            <w:r>
              <w:rPr>
                <w:rStyle w:val="IndexLink"/>
                <w:rtl w:val="true"/>
              </w:rPr>
              <w:t>تعريف الأحوال الشخصية والتقنين والقانون اصطلاحاً</w:t>
            </w:r>
            <w:r>
              <w:rPr>
                <w:rStyle w:val="IndexLink"/>
                <w:rtl w:val="true"/>
              </w:rPr>
              <w:tab/>
            </w:r>
            <w:r>
              <w:rPr>
                <w:rStyle w:val="IndexLink"/>
              </w:rPr>
              <w:t>119</w:t>
            </w:r>
          </w:hyperlink>
        </w:p>
        <w:p>
          <w:pPr>
            <w:pStyle w:val="Contents6"/>
            <w:tabs>
              <w:tab w:val="clear" w:pos="7609"/>
              <w:tab w:val="right" w:pos="9026" w:leader="dot"/>
            </w:tabs>
            <w:rPr/>
          </w:pPr>
          <w:hyperlink w:anchor="__RefHeading___Toc2991764_2870459653">
            <w:r>
              <w:rPr>
                <w:webHidden/>
                <w:rStyle w:val="IndexLink"/>
                <w:rtl w:val="true"/>
              </w:rPr>
              <w:t>أولاً</w:t>
            </w:r>
            <w:r>
              <w:rPr>
                <w:rStyle w:val="IndexLink"/>
                <w:rtl w:val="true"/>
              </w:rPr>
              <w:t xml:space="preserve">: </w:t>
            </w:r>
            <w:r>
              <w:rPr>
                <w:rStyle w:val="IndexLink"/>
                <w:rtl w:val="true"/>
              </w:rPr>
              <w:t>الأحوال الشخصية اصطلاحاً</w:t>
            </w:r>
            <w:r>
              <w:rPr>
                <w:rStyle w:val="IndexLink"/>
                <w:rtl w:val="true"/>
              </w:rPr>
              <w:tab/>
            </w:r>
            <w:r>
              <w:rPr>
                <w:rStyle w:val="IndexLink"/>
              </w:rPr>
              <w:t>119</w:t>
            </w:r>
          </w:hyperlink>
        </w:p>
        <w:p>
          <w:pPr>
            <w:pStyle w:val="Contents6"/>
            <w:tabs>
              <w:tab w:val="clear" w:pos="7609"/>
              <w:tab w:val="right" w:pos="9026" w:leader="dot"/>
            </w:tabs>
            <w:rPr/>
          </w:pPr>
          <w:hyperlink w:anchor="__RefHeading___Toc2991766_2870459653">
            <w:r>
              <w:rPr>
                <w:webHidden/>
                <w:rStyle w:val="IndexLink"/>
                <w:rtl w:val="true"/>
              </w:rPr>
              <w:t>ثانياً</w:t>
            </w:r>
            <w:r>
              <w:rPr>
                <w:rStyle w:val="IndexLink"/>
                <w:rtl w:val="true"/>
              </w:rPr>
              <w:t xml:space="preserve">: </w:t>
            </w:r>
            <w:r>
              <w:rPr>
                <w:rStyle w:val="IndexLink"/>
                <w:rtl w:val="true"/>
              </w:rPr>
              <w:t>التقنين اصطلاحاً</w:t>
            </w:r>
            <w:r>
              <w:rPr>
                <w:rStyle w:val="IndexLink"/>
                <w:rtl w:val="true"/>
              </w:rPr>
              <w:tab/>
            </w:r>
            <w:r>
              <w:rPr>
                <w:rStyle w:val="IndexLink"/>
              </w:rPr>
              <w:t>119</w:t>
            </w:r>
          </w:hyperlink>
        </w:p>
        <w:p>
          <w:pPr>
            <w:pStyle w:val="Contents6"/>
            <w:tabs>
              <w:tab w:val="clear" w:pos="7609"/>
              <w:tab w:val="right" w:pos="9026" w:leader="dot"/>
            </w:tabs>
            <w:rPr/>
          </w:pPr>
          <w:hyperlink w:anchor="__RefHeading___Toc2991768_2870459653">
            <w:r>
              <w:rPr>
                <w:webHidden/>
                <w:rStyle w:val="IndexLink"/>
                <w:rtl w:val="true"/>
              </w:rPr>
              <w:t>ثالثاً</w:t>
            </w:r>
            <w:r>
              <w:rPr>
                <w:rStyle w:val="IndexLink"/>
                <w:rtl w:val="true"/>
              </w:rPr>
              <w:t xml:space="preserve">: </w:t>
            </w:r>
            <w:r>
              <w:rPr>
                <w:rStyle w:val="IndexLink"/>
                <w:rtl w:val="true"/>
              </w:rPr>
              <w:t>القانون اصطلاحاً</w:t>
            </w:r>
            <w:r>
              <w:rPr>
                <w:rStyle w:val="IndexLink"/>
                <w:rtl w:val="true"/>
              </w:rPr>
              <w:tab/>
            </w:r>
            <w:r>
              <w:rPr>
                <w:rStyle w:val="IndexLink"/>
              </w:rPr>
              <w:t>120</w:t>
            </w:r>
          </w:hyperlink>
        </w:p>
        <w:p>
          <w:pPr>
            <w:pStyle w:val="Contents6"/>
            <w:tabs>
              <w:tab w:val="clear" w:pos="7609"/>
              <w:tab w:val="right" w:pos="9026" w:leader="dot"/>
            </w:tabs>
            <w:rPr/>
          </w:pPr>
          <w:hyperlink w:anchor="__RefHeading___Toc2991770_2870459653">
            <w:r>
              <w:rPr>
                <w:webHidden/>
                <w:rStyle w:val="IndexLink"/>
                <w:rtl w:val="true"/>
              </w:rPr>
              <w:t>الفرع الثالث</w:t>
            </w:r>
            <w:r>
              <w:rPr>
                <w:rStyle w:val="IndexLink"/>
                <w:rtl w:val="true"/>
              </w:rPr>
              <w:t xml:space="preserve">: </w:t>
            </w:r>
            <w:r>
              <w:rPr>
                <w:rStyle w:val="IndexLink"/>
                <w:rtl w:val="true"/>
              </w:rPr>
              <w:t>الفرق بين التدوين والتقنين والقانون</w:t>
            </w:r>
            <w:r>
              <w:rPr>
                <w:rStyle w:val="IndexLink"/>
                <w:rtl w:val="true"/>
              </w:rPr>
              <w:tab/>
            </w:r>
            <w:r>
              <w:rPr>
                <w:rStyle w:val="IndexLink"/>
              </w:rPr>
              <w:t>120</w:t>
            </w:r>
          </w:hyperlink>
        </w:p>
        <w:p>
          <w:pPr>
            <w:pStyle w:val="Contents6"/>
            <w:tabs>
              <w:tab w:val="clear" w:pos="7609"/>
              <w:tab w:val="right" w:pos="9026" w:leader="dot"/>
            </w:tabs>
            <w:rPr/>
          </w:pPr>
          <w:hyperlink w:anchor="__RefHeading___Toc2991772_2870459653">
            <w:r>
              <w:rPr>
                <w:webHidden/>
                <w:rStyle w:val="IndexLink"/>
              </w:rPr>
              <w:t>1</w:t>
            </w:r>
            <w:r>
              <w:rPr>
                <w:rStyle w:val="IndexLink"/>
                <w:rtl w:val="true"/>
              </w:rPr>
              <w:t xml:space="preserve">. </w:t>
            </w:r>
            <w:r>
              <w:rPr>
                <w:rStyle w:val="IndexLink"/>
                <w:rtl w:val="true"/>
              </w:rPr>
              <w:t>الفرق بين التدوين والتقنين</w:t>
            </w:r>
            <w:r>
              <w:rPr>
                <w:rStyle w:val="IndexLink"/>
                <w:rtl w:val="true"/>
              </w:rPr>
              <w:tab/>
            </w:r>
            <w:r>
              <w:rPr>
                <w:rStyle w:val="IndexLink"/>
              </w:rPr>
              <w:t>120</w:t>
            </w:r>
          </w:hyperlink>
        </w:p>
        <w:p>
          <w:pPr>
            <w:pStyle w:val="Contents6"/>
            <w:tabs>
              <w:tab w:val="clear" w:pos="7609"/>
              <w:tab w:val="right" w:pos="9026" w:leader="dot"/>
            </w:tabs>
            <w:rPr/>
          </w:pPr>
          <w:hyperlink w:anchor="__RefHeading___Toc2991774_2870459653">
            <w:r>
              <w:rPr>
                <w:webHidden/>
                <w:rStyle w:val="IndexLink"/>
              </w:rPr>
              <w:t>2</w:t>
            </w:r>
            <w:r>
              <w:rPr>
                <w:rStyle w:val="IndexLink"/>
                <w:rtl w:val="true"/>
              </w:rPr>
              <w:t xml:space="preserve">. </w:t>
            </w:r>
            <w:r>
              <w:rPr>
                <w:rStyle w:val="IndexLink"/>
                <w:rtl w:val="true"/>
              </w:rPr>
              <w:t>الفرق بين التقنين والقانون</w:t>
            </w:r>
            <w:r>
              <w:rPr>
                <w:rStyle w:val="IndexLink"/>
                <w:rtl w:val="true"/>
              </w:rPr>
              <w:tab/>
            </w:r>
            <w:r>
              <w:rPr>
                <w:rStyle w:val="IndexLink"/>
              </w:rPr>
              <w:t>121</w:t>
            </w:r>
          </w:hyperlink>
        </w:p>
        <w:p>
          <w:pPr>
            <w:pStyle w:val="Contents4"/>
            <w:tabs>
              <w:tab w:val="clear" w:pos="8176"/>
              <w:tab w:val="right" w:pos="9026" w:leader="dot"/>
            </w:tabs>
            <w:rPr/>
          </w:pPr>
          <w:hyperlink w:anchor="__RefHeading___Toc2991776_2870459653">
            <w:r>
              <w:rPr>
                <w:webHidden/>
                <w:rStyle w:val="IndexLink"/>
                <w:rtl w:val="true"/>
              </w:rPr>
              <w:t>المطلب الثاني</w:t>
            </w:r>
            <w:r>
              <w:rPr>
                <w:rStyle w:val="IndexLink"/>
                <w:rtl w:val="true"/>
              </w:rPr>
              <w:t xml:space="preserve">: </w:t>
            </w:r>
            <w:r>
              <w:rPr>
                <w:rStyle w:val="IndexLink"/>
                <w:rtl w:val="true"/>
              </w:rPr>
              <w:t>دراسة في الأسس والمباني العامّة لقانوني الأحوال الشخصيّة العراقي والجعفري</w:t>
            </w:r>
            <w:r>
              <w:rPr>
                <w:rStyle w:val="IndexLink"/>
                <w:rtl w:val="true"/>
              </w:rPr>
              <w:tab/>
            </w:r>
            <w:r>
              <w:rPr>
                <w:rStyle w:val="IndexLink"/>
              </w:rPr>
              <w:t>121</w:t>
            </w:r>
          </w:hyperlink>
        </w:p>
        <w:p>
          <w:pPr>
            <w:pStyle w:val="Contents5"/>
            <w:tabs>
              <w:tab w:val="clear" w:pos="7892"/>
              <w:tab w:val="right" w:pos="9026" w:leader="dot"/>
            </w:tabs>
            <w:rPr/>
          </w:pPr>
          <w:hyperlink w:anchor="__RefHeading___Toc2991778_2870459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991780_2870459653">
            <w:r>
              <w:rPr>
                <w:webHidden/>
                <w:rStyle w:val="IndexLink"/>
                <w:rtl w:val="true"/>
              </w:rPr>
              <w:t>المادة الأولى</w:t>
            </w:r>
            <w:r>
              <w:rPr>
                <w:rStyle w:val="IndexLink"/>
                <w:rtl w:val="true"/>
              </w:rPr>
              <w:t xml:space="preserve">: </w:t>
            </w:r>
            <w:r>
              <w:rPr>
                <w:rStyle w:val="IndexLink"/>
                <w:rtl w:val="true"/>
              </w:rPr>
              <w:t>سريان وتطبيق قانون الأحوال الشخصيّة، ومصادر قانون الأحوال الشخصيّة</w:t>
            </w:r>
            <w:r>
              <w:rPr>
                <w:rStyle w:val="IndexLink"/>
                <w:rtl w:val="true"/>
              </w:rPr>
              <w:tab/>
            </w:r>
            <w:r>
              <w:rPr>
                <w:rStyle w:val="IndexLink"/>
              </w:rPr>
              <w:t>121</w:t>
            </w:r>
          </w:hyperlink>
        </w:p>
        <w:p>
          <w:pPr>
            <w:pStyle w:val="Contents6"/>
            <w:tabs>
              <w:tab w:val="clear" w:pos="7609"/>
              <w:tab w:val="right" w:pos="9026" w:leader="dot"/>
            </w:tabs>
            <w:rPr/>
          </w:pPr>
          <w:hyperlink w:anchor="__RefHeading___Toc2991782_2870459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991784_2870459653">
            <w:r>
              <w:rPr>
                <w:webHidden/>
                <w:rStyle w:val="IndexLink"/>
                <w:rtl w:val="true"/>
              </w:rPr>
              <w:t>المقصد الأوّل</w:t>
            </w:r>
            <w:r>
              <w:rPr>
                <w:rStyle w:val="IndexLink"/>
                <w:rtl w:val="true"/>
              </w:rPr>
              <w:t xml:space="preserve">: </w:t>
            </w:r>
            <w:r>
              <w:rPr>
                <w:rStyle w:val="IndexLink"/>
                <w:rtl w:val="true"/>
              </w:rPr>
              <w:t>التقنين أو تدوين الأحكام الشرعية ثبوتاً وإثباتاً</w:t>
            </w:r>
            <w:r>
              <w:rPr>
                <w:rStyle w:val="IndexLink"/>
                <w:rtl w:val="true"/>
              </w:rPr>
              <w:tab/>
            </w:r>
            <w:r>
              <w:rPr>
                <w:rStyle w:val="IndexLink"/>
              </w:rPr>
              <w:t>124</w:t>
            </w:r>
          </w:hyperlink>
        </w:p>
        <w:p>
          <w:pPr>
            <w:pStyle w:val="Contents6"/>
            <w:tabs>
              <w:tab w:val="clear" w:pos="7609"/>
              <w:tab w:val="right" w:pos="9026" w:leader="dot"/>
            </w:tabs>
            <w:rPr/>
          </w:pPr>
          <w:hyperlink w:anchor="__RefHeading___Toc2991786_2870459653">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2991788_2870459653">
            <w:r>
              <w:rPr>
                <w:webHidden/>
                <w:rStyle w:val="IndexLink"/>
                <w:rtl w:val="true"/>
              </w:rPr>
              <w:t>الفرع الأوّل</w:t>
            </w:r>
            <w:r>
              <w:rPr>
                <w:rStyle w:val="IndexLink"/>
                <w:rtl w:val="true"/>
              </w:rPr>
              <w:t xml:space="preserve">: </w:t>
            </w:r>
            <w:r>
              <w:rPr>
                <w:rStyle w:val="IndexLink"/>
                <w:rtl w:val="true"/>
              </w:rPr>
              <w:t>تدوين الأحكام الشرعية وصياغتها في القوانين ثبوتاً</w:t>
            </w:r>
            <w:r>
              <w:rPr>
                <w:rStyle w:val="IndexLink"/>
                <w:rtl w:val="true"/>
              </w:rPr>
              <w:tab/>
            </w:r>
            <w:r>
              <w:rPr>
                <w:rStyle w:val="IndexLink"/>
              </w:rPr>
              <w:t>124</w:t>
            </w:r>
          </w:hyperlink>
        </w:p>
        <w:p>
          <w:pPr>
            <w:pStyle w:val="Contents6"/>
            <w:tabs>
              <w:tab w:val="clear" w:pos="7609"/>
              <w:tab w:val="right" w:pos="9026" w:leader="dot"/>
            </w:tabs>
            <w:rPr/>
          </w:pPr>
          <w:hyperlink w:anchor="__RefHeading___Toc2991790_2870459653">
            <w:r>
              <w:rPr>
                <w:webHidden/>
                <w:rStyle w:val="IndexLink"/>
                <w:rtl w:val="true"/>
              </w:rPr>
              <w:t>الفرع الآخر</w:t>
            </w:r>
            <w:r>
              <w:rPr>
                <w:rStyle w:val="IndexLink"/>
                <w:rtl w:val="true"/>
              </w:rPr>
              <w:t xml:space="preserve">: </w:t>
            </w:r>
            <w:r>
              <w:rPr>
                <w:rStyle w:val="IndexLink"/>
                <w:rtl w:val="true"/>
              </w:rPr>
              <w:t>دراسة فقهية في تدوين الأحكام الشرعية وصياغتها في قوانين إثباتاً نقلاً</w:t>
            </w:r>
            <w:r>
              <w:rPr>
                <w:rStyle w:val="IndexLink"/>
                <w:rtl w:val="true"/>
              </w:rPr>
              <w:tab/>
            </w:r>
            <w:r>
              <w:rPr>
                <w:rStyle w:val="IndexLink"/>
              </w:rPr>
              <w:t>128</w:t>
            </w:r>
          </w:hyperlink>
        </w:p>
        <w:p>
          <w:pPr>
            <w:pStyle w:val="Contents6"/>
            <w:tabs>
              <w:tab w:val="clear" w:pos="7609"/>
              <w:tab w:val="right" w:pos="9026" w:leader="dot"/>
            </w:tabs>
            <w:rPr/>
          </w:pPr>
          <w:hyperlink w:anchor="__RefHeading___Toc2991792_287045965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991794_2870459653">
            <w:r>
              <w:rPr>
                <w:webHidden/>
                <w:rStyle w:val="IndexLink"/>
                <w:rtl w:val="true"/>
              </w:rPr>
              <w:t>الأوّل</w:t>
            </w:r>
            <w:r>
              <w:rPr>
                <w:rStyle w:val="IndexLink"/>
                <w:rtl w:val="true"/>
              </w:rPr>
              <w:t xml:space="preserve">: </w:t>
            </w:r>
            <w:r>
              <w:rPr>
                <w:rStyle w:val="IndexLink"/>
                <w:rtl w:val="true"/>
              </w:rPr>
              <w:t>الرّد حلّا ً</w:t>
            </w:r>
            <w:r>
              <w:rPr>
                <w:rStyle w:val="IndexLink"/>
                <w:rtl w:val="true"/>
              </w:rPr>
              <w:tab/>
            </w:r>
            <w:r>
              <w:rPr>
                <w:rStyle w:val="IndexLink"/>
              </w:rPr>
              <w:t>128</w:t>
            </w:r>
          </w:hyperlink>
        </w:p>
        <w:p>
          <w:pPr>
            <w:pStyle w:val="Contents6"/>
            <w:tabs>
              <w:tab w:val="clear" w:pos="7609"/>
              <w:tab w:val="right" w:pos="9026" w:leader="dot"/>
            </w:tabs>
            <w:rPr/>
          </w:pPr>
          <w:hyperlink w:anchor="__RefHeading___Toc2991796_287045965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991798_2870459653">
            <w:r>
              <w:rPr>
                <w:webHidden/>
                <w:rStyle w:val="IndexLink"/>
              </w:rPr>
              <w:t>1</w:t>
            </w:r>
            <w:r>
              <w:rPr>
                <w:rStyle w:val="IndexLink"/>
                <w:rtl w:val="true"/>
              </w:rPr>
              <w:t xml:space="preserve">. </w:t>
            </w:r>
            <w:r>
              <w:rPr>
                <w:rStyle w:val="IndexLink"/>
                <w:rtl w:val="true"/>
              </w:rPr>
              <w:t>القرآن الكريم</w:t>
            </w:r>
            <w:r>
              <w:rPr>
                <w:rStyle w:val="IndexLink"/>
                <w:rtl w:val="true"/>
              </w:rPr>
              <w:tab/>
            </w:r>
            <w:r>
              <w:rPr>
                <w:rStyle w:val="IndexLink"/>
              </w:rPr>
              <w:t>128</w:t>
            </w:r>
          </w:hyperlink>
        </w:p>
        <w:p>
          <w:pPr>
            <w:pStyle w:val="Contents6"/>
            <w:tabs>
              <w:tab w:val="clear" w:pos="7609"/>
              <w:tab w:val="right" w:pos="9026" w:leader="dot"/>
            </w:tabs>
            <w:rPr/>
          </w:pPr>
          <w:hyperlink w:anchor="__RefHeading___Toc2991800_2870459653">
            <w:r>
              <w:rPr>
                <w:webHidden/>
                <w:rStyle w:val="IndexLink"/>
              </w:rPr>
              <w:t>2</w:t>
            </w:r>
            <w:r>
              <w:rPr>
                <w:rStyle w:val="IndexLink"/>
                <w:rtl w:val="true"/>
              </w:rPr>
              <w:t xml:space="preserve">. </w:t>
            </w:r>
            <w:r>
              <w:rPr>
                <w:rStyle w:val="IndexLink"/>
                <w:rtl w:val="true"/>
              </w:rPr>
              <w:t>السُنَّة الشريفة</w:t>
            </w:r>
            <w:r>
              <w:rPr>
                <w:rStyle w:val="IndexLink"/>
                <w:rtl w:val="true"/>
              </w:rPr>
              <w:tab/>
            </w:r>
            <w:r>
              <w:rPr>
                <w:rStyle w:val="IndexLink"/>
              </w:rPr>
              <w:t>129</w:t>
            </w:r>
          </w:hyperlink>
        </w:p>
        <w:p>
          <w:pPr>
            <w:pStyle w:val="Contents6"/>
            <w:tabs>
              <w:tab w:val="clear" w:pos="7609"/>
              <w:tab w:val="right" w:pos="9026" w:leader="dot"/>
            </w:tabs>
            <w:rPr/>
          </w:pPr>
          <w:hyperlink w:anchor="__RefHeading___Toc2991802_2870459653">
            <w:r>
              <w:rPr>
                <w:webHidden/>
                <w:rStyle w:val="IndexLink"/>
              </w:rPr>
              <w:t>3</w:t>
            </w:r>
            <w:r>
              <w:rPr>
                <w:rStyle w:val="IndexLink"/>
                <w:rtl w:val="true"/>
              </w:rPr>
              <w:t xml:space="preserve">. </w:t>
            </w:r>
            <w:r>
              <w:rPr>
                <w:rStyle w:val="IndexLink"/>
                <w:rtl w:val="true"/>
              </w:rPr>
              <w:t>الإجماع</w:t>
            </w:r>
            <w:r>
              <w:rPr>
                <w:rStyle w:val="IndexLink"/>
                <w:rtl w:val="true"/>
              </w:rPr>
              <w:tab/>
            </w:r>
            <w:r>
              <w:rPr>
                <w:rStyle w:val="IndexLink"/>
              </w:rPr>
              <w:t>130</w:t>
            </w:r>
          </w:hyperlink>
        </w:p>
        <w:p>
          <w:pPr>
            <w:pStyle w:val="Contents6"/>
            <w:tabs>
              <w:tab w:val="clear" w:pos="7609"/>
              <w:tab w:val="right" w:pos="9026" w:leader="dot"/>
            </w:tabs>
            <w:rPr/>
          </w:pPr>
          <w:hyperlink w:anchor="__RefHeading___Toc2991804_2870459653">
            <w:r>
              <w:rPr>
                <w:webHidden/>
                <w:rStyle w:val="IndexLink"/>
                <w:rtl w:val="true"/>
              </w:rPr>
              <w:t>الآخر</w:t>
            </w:r>
            <w:r>
              <w:rPr>
                <w:rStyle w:val="IndexLink"/>
                <w:rtl w:val="true"/>
              </w:rPr>
              <w:t xml:space="preserve">: </w:t>
            </w:r>
            <w:r>
              <w:rPr>
                <w:rStyle w:val="IndexLink"/>
                <w:rtl w:val="true"/>
              </w:rPr>
              <w:t>الردّ على حرمة التقنين نقضاً</w:t>
            </w:r>
            <w:r>
              <w:rPr>
                <w:rStyle w:val="IndexLink"/>
                <w:rtl w:val="true"/>
              </w:rPr>
              <w:tab/>
            </w:r>
            <w:r>
              <w:rPr>
                <w:rStyle w:val="IndexLink"/>
              </w:rPr>
              <w:t>132</w:t>
            </w:r>
          </w:hyperlink>
        </w:p>
        <w:p>
          <w:pPr>
            <w:pStyle w:val="Contents6"/>
            <w:tabs>
              <w:tab w:val="clear" w:pos="7609"/>
              <w:tab w:val="right" w:pos="9026" w:leader="dot"/>
            </w:tabs>
            <w:rPr/>
          </w:pPr>
          <w:hyperlink w:anchor="__RefHeading___Toc2991806_2870459653">
            <w:r>
              <w:rPr>
                <w:webHidden/>
                <w:rStyle w:val="IndexLink"/>
                <w:rtl w:val="true"/>
              </w:rPr>
              <w:t>النتيجة</w:t>
            </w:r>
            <w:r>
              <w:rPr>
                <w:rStyle w:val="IndexLink"/>
                <w:rtl w:val="true"/>
              </w:rPr>
              <w:tab/>
            </w:r>
            <w:r>
              <w:rPr>
                <w:rStyle w:val="IndexLink"/>
              </w:rPr>
              <w:t>134</w:t>
            </w:r>
          </w:hyperlink>
        </w:p>
        <w:p>
          <w:pPr>
            <w:pStyle w:val="Contents6"/>
            <w:tabs>
              <w:tab w:val="clear" w:pos="7609"/>
              <w:tab w:val="right" w:pos="9026" w:leader="dot"/>
            </w:tabs>
            <w:rPr/>
          </w:pPr>
          <w:hyperlink w:anchor="__RefHeading___Toc2991808_2870459653">
            <w:r>
              <w:rPr>
                <w:webHidden/>
                <w:rStyle w:val="IndexLink"/>
                <w:rtl w:val="true"/>
              </w:rPr>
              <w:t>المقصد الآخر</w:t>
            </w:r>
            <w:r>
              <w:rPr>
                <w:rStyle w:val="IndexLink"/>
                <w:rtl w:val="true"/>
              </w:rPr>
              <w:t xml:space="preserve">: </w:t>
            </w:r>
            <w:r>
              <w:rPr>
                <w:rStyle w:val="IndexLink"/>
                <w:rtl w:val="true"/>
              </w:rPr>
              <w:t>دراسة فقهية في التقييد بمذهب معين أو الراجح من الأقوال أو مشهورها، وإلزام القضاة به</w:t>
            </w:r>
            <w:r>
              <w:rPr>
                <w:rStyle w:val="IndexLink"/>
                <w:rtl w:val="true"/>
              </w:rPr>
              <w:tab/>
            </w:r>
            <w:r>
              <w:rPr>
                <w:rStyle w:val="IndexLink"/>
              </w:rPr>
              <w:t>135</w:t>
            </w:r>
          </w:hyperlink>
        </w:p>
        <w:p>
          <w:pPr>
            <w:pStyle w:val="Contents6"/>
            <w:tabs>
              <w:tab w:val="clear" w:pos="7609"/>
              <w:tab w:val="right" w:pos="9026" w:leader="dot"/>
            </w:tabs>
            <w:rPr/>
          </w:pPr>
          <w:hyperlink w:anchor="__RefHeading___Toc2991810_2870459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991812_2870459653">
            <w:r>
              <w:rPr>
                <w:webHidden/>
                <w:rStyle w:val="IndexLink"/>
                <w:rtl w:val="true"/>
              </w:rPr>
              <w:t>الفرع الأوّل</w:t>
            </w:r>
            <w:r>
              <w:rPr>
                <w:rStyle w:val="IndexLink"/>
                <w:rtl w:val="true"/>
              </w:rPr>
              <w:tab/>
            </w:r>
            <w:r>
              <w:rPr>
                <w:rStyle w:val="IndexLink"/>
              </w:rPr>
              <w:t>135</w:t>
            </w:r>
          </w:hyperlink>
        </w:p>
        <w:p>
          <w:pPr>
            <w:pStyle w:val="Contents6"/>
            <w:tabs>
              <w:tab w:val="clear" w:pos="7609"/>
              <w:tab w:val="right" w:pos="9026" w:leader="dot"/>
            </w:tabs>
            <w:rPr/>
          </w:pPr>
          <w:hyperlink w:anchor="__RefHeading___Toc2991814_2870459653">
            <w:r>
              <w:rPr>
                <w:webHidden/>
                <w:rStyle w:val="IndexLink"/>
                <w:rtl w:val="true"/>
              </w:rPr>
              <w:t>الفرع الآخر</w:t>
            </w:r>
            <w:r>
              <w:rPr>
                <w:rStyle w:val="IndexLink"/>
                <w:rtl w:val="true"/>
              </w:rPr>
              <w:t xml:space="preserve">: </w:t>
            </w:r>
            <w:r>
              <w:rPr>
                <w:rStyle w:val="IndexLink"/>
                <w:rtl w:val="true"/>
              </w:rPr>
              <w:t>معالجة التعارض بين المذاهب الفقهية في تقنين الأحكام الشرعية وتدوينها</w:t>
            </w:r>
            <w:r>
              <w:rPr>
                <w:rStyle w:val="IndexLink"/>
                <w:rtl w:val="true"/>
              </w:rPr>
              <w:tab/>
            </w:r>
            <w:r>
              <w:rPr>
                <w:rStyle w:val="IndexLink"/>
              </w:rPr>
              <w:t>141</w:t>
            </w:r>
          </w:hyperlink>
        </w:p>
        <w:p>
          <w:pPr>
            <w:pStyle w:val="Contents2"/>
            <w:tabs>
              <w:tab w:val="clear" w:pos="8743"/>
              <w:tab w:val="right" w:pos="9026" w:leader="dot"/>
            </w:tabs>
            <w:rPr/>
          </w:pPr>
          <w:hyperlink w:anchor="__RefHeading___Toc2991816_2870459653">
            <w:r>
              <w:rPr>
                <w:webHidden/>
                <w:rStyle w:val="IndexLink"/>
                <w:rtl w:val="true"/>
              </w:rPr>
              <w:t xml:space="preserve">تبعيّة المدلول الالتزاميّ للمدلول المطابقيّ في الحجّيّة </w:t>
            </w:r>
            <w:r>
              <w:rPr>
                <w:rStyle w:val="IndexLink"/>
                <w:rtl w:val="true"/>
              </w:rPr>
              <w:t xml:space="preserve">- </w:t>
            </w:r>
            <w:r>
              <w:rPr>
                <w:rStyle w:val="IndexLink"/>
                <w:rtl w:val="true"/>
              </w:rPr>
              <w:t xml:space="preserve">الشيخ إسكندر الجعفري </w:t>
            </w:r>
            <w:r>
              <w:rPr>
                <w:rStyle w:val="IndexLink"/>
                <w:rtl w:val="true"/>
              </w:rPr>
              <w:t>(</w:t>
            </w:r>
            <w:r>
              <w:rPr>
                <w:rStyle w:val="IndexLink"/>
                <w:rtl w:val="true"/>
              </w:rPr>
              <w:t>دام عزه</w:t>
            </w:r>
            <w:r>
              <w:rPr>
                <w:rStyle w:val="IndexLink"/>
                <w:rtl w:val="true"/>
              </w:rPr>
              <w:t>)</w:t>
              <w:tab/>
            </w:r>
            <w:r>
              <w:rPr>
                <w:rStyle w:val="IndexLink"/>
              </w:rPr>
              <w:t>157</w:t>
            </w:r>
          </w:hyperlink>
        </w:p>
        <w:p>
          <w:pPr>
            <w:pStyle w:val="Contents3"/>
            <w:tabs>
              <w:tab w:val="clear" w:pos="8459"/>
              <w:tab w:val="right" w:pos="9026" w:leader="dot"/>
            </w:tabs>
            <w:rPr/>
          </w:pPr>
          <w:hyperlink w:anchor="__RefHeading___Toc2991818_2870459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991820_2870459653">
            <w:r>
              <w:rPr>
                <w:webHidden/>
                <w:rStyle w:val="IndexLink"/>
                <w:rtl w:val="true"/>
              </w:rPr>
              <w:t>المقدّمة</w:t>
            </w:r>
            <w:r>
              <w:rPr>
                <w:rStyle w:val="IndexLink"/>
                <w:rtl w:val="true"/>
              </w:rPr>
              <w:tab/>
            </w:r>
            <w:r>
              <w:rPr>
                <w:rStyle w:val="IndexLink"/>
              </w:rPr>
              <w:t>159</w:t>
            </w:r>
          </w:hyperlink>
        </w:p>
        <w:p>
          <w:pPr>
            <w:pStyle w:val="Contents3"/>
            <w:tabs>
              <w:tab w:val="clear" w:pos="8459"/>
              <w:tab w:val="right" w:pos="9026" w:leader="dot"/>
            </w:tabs>
            <w:rPr/>
          </w:pPr>
          <w:hyperlink w:anchor="__RefHeading___Toc2991822_2870459653">
            <w:r>
              <w:rPr>
                <w:webHidden/>
                <w:rStyle w:val="IndexLink"/>
                <w:rtl w:val="true"/>
              </w:rPr>
              <w:t>البحث الأوَّل</w:t>
            </w:r>
            <w:r>
              <w:rPr>
                <w:rStyle w:val="IndexLink"/>
                <w:rtl w:val="true"/>
              </w:rPr>
              <w:t xml:space="preserve">: </w:t>
            </w:r>
            <w:r>
              <w:rPr>
                <w:rStyle w:val="IndexLink"/>
                <w:rtl w:val="true"/>
              </w:rPr>
              <w:t>تحرير محل النّزاع</w:t>
            </w:r>
            <w:r>
              <w:rPr>
                <w:rStyle w:val="IndexLink"/>
                <w:rtl w:val="true"/>
              </w:rPr>
              <w:tab/>
            </w:r>
            <w:r>
              <w:rPr>
                <w:rStyle w:val="IndexLink"/>
              </w:rPr>
              <w:t>159</w:t>
            </w:r>
          </w:hyperlink>
        </w:p>
        <w:p>
          <w:pPr>
            <w:pStyle w:val="Contents3"/>
            <w:tabs>
              <w:tab w:val="clear" w:pos="8459"/>
              <w:tab w:val="right" w:pos="9026" w:leader="dot"/>
            </w:tabs>
            <w:rPr/>
          </w:pPr>
          <w:hyperlink w:anchor="__RefHeading___Toc2991824_2870459653">
            <w:r>
              <w:rPr>
                <w:webHidden/>
                <w:rStyle w:val="IndexLink"/>
                <w:rtl w:val="true"/>
              </w:rPr>
              <w:t>البحث الثّاني</w:t>
            </w:r>
            <w:r>
              <w:rPr>
                <w:rStyle w:val="IndexLink"/>
                <w:rtl w:val="true"/>
              </w:rPr>
              <w:t xml:space="preserve">: </w:t>
            </w:r>
            <w:r>
              <w:rPr>
                <w:rStyle w:val="IndexLink"/>
                <w:rtl w:val="true"/>
              </w:rPr>
              <w:t>آراء الأعلام في المسألة</w:t>
            </w:r>
            <w:r>
              <w:rPr>
                <w:rStyle w:val="IndexLink"/>
                <w:rtl w:val="true"/>
              </w:rPr>
              <w:tab/>
            </w:r>
            <w:r>
              <w:rPr>
                <w:rStyle w:val="IndexLink"/>
              </w:rPr>
              <w:t>160</w:t>
            </w:r>
          </w:hyperlink>
        </w:p>
        <w:p>
          <w:pPr>
            <w:pStyle w:val="Contents4"/>
            <w:tabs>
              <w:tab w:val="clear" w:pos="8176"/>
              <w:tab w:val="right" w:pos="9026" w:leader="dot"/>
            </w:tabs>
            <w:rPr/>
          </w:pPr>
          <w:hyperlink w:anchor="__RefHeading___Toc2991826_2870459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991828_2870459653">
            <w:r>
              <w:rPr>
                <w:webHidden/>
                <w:rStyle w:val="IndexLink"/>
                <w:rtl w:val="true"/>
              </w:rPr>
              <w:t>الرأي الأوَّل</w:t>
            </w:r>
            <w:r>
              <w:rPr>
                <w:rStyle w:val="IndexLink"/>
                <w:rtl w:val="true"/>
              </w:rPr>
              <w:t xml:space="preserve">: </w:t>
            </w:r>
            <w:r>
              <w:rPr>
                <w:rStyle w:val="IndexLink"/>
                <w:rtl w:val="true"/>
              </w:rPr>
              <w:t>عدم التبعيّة مطلقاّ</w:t>
            </w:r>
            <w:r>
              <w:rPr>
                <w:rStyle w:val="IndexLink"/>
                <w:rtl w:val="true"/>
              </w:rPr>
              <w:t>..</w:t>
              <w:tab/>
            </w:r>
            <w:r>
              <w:rPr>
                <w:rStyle w:val="IndexLink"/>
              </w:rPr>
              <w:t>161</w:t>
            </w:r>
          </w:hyperlink>
        </w:p>
        <w:p>
          <w:pPr>
            <w:pStyle w:val="Contents5"/>
            <w:tabs>
              <w:tab w:val="clear" w:pos="7892"/>
              <w:tab w:val="right" w:pos="9026" w:leader="dot"/>
            </w:tabs>
            <w:rPr/>
          </w:pPr>
          <w:hyperlink w:anchor="__RefHeading___Toc2991830_2870459653">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991832_2870459653">
            <w:r>
              <w:rPr>
                <w:webHidden/>
                <w:rStyle w:val="IndexLink"/>
              </w:rPr>
              <w:t>1</w:t>
            </w:r>
            <w:r>
              <w:rPr>
                <w:rStyle w:val="IndexLink"/>
                <w:rtl w:val="true"/>
              </w:rPr>
              <w:t xml:space="preserve">. </w:t>
            </w:r>
            <w:r>
              <w:rPr>
                <w:rStyle w:val="IndexLink"/>
                <w:rtl w:val="true"/>
              </w:rPr>
              <w:t xml:space="preserve">المحقّق الخراساني </w:t>
            </w:r>
            <w:r>
              <w:rPr>
                <w:rStyle w:val="IndexLink"/>
                <w:rtl w:val="true"/>
              </w:rPr>
              <w:t>(</w:t>
            </w:r>
            <w:r>
              <w:rPr>
                <w:rStyle w:val="IndexLink"/>
                <w:rtl w:val="true"/>
              </w:rPr>
              <w:t>قدس سره</w:t>
            </w:r>
            <w:r>
              <w:rPr>
                <w:rStyle w:val="IndexLink"/>
                <w:rtl w:val="true"/>
              </w:rPr>
              <w:t>)..</w:t>
              <w:tab/>
            </w:r>
            <w:r>
              <w:rPr>
                <w:rStyle w:val="IndexLink"/>
              </w:rPr>
              <w:t>161</w:t>
            </w:r>
          </w:hyperlink>
        </w:p>
        <w:p>
          <w:pPr>
            <w:pStyle w:val="Contents5"/>
            <w:tabs>
              <w:tab w:val="clear" w:pos="7892"/>
              <w:tab w:val="right" w:pos="9026" w:leader="dot"/>
            </w:tabs>
            <w:rPr/>
          </w:pPr>
          <w:hyperlink w:anchor="__RefHeading___Toc2991834_2870459653">
            <w:r>
              <w:rPr>
                <w:webHidden/>
                <w:rStyle w:val="IndexLink"/>
              </w:rPr>
              <w:t>2</w:t>
            </w:r>
            <w:r>
              <w:rPr>
                <w:rStyle w:val="IndexLink"/>
                <w:rtl w:val="true"/>
              </w:rPr>
              <w:t xml:space="preserve">. </w:t>
            </w:r>
            <w:r>
              <w:rPr>
                <w:rStyle w:val="IndexLink"/>
                <w:rtl w:val="true"/>
              </w:rPr>
              <w:t xml:space="preserve">المحقّق العراقي </w:t>
            </w:r>
            <w:r>
              <w:rPr>
                <w:rStyle w:val="IndexLink"/>
                <w:rtl w:val="true"/>
              </w:rPr>
              <w:t>(</w:t>
            </w:r>
            <w:r>
              <w:rPr>
                <w:rStyle w:val="IndexLink"/>
                <w:rtl w:val="true"/>
              </w:rPr>
              <w:t>قدس سره</w:t>
            </w:r>
            <w:r>
              <w:rPr>
                <w:rStyle w:val="IndexLink"/>
                <w:rtl w:val="true"/>
              </w:rPr>
              <w:t>)..</w:t>
              <w:tab/>
            </w:r>
            <w:r>
              <w:rPr>
                <w:rStyle w:val="IndexLink"/>
              </w:rPr>
              <w:t>163</w:t>
            </w:r>
          </w:hyperlink>
        </w:p>
        <w:p>
          <w:pPr>
            <w:pStyle w:val="Contents5"/>
            <w:tabs>
              <w:tab w:val="clear" w:pos="7892"/>
              <w:tab w:val="right" w:pos="9026" w:leader="dot"/>
            </w:tabs>
            <w:rPr/>
          </w:pPr>
          <w:hyperlink w:anchor="__RefHeading___Toc2991836_2870459653">
            <w:r>
              <w:rPr>
                <w:webHidden/>
                <w:rStyle w:val="IndexLink"/>
              </w:rPr>
              <w:t>3</w:t>
            </w:r>
            <w:r>
              <w:rPr>
                <w:rStyle w:val="IndexLink"/>
                <w:rtl w:val="true"/>
              </w:rPr>
              <w:t xml:space="preserve">. </w:t>
            </w:r>
            <w:r>
              <w:rPr>
                <w:rStyle w:val="IndexLink"/>
                <w:rtl w:val="true"/>
              </w:rPr>
              <w:t xml:space="preserve">المحقّق النائيني </w:t>
            </w:r>
            <w:r>
              <w:rPr>
                <w:rStyle w:val="IndexLink"/>
                <w:rtl w:val="true"/>
              </w:rPr>
              <w:t>(</w:t>
            </w:r>
            <w:r>
              <w:rPr>
                <w:rStyle w:val="IndexLink"/>
                <w:rtl w:val="true"/>
              </w:rPr>
              <w:t>قدس سره</w:t>
            </w:r>
            <w:r>
              <w:rPr>
                <w:rStyle w:val="IndexLink"/>
                <w:rtl w:val="true"/>
              </w:rPr>
              <w:t>)..</w:t>
              <w:tab/>
            </w:r>
            <w:r>
              <w:rPr>
                <w:rStyle w:val="IndexLink"/>
              </w:rPr>
              <w:t>164</w:t>
            </w:r>
          </w:hyperlink>
        </w:p>
        <w:p>
          <w:pPr>
            <w:pStyle w:val="Contents5"/>
            <w:tabs>
              <w:tab w:val="clear" w:pos="7892"/>
              <w:tab w:val="right" w:pos="9026" w:leader="dot"/>
            </w:tabs>
            <w:rPr/>
          </w:pPr>
          <w:hyperlink w:anchor="__RefHeading___Toc2991838_2870459653">
            <w:r>
              <w:rPr>
                <w:webHidden/>
                <w:rStyle w:val="IndexLink"/>
              </w:rPr>
              <w:t>4</w:t>
            </w:r>
            <w:r>
              <w:rPr>
                <w:rStyle w:val="IndexLink"/>
                <w:rtl w:val="true"/>
              </w:rPr>
              <w:t xml:space="preserve">. </w:t>
            </w:r>
            <w:r>
              <w:rPr>
                <w:rStyle w:val="IndexLink"/>
                <w:rtl w:val="true"/>
              </w:rPr>
              <w:t xml:space="preserve">السيّد البجنوردي </w:t>
            </w:r>
            <w:r>
              <w:rPr>
                <w:rStyle w:val="IndexLink"/>
                <w:rtl w:val="true"/>
              </w:rPr>
              <w:t>(</w:t>
            </w:r>
            <w:r>
              <w:rPr>
                <w:rStyle w:val="IndexLink"/>
                <w:rtl w:val="true"/>
              </w:rPr>
              <w:t>قدس سره</w:t>
            </w:r>
            <w:r>
              <w:rPr>
                <w:rStyle w:val="IndexLink"/>
                <w:rtl w:val="true"/>
              </w:rPr>
              <w:t>)..</w:t>
              <w:tab/>
            </w:r>
            <w:r>
              <w:rPr>
                <w:rStyle w:val="IndexLink"/>
              </w:rPr>
              <w:t>164</w:t>
            </w:r>
          </w:hyperlink>
        </w:p>
        <w:p>
          <w:pPr>
            <w:pStyle w:val="Contents5"/>
            <w:tabs>
              <w:tab w:val="clear" w:pos="7892"/>
              <w:tab w:val="right" w:pos="9026" w:leader="dot"/>
            </w:tabs>
            <w:rPr/>
          </w:pPr>
          <w:hyperlink w:anchor="__RefHeading___Toc2991840_2870459653">
            <w:r>
              <w:rPr>
                <w:webHidden/>
                <w:rStyle w:val="IndexLink"/>
              </w:rPr>
              <w:t>5</w:t>
            </w:r>
            <w:r>
              <w:rPr>
                <w:rStyle w:val="IndexLink"/>
                <w:rtl w:val="true"/>
              </w:rPr>
              <w:t xml:space="preserve">. </w:t>
            </w:r>
            <w:r>
              <w:rPr>
                <w:rStyle w:val="IndexLink"/>
                <w:rtl w:val="true"/>
              </w:rPr>
              <w:t xml:space="preserve">السّيّد الحكيم </w:t>
            </w:r>
            <w:r>
              <w:rPr>
                <w:rStyle w:val="IndexLink"/>
                <w:rtl w:val="true"/>
              </w:rPr>
              <w:t>(</w:t>
            </w:r>
            <w:r>
              <w:rPr>
                <w:rStyle w:val="IndexLink"/>
                <w:rtl w:val="true"/>
              </w:rPr>
              <w:t>قدس سره</w:t>
            </w:r>
            <w:r>
              <w:rPr>
                <w:rStyle w:val="IndexLink"/>
                <w:rtl w:val="true"/>
              </w:rPr>
              <w:t>)..</w:t>
              <w:tab/>
            </w:r>
            <w:r>
              <w:rPr>
                <w:rStyle w:val="IndexLink"/>
              </w:rPr>
              <w:t>164</w:t>
            </w:r>
          </w:hyperlink>
        </w:p>
        <w:p>
          <w:pPr>
            <w:pStyle w:val="Contents6"/>
            <w:tabs>
              <w:tab w:val="clear" w:pos="7609"/>
              <w:tab w:val="right" w:pos="9026" w:leader="dot"/>
            </w:tabs>
            <w:rPr/>
          </w:pPr>
          <w:hyperlink w:anchor="__RefHeading___Toc2991842_2870459653">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991844_2870459653">
            <w:r>
              <w:rPr>
                <w:webHidden/>
                <w:rStyle w:val="IndexLink"/>
                <w:rtl w:val="true"/>
              </w:rPr>
              <w:t>الإشكال الأوَّل</w:t>
            </w:r>
            <w:r>
              <w:rPr>
                <w:rStyle w:val="IndexLink"/>
                <w:rtl w:val="true"/>
              </w:rPr>
              <w:t xml:space="preserve">: </w:t>
            </w:r>
            <w:r>
              <w:rPr>
                <w:rStyle w:val="IndexLink"/>
                <w:rtl w:val="true"/>
              </w:rPr>
              <w:t xml:space="preserve">ما ذكره المحقّق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نقضاً وحلّا ً</w:t>
            </w:r>
            <w:r>
              <w:rPr>
                <w:rStyle w:val="IndexLink"/>
                <w:rtl w:val="true"/>
              </w:rPr>
              <w:t>..</w:t>
              <w:tab/>
            </w:r>
            <w:r>
              <w:rPr>
                <w:rStyle w:val="IndexLink"/>
              </w:rPr>
              <w:t>166</w:t>
            </w:r>
          </w:hyperlink>
        </w:p>
        <w:p>
          <w:pPr>
            <w:pStyle w:val="Contents6"/>
            <w:tabs>
              <w:tab w:val="clear" w:pos="7609"/>
              <w:tab w:val="right" w:pos="9026" w:leader="dot"/>
            </w:tabs>
            <w:rPr/>
          </w:pPr>
          <w:hyperlink w:anchor="__RefHeading___Toc2991846_2870459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991848_2870459653">
            <w:r>
              <w:rPr>
                <w:webHidden/>
                <w:rStyle w:val="IndexLink"/>
                <w:rtl w:val="true"/>
              </w:rPr>
              <w:t>المورد الأوَّل</w:t>
            </w:r>
            <w:r>
              <w:rPr>
                <w:rStyle w:val="IndexLink"/>
                <w:rtl w:val="true"/>
              </w:rPr>
              <w:tab/>
            </w:r>
            <w:r>
              <w:rPr>
                <w:rStyle w:val="IndexLink"/>
              </w:rPr>
              <w:t>166</w:t>
            </w:r>
          </w:hyperlink>
        </w:p>
        <w:p>
          <w:pPr>
            <w:pStyle w:val="Contents6"/>
            <w:tabs>
              <w:tab w:val="clear" w:pos="7609"/>
              <w:tab w:val="right" w:pos="9026" w:leader="dot"/>
            </w:tabs>
            <w:rPr/>
          </w:pPr>
          <w:hyperlink w:anchor="__RefHeading___Toc2991850_2870459653">
            <w:r>
              <w:rPr>
                <w:webHidden/>
                <w:rStyle w:val="IndexLink"/>
                <w:rtl w:val="true"/>
              </w:rPr>
              <w:t>المورد الثّاني</w:t>
            </w:r>
            <w:r>
              <w:rPr>
                <w:rStyle w:val="IndexLink"/>
                <w:rtl w:val="true"/>
              </w:rPr>
              <w:tab/>
            </w:r>
            <w:r>
              <w:rPr>
                <w:rStyle w:val="IndexLink"/>
              </w:rPr>
              <w:t>167</w:t>
            </w:r>
          </w:hyperlink>
        </w:p>
        <w:p>
          <w:pPr>
            <w:pStyle w:val="Contents6"/>
            <w:tabs>
              <w:tab w:val="clear" w:pos="7609"/>
              <w:tab w:val="right" w:pos="9026" w:leader="dot"/>
            </w:tabs>
            <w:rPr/>
          </w:pPr>
          <w:hyperlink w:anchor="__RefHeading___Toc2991852_2870459653">
            <w:r>
              <w:rPr>
                <w:webHidden/>
                <w:rStyle w:val="IndexLink"/>
                <w:rtl w:val="true"/>
              </w:rPr>
              <w:t>المورد الثالث</w:t>
            </w:r>
            <w:r>
              <w:rPr>
                <w:rStyle w:val="IndexLink"/>
                <w:rtl w:val="true"/>
              </w:rPr>
              <w:tab/>
            </w:r>
            <w:r>
              <w:rPr>
                <w:rStyle w:val="IndexLink"/>
              </w:rPr>
              <w:t>168</w:t>
            </w:r>
          </w:hyperlink>
        </w:p>
        <w:p>
          <w:pPr>
            <w:pStyle w:val="Contents6"/>
            <w:tabs>
              <w:tab w:val="clear" w:pos="7609"/>
              <w:tab w:val="right" w:pos="9026" w:leader="dot"/>
            </w:tabs>
            <w:rPr/>
          </w:pPr>
          <w:hyperlink w:anchor="__RefHeading___Toc2991854_2870459653">
            <w:r>
              <w:rPr>
                <w:webHidden/>
                <w:rStyle w:val="IndexLink"/>
                <w:rtl w:val="true"/>
              </w:rPr>
              <w:t>المورد الرابع</w:t>
            </w:r>
            <w:r>
              <w:rPr>
                <w:rStyle w:val="IndexLink"/>
                <w:rtl w:val="true"/>
              </w:rPr>
              <w:tab/>
            </w:r>
            <w:r>
              <w:rPr>
                <w:rStyle w:val="IndexLink"/>
              </w:rPr>
              <w:t>170</w:t>
            </w:r>
          </w:hyperlink>
        </w:p>
        <w:p>
          <w:pPr>
            <w:pStyle w:val="Contents6"/>
            <w:tabs>
              <w:tab w:val="clear" w:pos="7609"/>
              <w:tab w:val="right" w:pos="9026" w:leader="dot"/>
            </w:tabs>
            <w:rPr/>
          </w:pPr>
          <w:hyperlink w:anchor="__RefHeading___Toc2991856_2870459653">
            <w:r>
              <w:rPr>
                <w:webHidden/>
                <w:rStyle w:val="IndexLink"/>
                <w:rtl w:val="true"/>
              </w:rPr>
              <w:t>الإشكال الثاني</w:t>
            </w:r>
            <w:r>
              <w:rPr>
                <w:rStyle w:val="IndexLink"/>
                <w:rtl w:val="true"/>
              </w:rPr>
              <w:tab/>
            </w:r>
            <w:r>
              <w:rPr>
                <w:rStyle w:val="IndexLink"/>
              </w:rPr>
              <w:t>172</w:t>
            </w:r>
          </w:hyperlink>
        </w:p>
        <w:p>
          <w:pPr>
            <w:pStyle w:val="Contents6"/>
            <w:tabs>
              <w:tab w:val="clear" w:pos="7609"/>
              <w:tab w:val="right" w:pos="9026" w:leader="dot"/>
            </w:tabs>
            <w:rPr/>
          </w:pPr>
          <w:hyperlink w:anchor="__RefHeading___Toc2991858_2870459653">
            <w:r>
              <w:rPr>
                <w:webHidden/>
                <w:rStyle w:val="IndexLink"/>
                <w:rtl w:val="true"/>
              </w:rPr>
              <w:t>الإشكال الثّالث</w:t>
            </w:r>
            <w:r>
              <w:rPr>
                <w:rStyle w:val="IndexLink"/>
                <w:rtl w:val="true"/>
              </w:rPr>
              <w:tab/>
            </w:r>
            <w:r>
              <w:rPr>
                <w:rStyle w:val="IndexLink"/>
              </w:rPr>
              <w:t>174</w:t>
            </w:r>
          </w:hyperlink>
        </w:p>
        <w:p>
          <w:pPr>
            <w:pStyle w:val="Contents4"/>
            <w:tabs>
              <w:tab w:val="clear" w:pos="8176"/>
              <w:tab w:val="right" w:pos="9026" w:leader="dot"/>
            </w:tabs>
            <w:rPr/>
          </w:pPr>
          <w:hyperlink w:anchor="__RefHeading___Toc2991860_2870459653">
            <w:r>
              <w:rPr>
                <w:webHidden/>
                <w:rStyle w:val="IndexLink"/>
                <w:rtl w:val="true"/>
              </w:rPr>
              <w:t>الرأي الثاني</w:t>
            </w:r>
            <w:r>
              <w:rPr>
                <w:rStyle w:val="IndexLink"/>
                <w:rtl w:val="true"/>
              </w:rPr>
              <w:t xml:space="preserve">: </w:t>
            </w:r>
            <w:r>
              <w:rPr>
                <w:rStyle w:val="IndexLink"/>
                <w:rtl w:val="true"/>
              </w:rPr>
              <w:t>التبعيّة مطلقاً</w:t>
            </w:r>
            <w:r>
              <w:rPr>
                <w:rStyle w:val="IndexLink"/>
                <w:rtl w:val="true"/>
              </w:rPr>
              <w:tab/>
            </w:r>
            <w:r>
              <w:rPr>
                <w:rStyle w:val="IndexLink"/>
              </w:rPr>
              <w:t>174</w:t>
            </w:r>
          </w:hyperlink>
        </w:p>
        <w:p>
          <w:pPr>
            <w:pStyle w:val="Contents5"/>
            <w:tabs>
              <w:tab w:val="clear" w:pos="7892"/>
              <w:tab w:val="right" w:pos="9026" w:leader="dot"/>
            </w:tabs>
            <w:rPr/>
          </w:pPr>
          <w:hyperlink w:anchor="__RefHeading___Toc2991862_2870459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991864_2870459653">
            <w:r>
              <w:rPr>
                <w:webHidden/>
                <w:rStyle w:val="IndexLink"/>
              </w:rPr>
              <w:t>1</w:t>
            </w:r>
            <w:r>
              <w:rPr>
                <w:rStyle w:val="IndexLink"/>
                <w:rtl w:val="true"/>
              </w:rPr>
              <w:t>.</w:t>
            </w:r>
            <w:r>
              <w:rPr>
                <w:rStyle w:val="IndexLink"/>
                <w:rtl w:val="true"/>
              </w:rPr>
              <w:t xml:space="preserve">المحقّق النّراقي </w:t>
            </w:r>
            <w:r>
              <w:rPr>
                <w:rStyle w:val="IndexLink"/>
                <w:rtl w:val="true"/>
              </w:rPr>
              <w:t>(</w:t>
            </w:r>
            <w:r>
              <w:rPr>
                <w:rStyle w:val="IndexLink"/>
                <w:rtl w:val="true"/>
              </w:rPr>
              <w:t>قدس سره</w:t>
            </w:r>
            <w:r>
              <w:rPr>
                <w:rStyle w:val="IndexLink"/>
                <w:rtl w:val="true"/>
              </w:rPr>
              <w:t>)..</w:t>
              <w:tab/>
            </w:r>
            <w:r>
              <w:rPr>
                <w:rStyle w:val="IndexLink"/>
              </w:rPr>
              <w:t>175</w:t>
            </w:r>
          </w:hyperlink>
        </w:p>
        <w:p>
          <w:pPr>
            <w:pStyle w:val="Contents5"/>
            <w:tabs>
              <w:tab w:val="clear" w:pos="7892"/>
              <w:tab w:val="right" w:pos="9026" w:leader="dot"/>
            </w:tabs>
            <w:rPr/>
          </w:pPr>
          <w:hyperlink w:anchor="__RefHeading___Toc2991866_2870459653">
            <w:r>
              <w:rPr>
                <w:webHidden/>
                <w:rStyle w:val="IndexLink"/>
              </w:rPr>
              <w:t>2</w:t>
            </w:r>
            <w:r>
              <w:rPr>
                <w:rStyle w:val="IndexLink"/>
                <w:rtl w:val="true"/>
              </w:rPr>
              <w:t>.</w:t>
            </w:r>
            <w:r>
              <w:rPr>
                <w:rStyle w:val="IndexLink"/>
                <w:rtl w:val="true"/>
              </w:rPr>
              <w:t xml:space="preserve">المجدد الميرزا الشّيرازي </w:t>
            </w:r>
            <w:r>
              <w:rPr>
                <w:rStyle w:val="IndexLink"/>
                <w:rtl w:val="true"/>
              </w:rPr>
              <w:t>(</w:t>
            </w:r>
            <w:r>
              <w:rPr>
                <w:rStyle w:val="IndexLink"/>
                <w:rtl w:val="true"/>
              </w:rPr>
              <w:t>قدس سره</w:t>
            </w:r>
            <w:r>
              <w:rPr>
                <w:rStyle w:val="IndexLink"/>
                <w:rtl w:val="true"/>
              </w:rPr>
              <w:t>)..</w:t>
              <w:tab/>
            </w:r>
            <w:r>
              <w:rPr>
                <w:rStyle w:val="IndexLink"/>
              </w:rPr>
              <w:t>176</w:t>
            </w:r>
          </w:hyperlink>
        </w:p>
        <w:p>
          <w:pPr>
            <w:pStyle w:val="Contents5"/>
            <w:tabs>
              <w:tab w:val="clear" w:pos="7892"/>
              <w:tab w:val="right" w:pos="9026" w:leader="dot"/>
            </w:tabs>
            <w:rPr/>
          </w:pPr>
          <w:hyperlink w:anchor="__RefHeading___Toc2991868_2870459653">
            <w:r>
              <w:rPr>
                <w:webHidden/>
                <w:rStyle w:val="IndexLink"/>
              </w:rPr>
              <w:t>3</w:t>
            </w:r>
            <w:r>
              <w:rPr>
                <w:rStyle w:val="IndexLink"/>
                <w:rtl w:val="true"/>
              </w:rPr>
              <w:t xml:space="preserve">. </w:t>
            </w:r>
            <w:r>
              <w:rPr>
                <w:rStyle w:val="IndexLink"/>
                <w:rtl w:val="true"/>
              </w:rPr>
              <w:t xml:space="preserve">المحقّق السّيّد الخوئي </w:t>
            </w:r>
            <w:r>
              <w:rPr>
                <w:rStyle w:val="IndexLink"/>
                <w:rtl w:val="true"/>
              </w:rPr>
              <w:t>(</w:t>
            </w:r>
            <w:r>
              <w:rPr>
                <w:rStyle w:val="IndexLink"/>
                <w:rtl w:val="true"/>
              </w:rPr>
              <w:t>قدس سره</w:t>
            </w:r>
            <w:r>
              <w:rPr>
                <w:rStyle w:val="IndexLink"/>
                <w:rtl w:val="true"/>
              </w:rPr>
              <w:t>)..</w:t>
              <w:tab/>
            </w:r>
            <w:r>
              <w:rPr>
                <w:rStyle w:val="IndexLink"/>
              </w:rPr>
              <w:t>176</w:t>
            </w:r>
          </w:hyperlink>
        </w:p>
        <w:p>
          <w:pPr>
            <w:pStyle w:val="Contents5"/>
            <w:tabs>
              <w:tab w:val="clear" w:pos="7892"/>
              <w:tab w:val="right" w:pos="9026" w:leader="dot"/>
            </w:tabs>
            <w:rPr/>
          </w:pPr>
          <w:hyperlink w:anchor="__RefHeading___Toc2991870_2870459653">
            <w:r>
              <w:rPr>
                <w:webHidden/>
                <w:rStyle w:val="IndexLink"/>
              </w:rPr>
              <w:t>4</w:t>
            </w:r>
            <w:r>
              <w:rPr>
                <w:rStyle w:val="IndexLink"/>
                <w:rtl w:val="true"/>
              </w:rPr>
              <w:t xml:space="preserve">. </w:t>
            </w:r>
            <w:r>
              <w:rPr>
                <w:rStyle w:val="IndexLink"/>
                <w:rtl w:val="true"/>
              </w:rPr>
              <w:t xml:space="preserve">الميرزا التبريزي </w:t>
            </w:r>
            <w:r>
              <w:rPr>
                <w:rStyle w:val="IndexLink"/>
                <w:rtl w:val="true"/>
              </w:rPr>
              <w:t>(</w:t>
            </w:r>
            <w:r>
              <w:rPr>
                <w:rStyle w:val="IndexLink"/>
                <w:rtl w:val="true"/>
              </w:rPr>
              <w:t>قدس سره</w:t>
            </w:r>
            <w:r>
              <w:rPr>
                <w:rStyle w:val="IndexLink"/>
                <w:rtl w:val="true"/>
              </w:rPr>
              <w:t>)..</w:t>
              <w:tab/>
            </w:r>
            <w:r>
              <w:rPr>
                <w:rStyle w:val="IndexLink"/>
              </w:rPr>
              <w:t>176</w:t>
            </w:r>
          </w:hyperlink>
        </w:p>
        <w:p>
          <w:pPr>
            <w:pStyle w:val="Contents6"/>
            <w:tabs>
              <w:tab w:val="clear" w:pos="7609"/>
              <w:tab w:val="right" w:pos="9026" w:leader="dot"/>
            </w:tabs>
            <w:rPr/>
          </w:pPr>
          <w:hyperlink w:anchor="__RefHeading___Toc2991872_2870459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991874_2870459653">
            <w:r>
              <w:rPr>
                <w:webHidden/>
                <w:rStyle w:val="IndexLink"/>
                <w:rtl w:val="true"/>
              </w:rPr>
              <w:t>الدليل الأوَّل</w:t>
            </w:r>
            <w:r>
              <w:rPr>
                <w:rStyle w:val="IndexLink"/>
                <w:rtl w:val="true"/>
              </w:rPr>
              <w:t xml:space="preserve">: </w:t>
            </w:r>
            <w:r>
              <w:rPr>
                <w:rStyle w:val="IndexLink"/>
                <w:rtl w:val="true"/>
              </w:rPr>
              <w:t xml:space="preserve">ما ذكره السّيّد الشّهيد محمَّد باقر الصدر </w:t>
            </w:r>
            <w:r>
              <w:rPr>
                <w:rStyle w:val="IndexLink"/>
                <w:rtl w:val="true"/>
              </w:rPr>
              <w:t>(</w:t>
            </w:r>
            <w:r>
              <w:rPr>
                <w:rStyle w:val="IndexLink"/>
                <w:rtl w:val="true"/>
              </w:rPr>
              <w:t>قدس سره</w:t>
            </w:r>
            <w:r>
              <w:rPr>
                <w:rStyle w:val="IndexLink"/>
                <w:rtl w:val="true"/>
              </w:rPr>
              <w:t xml:space="preserve">) </w:t>
            </w:r>
            <w:r>
              <w:rPr>
                <w:rStyle w:val="IndexLink"/>
                <w:rtl w:val="true"/>
              </w:rPr>
              <w:t>بقوله</w:t>
            </w:r>
            <w:r>
              <w:rPr>
                <w:rStyle w:val="IndexLink"/>
                <w:rtl w:val="true"/>
              </w:rPr>
              <w:tab/>
            </w:r>
            <w:r>
              <w:rPr>
                <w:rStyle w:val="IndexLink"/>
              </w:rPr>
              <w:t>177</w:t>
            </w:r>
          </w:hyperlink>
        </w:p>
        <w:p>
          <w:pPr>
            <w:pStyle w:val="Contents6"/>
            <w:tabs>
              <w:tab w:val="clear" w:pos="7609"/>
              <w:tab w:val="right" w:pos="9026" w:leader="dot"/>
            </w:tabs>
            <w:rPr/>
          </w:pPr>
          <w:hyperlink w:anchor="__RefHeading___Toc2991876_2870459653">
            <w:r>
              <w:rPr>
                <w:webHidden/>
                <w:rStyle w:val="IndexLink"/>
                <w:rtl w:val="true"/>
              </w:rPr>
              <w:t>الدليل الثّاني</w:t>
            </w:r>
            <w:r>
              <w:rPr>
                <w:rStyle w:val="IndexLink"/>
                <w:rtl w:val="true"/>
              </w:rPr>
              <w:t xml:space="preserve">: </w:t>
            </w:r>
            <w:r>
              <w:rPr>
                <w:rStyle w:val="IndexLink"/>
                <w:rtl w:val="true"/>
              </w:rPr>
              <w:t>ما يُستفاد من بعض الكلمات المتقدّمة</w:t>
            </w:r>
            <w:r>
              <w:rPr>
                <w:rStyle w:val="IndexLink"/>
                <w:rtl w:val="true"/>
              </w:rPr>
              <w:tab/>
            </w:r>
            <w:r>
              <w:rPr>
                <w:rStyle w:val="IndexLink"/>
              </w:rPr>
              <w:t>179</w:t>
            </w:r>
          </w:hyperlink>
        </w:p>
        <w:p>
          <w:pPr>
            <w:pStyle w:val="Contents6"/>
            <w:tabs>
              <w:tab w:val="clear" w:pos="7609"/>
              <w:tab w:val="right" w:pos="9026" w:leader="dot"/>
            </w:tabs>
            <w:rPr/>
          </w:pPr>
          <w:hyperlink w:anchor="__RefHeading___Toc2991878_2870459653">
            <w:r>
              <w:rPr>
                <w:webHidden/>
                <w:rStyle w:val="IndexLink"/>
                <w:rtl w:val="true"/>
              </w:rPr>
              <w:t>الدليل الثّالث</w:t>
            </w:r>
            <w:r>
              <w:rPr>
                <w:rStyle w:val="IndexLink"/>
                <w:rtl w:val="true"/>
              </w:rPr>
              <w:t>..</w:t>
              <w:tab/>
            </w:r>
            <w:r>
              <w:rPr>
                <w:rStyle w:val="IndexLink"/>
              </w:rPr>
              <w:t>179</w:t>
            </w:r>
          </w:hyperlink>
        </w:p>
        <w:p>
          <w:pPr>
            <w:pStyle w:val="Contents4"/>
            <w:tabs>
              <w:tab w:val="clear" w:pos="8176"/>
              <w:tab w:val="right" w:pos="9026" w:leader="dot"/>
            </w:tabs>
            <w:rPr/>
          </w:pPr>
          <w:hyperlink w:anchor="__RefHeading___Toc2991880_2870459653">
            <w:r>
              <w:rPr>
                <w:webHidden/>
                <w:rStyle w:val="IndexLink"/>
                <w:rtl w:val="true"/>
              </w:rPr>
              <w:t>الرأي الثالث</w:t>
            </w:r>
            <w:r>
              <w:rPr>
                <w:rStyle w:val="IndexLink"/>
                <w:rtl w:val="true"/>
              </w:rPr>
              <w:t xml:space="preserve">: </w:t>
            </w:r>
            <w:r>
              <w:rPr>
                <w:rStyle w:val="IndexLink"/>
                <w:rtl w:val="true"/>
              </w:rPr>
              <w:t>التفصيل</w:t>
            </w:r>
            <w:r>
              <w:rPr>
                <w:rStyle w:val="IndexLink"/>
                <w:rtl w:val="true"/>
              </w:rPr>
              <w:t>..</w:t>
              <w:tab/>
            </w:r>
            <w:r>
              <w:rPr>
                <w:rStyle w:val="IndexLink"/>
              </w:rPr>
              <w:t>180</w:t>
            </w:r>
          </w:hyperlink>
        </w:p>
        <w:p>
          <w:pPr>
            <w:pStyle w:val="Contents5"/>
            <w:tabs>
              <w:tab w:val="clear" w:pos="7892"/>
              <w:tab w:val="right" w:pos="9026" w:leader="dot"/>
            </w:tabs>
            <w:rPr/>
          </w:pPr>
          <w:hyperlink w:anchor="__RefHeading___Toc2991882_287045965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2991884_2870459653">
            <w:r>
              <w:rPr>
                <w:webHidden/>
                <w:rStyle w:val="IndexLink"/>
                <w:rtl w:val="true"/>
              </w:rPr>
              <w:t>التفصيل الأوَّل</w:t>
            </w:r>
            <w:r>
              <w:rPr>
                <w:rStyle w:val="IndexLink"/>
                <w:rtl w:val="true"/>
              </w:rPr>
              <w:t xml:space="preserve">: </w:t>
            </w:r>
            <w:r>
              <w:rPr>
                <w:rStyle w:val="IndexLink"/>
                <w:rtl w:val="true"/>
              </w:rPr>
              <w:t xml:space="preserve">ما ذهب إليه المحقّق الأصفهاني </w:t>
            </w:r>
            <w:r>
              <w:rPr>
                <w:rStyle w:val="IndexLink"/>
                <w:rtl w:val="true"/>
              </w:rPr>
              <w:t>(</w:t>
            </w:r>
            <w:r>
              <w:rPr>
                <w:rStyle w:val="IndexLink"/>
                <w:rtl w:val="true"/>
              </w:rPr>
              <w:t>قدس سره</w:t>
            </w:r>
            <w:r>
              <w:rPr>
                <w:rStyle w:val="IndexLink"/>
                <w:rtl w:val="true"/>
              </w:rPr>
              <w:t>)..</w:t>
              <w:tab/>
            </w:r>
            <w:r>
              <w:rPr>
                <w:rStyle w:val="IndexLink"/>
              </w:rPr>
              <w:t>180</w:t>
            </w:r>
          </w:hyperlink>
        </w:p>
        <w:p>
          <w:pPr>
            <w:pStyle w:val="Contents5"/>
            <w:tabs>
              <w:tab w:val="clear" w:pos="7892"/>
              <w:tab w:val="right" w:pos="9026" w:leader="dot"/>
            </w:tabs>
            <w:rPr/>
          </w:pPr>
          <w:hyperlink w:anchor="__RefHeading___Toc2991886_2870459653">
            <w:r>
              <w:rPr>
                <w:webHidden/>
                <w:rStyle w:val="IndexLink"/>
                <w:rtl w:val="true"/>
              </w:rPr>
              <w:t>التفصيل الثّاني</w:t>
            </w:r>
            <w:r>
              <w:rPr>
                <w:rStyle w:val="IndexLink"/>
                <w:rtl w:val="true"/>
              </w:rPr>
              <w:tab/>
            </w:r>
            <w:r>
              <w:rPr>
                <w:rStyle w:val="IndexLink"/>
              </w:rPr>
              <w:t>183</w:t>
            </w:r>
          </w:hyperlink>
        </w:p>
        <w:p>
          <w:pPr>
            <w:pStyle w:val="Contents6"/>
            <w:tabs>
              <w:tab w:val="clear" w:pos="7609"/>
              <w:tab w:val="right" w:pos="9026" w:leader="dot"/>
            </w:tabs>
            <w:rPr/>
          </w:pPr>
          <w:hyperlink w:anchor="__RefHeading___Toc2991888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991890_2870459653">
            <w:r>
              <w:rPr>
                <w:webHidden/>
                <w:rStyle w:val="IndexLink"/>
                <w:rtl w:val="true"/>
              </w:rPr>
              <w:t>المثال الأوَّل</w:t>
            </w:r>
            <w:r>
              <w:rPr>
                <w:rStyle w:val="IndexLink"/>
                <w:rtl w:val="true"/>
              </w:rPr>
              <w:t xml:space="preserve">: </w:t>
            </w:r>
            <w:r>
              <w:rPr>
                <w:rStyle w:val="IndexLink"/>
                <w:rtl w:val="true"/>
              </w:rPr>
              <w:t>ما ورد في الإقرار</w:t>
            </w:r>
            <w:r>
              <w:rPr>
                <w:rStyle w:val="IndexLink"/>
                <w:rtl w:val="true"/>
              </w:rPr>
              <w:t>..</w:t>
              <w:tab/>
            </w:r>
            <w:r>
              <w:rPr>
                <w:rStyle w:val="IndexLink"/>
              </w:rPr>
              <w:t>184</w:t>
            </w:r>
          </w:hyperlink>
        </w:p>
        <w:p>
          <w:pPr>
            <w:pStyle w:val="Contents6"/>
            <w:tabs>
              <w:tab w:val="clear" w:pos="7609"/>
              <w:tab w:val="right" w:pos="9026" w:leader="dot"/>
            </w:tabs>
            <w:rPr/>
          </w:pPr>
          <w:hyperlink w:anchor="__RefHeading___Toc2991892_2870459653">
            <w:r>
              <w:rPr>
                <w:webHidden/>
                <w:rStyle w:val="IndexLink"/>
                <w:rtl w:val="true"/>
              </w:rPr>
              <w:t>المثال الآخر</w:t>
            </w:r>
            <w:r>
              <w:rPr>
                <w:rStyle w:val="IndexLink"/>
                <w:rtl w:val="true"/>
              </w:rPr>
              <w:t xml:space="preserve">: </w:t>
            </w:r>
            <w:r>
              <w:rPr>
                <w:rStyle w:val="IndexLink"/>
                <w:rtl w:val="true"/>
              </w:rPr>
              <w:t xml:space="preserve">ما ذكره المحقّق النّراقي </w:t>
            </w:r>
            <w:r>
              <w:rPr>
                <w:rStyle w:val="IndexLink"/>
                <w:rtl w:val="true"/>
              </w:rPr>
              <w:t>(</w:t>
            </w:r>
            <w:r>
              <w:rPr>
                <w:rStyle w:val="IndexLink"/>
                <w:rtl w:val="true"/>
              </w:rPr>
              <w:t>قدس سره</w:t>
            </w:r>
            <w:r>
              <w:rPr>
                <w:rStyle w:val="IndexLink"/>
                <w:rtl w:val="true"/>
              </w:rPr>
              <w:t xml:space="preserve">) </w:t>
            </w:r>
            <w:r>
              <w:rPr>
                <w:rStyle w:val="IndexLink"/>
                <w:rtl w:val="true"/>
              </w:rPr>
              <w:t>في باب الشّهادات من الأمثلة</w:t>
            </w:r>
            <w:r>
              <w:rPr>
                <w:rStyle w:val="IndexLink"/>
                <w:rtl w:val="true"/>
              </w:rPr>
              <w:t>..</w:t>
              <w:tab/>
            </w:r>
            <w:r>
              <w:rPr>
                <w:rStyle w:val="IndexLink"/>
              </w:rPr>
              <w:t>185</w:t>
            </w:r>
          </w:hyperlink>
        </w:p>
        <w:p>
          <w:pPr>
            <w:pStyle w:val="Contents3"/>
            <w:tabs>
              <w:tab w:val="clear" w:pos="8459"/>
              <w:tab w:val="right" w:pos="9026" w:leader="dot"/>
            </w:tabs>
            <w:rPr/>
          </w:pPr>
          <w:hyperlink w:anchor="__RefHeading___Toc2991894_2870459653">
            <w:r>
              <w:rPr>
                <w:webHidden/>
                <w:rStyle w:val="IndexLink"/>
                <w:rtl w:val="true"/>
              </w:rPr>
              <w:t>البحث الثّالث</w:t>
            </w:r>
            <w:r>
              <w:rPr>
                <w:rStyle w:val="IndexLink"/>
                <w:rtl w:val="true"/>
              </w:rPr>
              <w:t xml:space="preserve">: </w:t>
            </w:r>
            <w:r>
              <w:rPr>
                <w:rStyle w:val="IndexLink"/>
                <w:rtl w:val="true"/>
              </w:rPr>
              <w:t>الرأي المختار</w:t>
            </w:r>
            <w:r>
              <w:rPr>
                <w:rStyle w:val="IndexLink"/>
                <w:rtl w:val="true"/>
              </w:rPr>
              <w:t>..</w:t>
              <w:tab/>
            </w:r>
            <w:r>
              <w:rPr>
                <w:rStyle w:val="IndexLink"/>
              </w:rPr>
              <w:t>189</w:t>
            </w:r>
          </w:hyperlink>
        </w:p>
        <w:p>
          <w:pPr>
            <w:pStyle w:val="Contents3"/>
            <w:tabs>
              <w:tab w:val="clear" w:pos="8459"/>
              <w:tab w:val="right" w:pos="9026" w:leader="dot"/>
            </w:tabs>
            <w:rPr/>
          </w:pPr>
          <w:hyperlink w:anchor="__RefHeading___Toc2991896_2870459653">
            <w:r>
              <w:rPr>
                <w:webHidden/>
                <w:rStyle w:val="IndexLink"/>
                <w:rtl w:val="true"/>
              </w:rPr>
              <w:t>المصادر والمراجع</w:t>
            </w:r>
            <w:r>
              <w:rPr>
                <w:rStyle w:val="IndexLink"/>
                <w:rtl w:val="true"/>
              </w:rPr>
              <w:tab/>
            </w:r>
            <w:r>
              <w:rPr>
                <w:rStyle w:val="IndexLink"/>
              </w:rPr>
              <w:t>190</w:t>
            </w:r>
          </w:hyperlink>
        </w:p>
        <w:p>
          <w:pPr>
            <w:pStyle w:val="Contents2"/>
            <w:tabs>
              <w:tab w:val="clear" w:pos="8743"/>
              <w:tab w:val="right" w:pos="9026" w:leader="dot"/>
            </w:tabs>
            <w:rPr/>
          </w:pPr>
          <w:hyperlink w:anchor="__RefHeading___Toc2991898_2870459653">
            <w:r>
              <w:rPr>
                <w:webHidden/>
                <w:rStyle w:val="IndexLink"/>
                <w:rtl w:val="true"/>
              </w:rPr>
              <w:t xml:space="preserve">جعل الأمارة وثمرات تتميم الكشف </w:t>
            </w:r>
            <w:r>
              <w:rPr>
                <w:rStyle w:val="IndexLink"/>
                <w:rtl w:val="true"/>
              </w:rPr>
              <w:t xml:space="preserve">- </w:t>
            </w:r>
            <w:r>
              <w:rPr>
                <w:rStyle w:val="IndexLink"/>
                <w:rtl w:val="true"/>
              </w:rPr>
              <w:t xml:space="preserve">الشيخ علي العقيلي </w:t>
            </w:r>
            <w:r>
              <w:rPr>
                <w:rStyle w:val="IndexLink"/>
                <w:rtl w:val="true"/>
              </w:rPr>
              <w:t>(</w:t>
            </w:r>
            <w:r>
              <w:rPr>
                <w:rStyle w:val="IndexLink"/>
                <w:rtl w:val="true"/>
              </w:rPr>
              <w:t>دام عزه</w:t>
            </w:r>
            <w:r>
              <w:rPr>
                <w:rStyle w:val="IndexLink"/>
                <w:rtl w:val="true"/>
              </w:rPr>
              <w:t>)</w:t>
              <w:tab/>
            </w:r>
            <w:r>
              <w:rPr>
                <w:rStyle w:val="IndexLink"/>
              </w:rPr>
              <w:t>193</w:t>
            </w:r>
          </w:hyperlink>
        </w:p>
        <w:p>
          <w:pPr>
            <w:pStyle w:val="Contents3"/>
            <w:tabs>
              <w:tab w:val="clear" w:pos="8459"/>
              <w:tab w:val="right" w:pos="9026" w:leader="dot"/>
            </w:tabs>
            <w:rPr/>
          </w:pPr>
          <w:hyperlink w:anchor="__RefHeading___Toc2991900_2870459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2991902_2870459653">
            <w:r>
              <w:rPr>
                <w:webHidden/>
                <w:rStyle w:val="IndexLink"/>
                <w:rtl w:val="true"/>
              </w:rPr>
              <w:t>تمهيد</w:t>
            </w:r>
            <w:r>
              <w:rPr>
                <w:rStyle w:val="IndexLink"/>
                <w:rtl w:val="true"/>
              </w:rPr>
              <w:tab/>
            </w:r>
            <w:r>
              <w:rPr>
                <w:rStyle w:val="IndexLink"/>
              </w:rPr>
              <w:t>195</w:t>
            </w:r>
          </w:hyperlink>
        </w:p>
        <w:p>
          <w:pPr>
            <w:pStyle w:val="Contents3"/>
            <w:tabs>
              <w:tab w:val="clear" w:pos="8459"/>
              <w:tab w:val="right" w:pos="9026" w:leader="dot"/>
            </w:tabs>
            <w:rPr/>
          </w:pPr>
          <w:hyperlink w:anchor="__RefHeading___Toc2991904_2870459653">
            <w:r>
              <w:rPr>
                <w:webHidden/>
                <w:rStyle w:val="IndexLink"/>
                <w:rtl w:val="true"/>
              </w:rPr>
              <w:t>المقدّمة</w:t>
            </w:r>
            <w:r>
              <w:rPr>
                <w:rStyle w:val="IndexLink"/>
                <w:rtl w:val="true"/>
              </w:rPr>
              <w:tab/>
            </w:r>
            <w:r>
              <w:rPr>
                <w:rStyle w:val="IndexLink"/>
              </w:rPr>
              <w:t>197</w:t>
            </w:r>
          </w:hyperlink>
        </w:p>
        <w:p>
          <w:pPr>
            <w:pStyle w:val="Contents3"/>
            <w:tabs>
              <w:tab w:val="clear" w:pos="8459"/>
              <w:tab w:val="right" w:pos="9026" w:leader="dot"/>
            </w:tabs>
            <w:rPr/>
          </w:pPr>
          <w:hyperlink w:anchor="__RefHeading___Toc2991906_2870459653">
            <w:r>
              <w:rPr>
                <w:webHidden/>
                <w:rStyle w:val="IndexLink"/>
                <w:rtl w:val="true"/>
              </w:rPr>
              <w:t>المقام الأوَّل</w:t>
            </w:r>
            <w:r>
              <w:rPr>
                <w:rStyle w:val="IndexLink"/>
                <w:rtl w:val="true"/>
              </w:rPr>
              <w:tab/>
            </w:r>
            <w:r>
              <w:rPr>
                <w:rStyle w:val="IndexLink"/>
              </w:rPr>
              <w:t>199</w:t>
            </w:r>
          </w:hyperlink>
        </w:p>
        <w:p>
          <w:pPr>
            <w:pStyle w:val="Contents4"/>
            <w:tabs>
              <w:tab w:val="clear" w:pos="8176"/>
              <w:tab w:val="right" w:pos="9026" w:leader="dot"/>
            </w:tabs>
            <w:rPr/>
          </w:pPr>
          <w:hyperlink w:anchor="__RefHeading___Toc2991908_2870459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991910_2870459653">
            <w:r>
              <w:rPr>
                <w:webHidden/>
                <w:rStyle w:val="IndexLink"/>
                <w:rtl w:val="true"/>
              </w:rPr>
              <w:t>الرأي الأوّل</w:t>
            </w:r>
            <w:r>
              <w:rPr>
                <w:rStyle w:val="IndexLink"/>
                <w:rtl w:val="true"/>
              </w:rPr>
              <w:t xml:space="preserve">: </w:t>
            </w:r>
            <w:r>
              <w:rPr>
                <w:rStyle w:val="IndexLink"/>
                <w:rtl w:val="true"/>
              </w:rPr>
              <w:t>عدم تضمّن تلك الأدلّة لوجود جعل في البين</w:t>
            </w:r>
            <w:r>
              <w:rPr>
                <w:rStyle w:val="IndexLink"/>
                <w:rtl w:val="true"/>
              </w:rPr>
              <w:tab/>
            </w:r>
            <w:r>
              <w:rPr>
                <w:rStyle w:val="IndexLink"/>
              </w:rPr>
              <w:t>200</w:t>
            </w:r>
          </w:hyperlink>
        </w:p>
        <w:p>
          <w:pPr>
            <w:pStyle w:val="Contents4"/>
            <w:tabs>
              <w:tab w:val="clear" w:pos="8176"/>
              <w:tab w:val="right" w:pos="9026" w:leader="dot"/>
            </w:tabs>
            <w:rPr/>
          </w:pPr>
          <w:hyperlink w:anchor="__RefHeading___Toc2991912_2870459653">
            <w:r>
              <w:rPr>
                <w:webHidden/>
                <w:rStyle w:val="IndexLink"/>
                <w:rtl w:val="true"/>
              </w:rPr>
              <w:t>الرأي الثاني</w:t>
            </w:r>
            <w:r>
              <w:rPr>
                <w:rStyle w:val="IndexLink"/>
                <w:rtl w:val="true"/>
              </w:rPr>
              <w:t xml:space="preserve">: </w:t>
            </w:r>
            <w:r>
              <w:rPr>
                <w:rStyle w:val="IndexLink"/>
                <w:rtl w:val="true"/>
              </w:rPr>
              <w:t>تضمّن أدلة اعتبار الأمارات وجود جعل</w:t>
            </w:r>
            <w:r>
              <w:rPr>
                <w:rStyle w:val="IndexLink"/>
                <w:rtl w:val="true"/>
              </w:rPr>
              <w:tab/>
            </w:r>
            <w:r>
              <w:rPr>
                <w:rStyle w:val="IndexLink"/>
              </w:rPr>
              <w:t>206</w:t>
            </w:r>
          </w:hyperlink>
        </w:p>
        <w:p>
          <w:pPr>
            <w:pStyle w:val="Contents5"/>
            <w:tabs>
              <w:tab w:val="clear" w:pos="7892"/>
              <w:tab w:val="right" w:pos="9026" w:leader="dot"/>
            </w:tabs>
            <w:rPr/>
          </w:pPr>
          <w:hyperlink w:anchor="__RefHeading___Toc2991914_2870459653">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2991916_2870459653">
            <w:r>
              <w:rPr>
                <w:webHidden/>
                <w:rStyle w:val="IndexLink"/>
                <w:rtl w:val="true"/>
              </w:rPr>
              <w:t>المسلك الأوَّل</w:t>
            </w:r>
            <w:r>
              <w:rPr>
                <w:rStyle w:val="IndexLink"/>
                <w:rtl w:val="true"/>
              </w:rPr>
              <w:t xml:space="preserve">: </w:t>
            </w:r>
            <w:r>
              <w:rPr>
                <w:rStyle w:val="IndexLink"/>
                <w:rtl w:val="true"/>
              </w:rPr>
              <w:t>جعل الحكم المماثل</w:t>
            </w:r>
            <w:r>
              <w:rPr>
                <w:rStyle w:val="IndexLink"/>
                <w:rtl w:val="true"/>
              </w:rPr>
              <w:tab/>
            </w:r>
            <w:r>
              <w:rPr>
                <w:rStyle w:val="IndexLink"/>
              </w:rPr>
              <w:t>206</w:t>
            </w:r>
          </w:hyperlink>
        </w:p>
        <w:p>
          <w:pPr>
            <w:pStyle w:val="Contents5"/>
            <w:tabs>
              <w:tab w:val="clear" w:pos="7892"/>
              <w:tab w:val="right" w:pos="9026" w:leader="dot"/>
            </w:tabs>
            <w:rPr/>
          </w:pPr>
          <w:hyperlink w:anchor="__RefHeading___Toc2991918_2870459653">
            <w:r>
              <w:rPr>
                <w:webHidden/>
                <w:rStyle w:val="IndexLink"/>
                <w:rtl w:val="true"/>
              </w:rPr>
              <w:t>المسلك الثاني</w:t>
            </w:r>
            <w:r>
              <w:rPr>
                <w:rStyle w:val="IndexLink"/>
                <w:rtl w:val="true"/>
              </w:rPr>
              <w:t xml:space="preserve">: </w:t>
            </w:r>
            <w:r>
              <w:rPr>
                <w:rStyle w:val="IndexLink"/>
                <w:rtl w:val="true"/>
              </w:rPr>
              <w:t>المنجّزية والمعذّرية</w:t>
            </w:r>
            <w:r>
              <w:rPr>
                <w:rStyle w:val="IndexLink"/>
                <w:rtl w:val="true"/>
              </w:rPr>
              <w:tab/>
            </w:r>
            <w:r>
              <w:rPr>
                <w:rStyle w:val="IndexLink"/>
              </w:rPr>
              <w:t>210</w:t>
            </w:r>
          </w:hyperlink>
        </w:p>
        <w:p>
          <w:pPr>
            <w:pStyle w:val="Contents5"/>
            <w:tabs>
              <w:tab w:val="clear" w:pos="7892"/>
              <w:tab w:val="right" w:pos="9026" w:leader="dot"/>
            </w:tabs>
            <w:rPr/>
          </w:pPr>
          <w:hyperlink w:anchor="__RefHeading___Toc2991920_2870459653">
            <w:r>
              <w:rPr>
                <w:webHidden/>
                <w:rStyle w:val="IndexLink"/>
                <w:rtl w:val="true"/>
              </w:rPr>
              <w:t>المسلك الثالث</w:t>
            </w:r>
            <w:r>
              <w:rPr>
                <w:rStyle w:val="IndexLink"/>
                <w:rtl w:val="true"/>
              </w:rPr>
              <w:t xml:space="preserve">: </w:t>
            </w:r>
            <w:r>
              <w:rPr>
                <w:rStyle w:val="IndexLink"/>
                <w:rtl w:val="true"/>
              </w:rPr>
              <w:t>مسلك تتميم الكشف</w:t>
            </w:r>
            <w:r>
              <w:rPr>
                <w:rStyle w:val="IndexLink"/>
                <w:rtl w:val="true"/>
              </w:rPr>
              <w:tab/>
            </w:r>
            <w:r>
              <w:rPr>
                <w:rStyle w:val="IndexLink"/>
              </w:rPr>
              <w:t>214</w:t>
            </w:r>
          </w:hyperlink>
        </w:p>
        <w:p>
          <w:pPr>
            <w:pStyle w:val="Contents3"/>
            <w:tabs>
              <w:tab w:val="clear" w:pos="8459"/>
              <w:tab w:val="right" w:pos="9026" w:leader="dot"/>
            </w:tabs>
            <w:rPr/>
          </w:pPr>
          <w:hyperlink w:anchor="__RefHeading___Toc2991922_2870459653">
            <w:r>
              <w:rPr>
                <w:webHidden/>
                <w:rStyle w:val="IndexLink"/>
                <w:rtl w:val="true"/>
              </w:rPr>
              <w:t>المقام الثاني</w:t>
            </w:r>
            <w:r>
              <w:rPr>
                <w:rStyle w:val="IndexLink"/>
                <w:rtl w:val="true"/>
              </w:rPr>
              <w:tab/>
            </w:r>
            <w:r>
              <w:rPr>
                <w:rStyle w:val="IndexLink"/>
              </w:rPr>
              <w:t>228</w:t>
            </w:r>
          </w:hyperlink>
        </w:p>
        <w:p>
          <w:pPr>
            <w:pStyle w:val="Contents4"/>
            <w:tabs>
              <w:tab w:val="clear" w:pos="8176"/>
              <w:tab w:val="right" w:pos="9026" w:leader="dot"/>
            </w:tabs>
            <w:rPr/>
          </w:pPr>
          <w:hyperlink w:anchor="__RefHeading___Toc2991924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991926_2870459653">
            <w:r>
              <w:rPr>
                <w:webHidden/>
                <w:rStyle w:val="IndexLink"/>
              </w:rPr>
              <w:t>1</w:t>
            </w:r>
            <w:r>
              <w:rPr>
                <w:rStyle w:val="IndexLink"/>
                <w:rtl w:val="true"/>
              </w:rPr>
              <w:t xml:space="preserve">- </w:t>
            </w:r>
            <w:r>
              <w:rPr>
                <w:rStyle w:val="IndexLink"/>
                <w:rtl w:val="true"/>
              </w:rPr>
              <w:t>الجواب عن شبهة ابن قِبة</w:t>
            </w:r>
            <w:r>
              <w:rPr>
                <w:rStyle w:val="IndexLink"/>
                <w:rtl w:val="true"/>
              </w:rPr>
              <w:t>..</w:t>
              <w:tab/>
            </w:r>
            <w:r>
              <w:rPr>
                <w:rStyle w:val="IndexLink"/>
              </w:rPr>
              <w:t>228</w:t>
            </w:r>
          </w:hyperlink>
        </w:p>
        <w:p>
          <w:pPr>
            <w:pStyle w:val="Contents4"/>
            <w:tabs>
              <w:tab w:val="clear" w:pos="8176"/>
              <w:tab w:val="right" w:pos="9026" w:leader="dot"/>
            </w:tabs>
            <w:rPr/>
          </w:pPr>
          <w:hyperlink w:anchor="__RefHeading___Toc2991928_2870459653">
            <w:r>
              <w:rPr>
                <w:webHidden/>
                <w:rStyle w:val="IndexLink"/>
              </w:rPr>
              <w:t>2</w:t>
            </w:r>
            <w:r>
              <w:rPr>
                <w:rStyle w:val="IndexLink"/>
                <w:rtl w:val="true"/>
              </w:rPr>
              <w:t xml:space="preserve">- </w:t>
            </w:r>
            <w:r>
              <w:rPr>
                <w:rStyle w:val="IndexLink"/>
                <w:rtl w:val="true"/>
              </w:rPr>
              <w:t>التخلّص من محذور تخصيص القاعدة العقلية</w:t>
            </w:r>
            <w:r>
              <w:rPr>
                <w:rStyle w:val="IndexLink"/>
                <w:rtl w:val="true"/>
              </w:rPr>
              <w:t>..</w:t>
              <w:tab/>
            </w:r>
            <w:r>
              <w:rPr>
                <w:rStyle w:val="IndexLink"/>
              </w:rPr>
              <w:t>231</w:t>
            </w:r>
          </w:hyperlink>
        </w:p>
        <w:p>
          <w:pPr>
            <w:pStyle w:val="Contents4"/>
            <w:tabs>
              <w:tab w:val="clear" w:pos="8176"/>
              <w:tab w:val="right" w:pos="9026" w:leader="dot"/>
            </w:tabs>
            <w:rPr/>
          </w:pPr>
          <w:hyperlink w:anchor="__RefHeading___Toc2991930_2870459653">
            <w:r>
              <w:rPr>
                <w:webHidden/>
                <w:rStyle w:val="IndexLink"/>
              </w:rPr>
              <w:t>3</w:t>
            </w:r>
            <w:r>
              <w:rPr>
                <w:rStyle w:val="IndexLink"/>
                <w:rtl w:val="true"/>
              </w:rPr>
              <w:t xml:space="preserve">- </w:t>
            </w:r>
            <w:r>
              <w:rPr>
                <w:rStyle w:val="IndexLink"/>
                <w:rtl w:val="true"/>
              </w:rPr>
              <w:t>قيام الأمارة مقام القطع الموضوعي الطريقي</w:t>
            </w:r>
            <w:r>
              <w:rPr>
                <w:rStyle w:val="IndexLink"/>
                <w:rtl w:val="true"/>
              </w:rPr>
              <w:t>..</w:t>
              <w:tab/>
            </w:r>
            <w:r>
              <w:rPr>
                <w:rStyle w:val="IndexLink"/>
              </w:rPr>
              <w:t>233</w:t>
            </w:r>
          </w:hyperlink>
        </w:p>
        <w:p>
          <w:pPr>
            <w:pStyle w:val="Contents4"/>
            <w:tabs>
              <w:tab w:val="clear" w:pos="8176"/>
              <w:tab w:val="right" w:pos="9026" w:leader="dot"/>
            </w:tabs>
            <w:rPr/>
          </w:pPr>
          <w:hyperlink w:anchor="__RefHeading___Toc2991932_2870459653">
            <w:r>
              <w:rPr>
                <w:webHidden/>
                <w:rStyle w:val="IndexLink"/>
              </w:rPr>
              <w:t>4</w:t>
            </w:r>
            <w:r>
              <w:rPr>
                <w:rStyle w:val="IndexLink"/>
                <w:rtl w:val="true"/>
              </w:rPr>
              <w:t xml:space="preserve">- </w:t>
            </w:r>
            <w:r>
              <w:rPr>
                <w:rStyle w:val="IndexLink"/>
                <w:rtl w:val="true"/>
              </w:rPr>
              <w:t>الجواب عن إشكال التعارض بين مفهوم آية النبأ والتعليل</w:t>
            </w:r>
            <w:r>
              <w:rPr>
                <w:rStyle w:val="IndexLink"/>
                <w:rtl w:val="true"/>
              </w:rPr>
              <w:t>..</w:t>
              <w:tab/>
            </w:r>
            <w:r>
              <w:rPr>
                <w:rStyle w:val="IndexLink"/>
              </w:rPr>
              <w:t>238</w:t>
            </w:r>
          </w:hyperlink>
        </w:p>
        <w:p>
          <w:pPr>
            <w:pStyle w:val="Contents4"/>
            <w:tabs>
              <w:tab w:val="clear" w:pos="8176"/>
              <w:tab w:val="right" w:pos="9026" w:leader="dot"/>
            </w:tabs>
            <w:rPr/>
          </w:pPr>
          <w:hyperlink w:anchor="__RefHeading___Toc2991934_2870459653">
            <w:r>
              <w:rPr>
                <w:webHidden/>
                <w:rStyle w:val="IndexLink"/>
              </w:rPr>
              <w:t>5</w:t>
            </w:r>
            <w:r>
              <w:rPr>
                <w:rStyle w:val="IndexLink"/>
                <w:rtl w:val="true"/>
              </w:rPr>
              <w:t xml:space="preserve">- </w:t>
            </w:r>
            <w:r>
              <w:rPr>
                <w:rStyle w:val="IndexLink"/>
                <w:rtl w:val="true"/>
              </w:rPr>
              <w:t>حجّية الأمارة في لوازمها ومثبتاتها</w:t>
            </w:r>
            <w:r>
              <w:rPr>
                <w:rStyle w:val="IndexLink"/>
                <w:rtl w:val="true"/>
              </w:rPr>
              <w:t>..</w:t>
              <w:tab/>
            </w:r>
            <w:r>
              <w:rPr>
                <w:rStyle w:val="IndexLink"/>
              </w:rPr>
              <w:t>241</w:t>
            </w:r>
          </w:hyperlink>
        </w:p>
        <w:p>
          <w:pPr>
            <w:pStyle w:val="Contents4"/>
            <w:tabs>
              <w:tab w:val="clear" w:pos="8176"/>
              <w:tab w:val="right" w:pos="9026" w:leader="dot"/>
            </w:tabs>
            <w:rPr/>
          </w:pPr>
          <w:hyperlink w:anchor="__RefHeading___Toc2991936_2870459653">
            <w:r>
              <w:rPr>
                <w:webHidden/>
                <w:rStyle w:val="IndexLink"/>
              </w:rPr>
              <w:t>6</w:t>
            </w:r>
            <w:r>
              <w:rPr>
                <w:rStyle w:val="IndexLink"/>
                <w:rtl w:val="true"/>
              </w:rPr>
              <w:t xml:space="preserve">- </w:t>
            </w:r>
            <w:r>
              <w:rPr>
                <w:rStyle w:val="IndexLink"/>
                <w:rtl w:val="true"/>
              </w:rPr>
              <w:t>الانحلال التعبدي</w:t>
            </w:r>
            <w:r>
              <w:rPr>
                <w:rStyle w:val="IndexLink"/>
                <w:rtl w:val="true"/>
              </w:rPr>
              <w:t>..</w:t>
              <w:tab/>
            </w:r>
            <w:r>
              <w:rPr>
                <w:rStyle w:val="IndexLink"/>
              </w:rPr>
              <w:t>243</w:t>
            </w:r>
          </w:hyperlink>
        </w:p>
        <w:p>
          <w:pPr>
            <w:pStyle w:val="Contents4"/>
            <w:tabs>
              <w:tab w:val="clear" w:pos="8176"/>
              <w:tab w:val="right" w:pos="9026" w:leader="dot"/>
            </w:tabs>
            <w:rPr/>
          </w:pPr>
          <w:hyperlink w:anchor="__RefHeading___Toc2991938_2870459653">
            <w:r>
              <w:rPr>
                <w:webHidden/>
                <w:rStyle w:val="IndexLink"/>
              </w:rPr>
              <w:t>7</w:t>
            </w:r>
            <w:r>
              <w:rPr>
                <w:rStyle w:val="IndexLink"/>
                <w:rtl w:val="true"/>
              </w:rPr>
              <w:t xml:space="preserve">- </w:t>
            </w:r>
            <w:r>
              <w:rPr>
                <w:rStyle w:val="IndexLink"/>
                <w:rtl w:val="true"/>
              </w:rPr>
              <w:t>الاستصحاب في مؤدّيات الأمارات</w:t>
            </w:r>
            <w:r>
              <w:rPr>
                <w:rStyle w:val="IndexLink"/>
                <w:rtl w:val="true"/>
              </w:rPr>
              <w:t>..</w:t>
              <w:tab/>
            </w:r>
            <w:r>
              <w:rPr>
                <w:rStyle w:val="IndexLink"/>
              </w:rPr>
              <w:t>245</w:t>
            </w:r>
          </w:hyperlink>
        </w:p>
        <w:p>
          <w:pPr>
            <w:pStyle w:val="Contents4"/>
            <w:tabs>
              <w:tab w:val="clear" w:pos="8176"/>
              <w:tab w:val="right" w:pos="9026" w:leader="dot"/>
            </w:tabs>
            <w:rPr/>
          </w:pPr>
          <w:hyperlink w:anchor="__RefHeading___Toc2991940_2870459653">
            <w:r>
              <w:rPr>
                <w:webHidden/>
                <w:rStyle w:val="IndexLink"/>
              </w:rPr>
              <w:t>8</w:t>
            </w:r>
            <w:r>
              <w:rPr>
                <w:rStyle w:val="IndexLink"/>
                <w:rtl w:val="true"/>
              </w:rPr>
              <w:t xml:space="preserve">- </w:t>
            </w:r>
            <w:r>
              <w:rPr>
                <w:rStyle w:val="IndexLink"/>
                <w:rtl w:val="true"/>
              </w:rPr>
              <w:t>تقدّم الأمارة على الأصول</w:t>
            </w:r>
            <w:r>
              <w:rPr>
                <w:rStyle w:val="IndexLink"/>
                <w:rtl w:val="true"/>
              </w:rPr>
              <w:t>..</w:t>
              <w:tab/>
            </w:r>
            <w:r>
              <w:rPr>
                <w:rStyle w:val="IndexLink"/>
              </w:rPr>
              <w:t>246</w:t>
            </w:r>
          </w:hyperlink>
        </w:p>
        <w:p>
          <w:pPr>
            <w:pStyle w:val="Contents4"/>
            <w:tabs>
              <w:tab w:val="clear" w:pos="8176"/>
              <w:tab w:val="right" w:pos="9026" w:leader="dot"/>
            </w:tabs>
            <w:rPr/>
          </w:pPr>
          <w:hyperlink w:anchor="__RefHeading___Toc2991942_2870459653">
            <w:r>
              <w:rPr>
                <w:webHidden/>
                <w:rStyle w:val="IndexLink"/>
              </w:rPr>
              <w:t>9</w:t>
            </w:r>
            <w:r>
              <w:rPr>
                <w:rStyle w:val="IndexLink"/>
                <w:rtl w:val="true"/>
              </w:rPr>
              <w:t xml:space="preserve">- </w:t>
            </w:r>
            <w:r>
              <w:rPr>
                <w:rStyle w:val="IndexLink"/>
                <w:rtl w:val="true"/>
              </w:rPr>
              <w:t>تقدّم الاستصحاب على الأصول الشرعية</w:t>
            </w:r>
            <w:r>
              <w:rPr>
                <w:rStyle w:val="IndexLink"/>
                <w:rtl w:val="true"/>
              </w:rPr>
              <w:t>..</w:t>
              <w:tab/>
            </w:r>
            <w:r>
              <w:rPr>
                <w:rStyle w:val="IndexLink"/>
              </w:rPr>
              <w:t>249</w:t>
            </w:r>
          </w:hyperlink>
        </w:p>
        <w:p>
          <w:pPr>
            <w:pStyle w:val="Contents4"/>
            <w:tabs>
              <w:tab w:val="clear" w:pos="8176"/>
              <w:tab w:val="right" w:pos="9026" w:leader="dot"/>
            </w:tabs>
            <w:rPr/>
          </w:pPr>
          <w:hyperlink w:anchor="__RefHeading___Toc2991944_2870459653">
            <w:r>
              <w:rPr>
                <w:webHidden/>
                <w:rStyle w:val="IndexLink"/>
              </w:rPr>
              <w:t>10</w:t>
            </w:r>
            <w:r>
              <w:rPr>
                <w:rStyle w:val="IndexLink"/>
                <w:rtl w:val="true"/>
              </w:rPr>
              <w:t xml:space="preserve">- </w:t>
            </w:r>
            <w:r>
              <w:rPr>
                <w:rStyle w:val="IndexLink"/>
                <w:rtl w:val="true"/>
              </w:rPr>
              <w:t>تقدّم استصحاب على آخر</w:t>
            </w:r>
            <w:r>
              <w:rPr>
                <w:rStyle w:val="IndexLink"/>
                <w:rtl w:val="true"/>
              </w:rPr>
              <w:t>..</w:t>
              <w:tab/>
            </w:r>
            <w:r>
              <w:rPr>
                <w:rStyle w:val="IndexLink"/>
              </w:rPr>
              <w:t>250</w:t>
            </w:r>
          </w:hyperlink>
        </w:p>
        <w:p>
          <w:pPr>
            <w:pStyle w:val="Contents4"/>
            <w:tabs>
              <w:tab w:val="clear" w:pos="8176"/>
              <w:tab w:val="right" w:pos="9026" w:leader="dot"/>
            </w:tabs>
            <w:rPr/>
          </w:pPr>
          <w:hyperlink w:anchor="__RefHeading___Toc2991946_2870459653">
            <w:r>
              <w:rPr>
                <w:webHidden/>
                <w:rStyle w:val="IndexLink"/>
              </w:rPr>
              <w:t>11</w:t>
            </w:r>
            <w:r>
              <w:rPr>
                <w:rStyle w:val="IndexLink"/>
                <w:rtl w:val="true"/>
              </w:rPr>
              <w:t xml:space="preserve">- </w:t>
            </w:r>
            <w:r>
              <w:rPr>
                <w:rStyle w:val="IndexLink"/>
                <w:rtl w:val="true"/>
              </w:rPr>
              <w:t>وقوع التعبد بالأمارات غير العلمية</w:t>
            </w:r>
            <w:r>
              <w:rPr>
                <w:rStyle w:val="IndexLink"/>
                <w:rtl w:val="true"/>
              </w:rPr>
              <w:t>..</w:t>
              <w:tab/>
            </w:r>
            <w:r>
              <w:rPr>
                <w:rStyle w:val="IndexLink"/>
              </w:rPr>
              <w:t>253</w:t>
            </w:r>
          </w:hyperlink>
        </w:p>
        <w:p>
          <w:pPr>
            <w:pStyle w:val="Contents4"/>
            <w:tabs>
              <w:tab w:val="clear" w:pos="8176"/>
              <w:tab w:val="right" w:pos="9026" w:leader="dot"/>
            </w:tabs>
            <w:rPr/>
          </w:pPr>
          <w:hyperlink w:anchor="__RefHeading___Toc2991948_2870459653">
            <w:r>
              <w:rPr>
                <w:webHidden/>
                <w:rStyle w:val="IndexLink"/>
              </w:rPr>
              <w:t>12</w:t>
            </w:r>
            <w:r>
              <w:rPr>
                <w:rStyle w:val="IndexLink"/>
                <w:rtl w:val="true"/>
              </w:rPr>
              <w:t xml:space="preserve">- </w:t>
            </w:r>
            <w:r>
              <w:rPr>
                <w:rStyle w:val="IndexLink"/>
                <w:rtl w:val="true"/>
              </w:rPr>
              <w:t>حجّيّة خبر الواحد</w:t>
            </w:r>
            <w:r>
              <w:rPr>
                <w:rStyle w:val="IndexLink"/>
                <w:rtl w:val="true"/>
              </w:rPr>
              <w:t>..</w:t>
              <w:tab/>
            </w:r>
            <w:r>
              <w:rPr>
                <w:rStyle w:val="IndexLink"/>
              </w:rPr>
              <w:t>255</w:t>
            </w:r>
          </w:hyperlink>
        </w:p>
        <w:p>
          <w:pPr>
            <w:pStyle w:val="Contents4"/>
            <w:tabs>
              <w:tab w:val="clear" w:pos="8176"/>
              <w:tab w:val="right" w:pos="9026" w:leader="dot"/>
            </w:tabs>
            <w:rPr/>
          </w:pPr>
          <w:hyperlink w:anchor="__RefHeading___Toc2991950_2870459653">
            <w:r>
              <w:rPr>
                <w:webHidden/>
                <w:rStyle w:val="IndexLink"/>
              </w:rPr>
              <w:t>13</w:t>
            </w:r>
            <w:r>
              <w:rPr>
                <w:rStyle w:val="IndexLink"/>
                <w:rtl w:val="true"/>
              </w:rPr>
              <w:t xml:space="preserve">- </w:t>
            </w:r>
            <w:r>
              <w:rPr>
                <w:rStyle w:val="IndexLink"/>
                <w:rtl w:val="true"/>
              </w:rPr>
              <w:t>حجية الخبر مع الواسطة</w:t>
            </w:r>
            <w:r>
              <w:rPr>
                <w:rStyle w:val="IndexLink"/>
                <w:rtl w:val="true"/>
              </w:rPr>
              <w:t>..</w:t>
              <w:tab/>
            </w:r>
            <w:r>
              <w:rPr>
                <w:rStyle w:val="IndexLink"/>
              </w:rPr>
              <w:t>258</w:t>
            </w:r>
          </w:hyperlink>
        </w:p>
        <w:p>
          <w:pPr>
            <w:pStyle w:val="Contents3"/>
            <w:tabs>
              <w:tab w:val="clear" w:pos="8459"/>
              <w:tab w:val="right" w:pos="9026" w:leader="dot"/>
            </w:tabs>
            <w:rPr/>
          </w:pPr>
          <w:hyperlink w:anchor="__RefHeading___Toc2991952_2870459653">
            <w:r>
              <w:rPr>
                <w:webHidden/>
                <w:rStyle w:val="IndexLink"/>
                <w:rtl w:val="true"/>
              </w:rPr>
              <w:t>المصادر</w:t>
            </w:r>
            <w:r>
              <w:rPr>
                <w:rStyle w:val="IndexLink"/>
                <w:rtl w:val="true"/>
              </w:rPr>
              <w:tab/>
            </w:r>
            <w:r>
              <w:rPr>
                <w:rStyle w:val="IndexLink"/>
              </w:rPr>
              <w:t>264</w:t>
            </w:r>
          </w:hyperlink>
        </w:p>
        <w:p>
          <w:pPr>
            <w:pStyle w:val="Contents2"/>
            <w:tabs>
              <w:tab w:val="clear" w:pos="8743"/>
              <w:tab w:val="right" w:pos="9026" w:leader="dot"/>
            </w:tabs>
            <w:rPr/>
          </w:pPr>
          <w:hyperlink w:anchor="__RefHeading___Toc2991954_2870459653">
            <w:r>
              <w:rPr>
                <w:webHidden/>
                <w:rStyle w:val="IndexLink"/>
                <w:rtl w:val="true"/>
              </w:rPr>
              <w:t xml:space="preserve">تحقيق حال جابربن یزید الجعفي </w:t>
            </w:r>
            <w:r>
              <w:rPr>
                <w:rStyle w:val="IndexLink"/>
                <w:rtl w:val="true"/>
              </w:rPr>
              <w:t>(</w:t>
            </w:r>
            <w:r>
              <w:rPr>
                <w:rStyle w:val="IndexLink"/>
                <w:rtl w:val="true"/>
              </w:rPr>
              <w:t>الحلقة الرابعة</w:t>
            </w:r>
            <w:r>
              <w:rPr>
                <w:rStyle w:val="IndexLink"/>
                <w:rtl w:val="true"/>
              </w:rPr>
              <w:t xml:space="preserve">) -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267</w:t>
            </w:r>
          </w:hyperlink>
        </w:p>
        <w:p>
          <w:pPr>
            <w:pStyle w:val="Contents3"/>
            <w:tabs>
              <w:tab w:val="clear" w:pos="8459"/>
              <w:tab w:val="right" w:pos="9026" w:leader="dot"/>
            </w:tabs>
            <w:rPr/>
          </w:pPr>
          <w:hyperlink w:anchor="__RefHeading___Toc2991956_2870459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2991958_2870459653">
            <w:r>
              <w:rPr>
                <w:webHidden/>
                <w:rStyle w:val="IndexLink"/>
                <w:rtl w:val="true"/>
              </w:rPr>
              <w:t>المقام الثّالث</w:t>
            </w:r>
            <w:r>
              <w:rPr>
                <w:rStyle w:val="IndexLink"/>
                <w:rtl w:val="true"/>
              </w:rPr>
              <w:t xml:space="preserve">: </w:t>
            </w:r>
            <w:r>
              <w:rPr>
                <w:rStyle w:val="IndexLink"/>
                <w:rtl w:val="true"/>
              </w:rPr>
              <w:t>وثاقة جابر عند الفريقين</w:t>
            </w:r>
            <w:r>
              <w:rPr>
                <w:rStyle w:val="IndexLink"/>
                <w:rtl w:val="true"/>
              </w:rPr>
              <w:tab/>
            </w:r>
            <w:r>
              <w:rPr>
                <w:rStyle w:val="IndexLink"/>
              </w:rPr>
              <w:t>269</w:t>
            </w:r>
          </w:hyperlink>
        </w:p>
        <w:p>
          <w:pPr>
            <w:pStyle w:val="Contents4"/>
            <w:tabs>
              <w:tab w:val="clear" w:pos="8176"/>
              <w:tab w:val="right" w:pos="9026" w:leader="dot"/>
            </w:tabs>
            <w:rPr/>
          </w:pPr>
          <w:hyperlink w:anchor="__RefHeading___Toc2991960_2870459653">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2991962_2870459653">
            <w:r>
              <w:rPr>
                <w:webHidden/>
                <w:rStyle w:val="IndexLink"/>
                <w:rtl w:val="true"/>
              </w:rPr>
              <w:t>حال الرّجل عند الخاصّة</w:t>
            </w:r>
            <w:r>
              <w:rPr>
                <w:rStyle w:val="IndexLink"/>
                <w:rtl w:val="true"/>
              </w:rPr>
              <w:tab/>
            </w:r>
            <w:r>
              <w:rPr>
                <w:rStyle w:val="IndexLink"/>
              </w:rPr>
              <w:t>269</w:t>
            </w:r>
          </w:hyperlink>
        </w:p>
        <w:p>
          <w:pPr>
            <w:pStyle w:val="Contents5"/>
            <w:tabs>
              <w:tab w:val="clear" w:pos="7892"/>
              <w:tab w:val="right" w:pos="9026" w:leader="dot"/>
            </w:tabs>
            <w:rPr/>
          </w:pPr>
          <w:hyperlink w:anchor="__RefHeading___Toc2991964_2870459653">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2991966_2870459653">
            <w:r>
              <w:rPr>
                <w:webHidden/>
                <w:rStyle w:val="IndexLink"/>
                <w:rtl w:val="true"/>
              </w:rPr>
              <w:t>الطّريق الأوَّل</w:t>
            </w:r>
            <w:r>
              <w:rPr>
                <w:rStyle w:val="IndexLink"/>
                <w:rtl w:val="true"/>
              </w:rPr>
              <w:t xml:space="preserve">: </w:t>
            </w:r>
            <w:r>
              <w:rPr>
                <w:rStyle w:val="IndexLink"/>
                <w:rtl w:val="true"/>
              </w:rPr>
              <w:t xml:space="preserve">ما ورد في حقّه من المدح عن طريق أئمة أهل البيت </w:t>
            </w:r>
            <w:r>
              <w:rPr>
                <w:rStyle w:val="IndexLink"/>
                <w:rtl w:val="true"/>
              </w:rPr>
              <w:t>(</w:t>
            </w:r>
            <w:r>
              <w:rPr>
                <w:rStyle w:val="IndexLink"/>
                <w:rtl w:val="true"/>
              </w:rPr>
              <w:t>علیهم السلام</w:t>
            </w:r>
            <w:r>
              <w:rPr>
                <w:rStyle w:val="IndexLink"/>
                <w:rtl w:val="true"/>
              </w:rPr>
              <w:t>)</w:t>
              <w:tab/>
            </w:r>
            <w:r>
              <w:rPr>
                <w:rStyle w:val="IndexLink"/>
              </w:rPr>
              <w:t>269</w:t>
            </w:r>
          </w:hyperlink>
        </w:p>
        <w:p>
          <w:pPr>
            <w:pStyle w:val="Contents6"/>
            <w:tabs>
              <w:tab w:val="clear" w:pos="7609"/>
              <w:tab w:val="right" w:pos="9026" w:leader="dot"/>
            </w:tabs>
            <w:rPr/>
          </w:pPr>
          <w:hyperlink w:anchor="__RefHeading___Toc2991968_2870459653">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2991970_2870459653">
            <w:r>
              <w:rPr>
                <w:webHidden/>
                <w:rStyle w:val="IndexLink"/>
                <w:rtl w:val="true"/>
              </w:rPr>
              <w:t>الطّائفة الأولى</w:t>
            </w:r>
            <w:r>
              <w:rPr>
                <w:rStyle w:val="IndexLink"/>
                <w:rtl w:val="true"/>
              </w:rPr>
              <w:tab/>
            </w:r>
            <w:r>
              <w:rPr>
                <w:rStyle w:val="IndexLink"/>
              </w:rPr>
              <w:t>270</w:t>
            </w:r>
          </w:hyperlink>
        </w:p>
        <w:p>
          <w:pPr>
            <w:pStyle w:val="Contents6"/>
            <w:tabs>
              <w:tab w:val="clear" w:pos="7609"/>
              <w:tab w:val="right" w:pos="9026" w:leader="dot"/>
            </w:tabs>
            <w:rPr/>
          </w:pPr>
          <w:hyperlink w:anchor="__RefHeading___Toc2991972_2870459653">
            <w:r>
              <w:rPr>
                <w:webHidden/>
                <w:rStyle w:val="IndexLink"/>
                <w:rtl w:val="true"/>
              </w:rPr>
              <w:t>الطّائفة الأخرى</w:t>
            </w:r>
            <w:r>
              <w:rPr>
                <w:rStyle w:val="IndexLink"/>
                <w:rtl w:val="true"/>
              </w:rPr>
              <w:tab/>
            </w:r>
            <w:r>
              <w:rPr>
                <w:rStyle w:val="IndexLink"/>
              </w:rPr>
              <w:t>270</w:t>
            </w:r>
          </w:hyperlink>
        </w:p>
        <w:p>
          <w:pPr>
            <w:pStyle w:val="Contents5"/>
            <w:tabs>
              <w:tab w:val="clear" w:pos="7892"/>
              <w:tab w:val="right" w:pos="9026" w:leader="dot"/>
            </w:tabs>
            <w:rPr/>
          </w:pPr>
          <w:hyperlink w:anchor="__RefHeading___Toc2991974_2870459653">
            <w:r>
              <w:rPr>
                <w:webHidden/>
                <w:rStyle w:val="IndexLink"/>
                <w:rtl w:val="true"/>
              </w:rPr>
              <w:t>الطّريق الثّاني</w:t>
            </w:r>
            <w:r>
              <w:rPr>
                <w:rStyle w:val="IndexLink"/>
                <w:rtl w:val="true"/>
              </w:rPr>
              <w:t xml:space="preserve">: </w:t>
            </w:r>
            <w:r>
              <w:rPr>
                <w:rStyle w:val="IndexLink"/>
                <w:rtl w:val="true"/>
              </w:rPr>
              <w:t>أقوال الرجاليين في حقّه</w:t>
            </w:r>
            <w:r>
              <w:rPr>
                <w:rStyle w:val="IndexLink"/>
                <w:rtl w:val="true"/>
              </w:rPr>
              <w:t>..</w:t>
              <w:tab/>
            </w:r>
            <w:r>
              <w:rPr>
                <w:rStyle w:val="IndexLink"/>
              </w:rPr>
              <w:t>286</w:t>
            </w:r>
          </w:hyperlink>
        </w:p>
        <w:p>
          <w:pPr>
            <w:pStyle w:val="Contents5"/>
            <w:tabs>
              <w:tab w:val="clear" w:pos="7892"/>
              <w:tab w:val="right" w:pos="9026" w:leader="dot"/>
            </w:tabs>
            <w:rPr/>
          </w:pPr>
          <w:hyperlink w:anchor="__RefHeading___Toc2991976_2870459653">
            <w:r>
              <w:rPr>
                <w:webHidden/>
                <w:rStyle w:val="IndexLink"/>
                <w:rtl w:val="true"/>
              </w:rPr>
              <w:t>الطريق الثّالث</w:t>
            </w:r>
            <w:r>
              <w:rPr>
                <w:rStyle w:val="IndexLink"/>
                <w:rtl w:val="true"/>
              </w:rPr>
              <w:t xml:space="preserve">: </w:t>
            </w:r>
            <w:r>
              <w:rPr>
                <w:rStyle w:val="IndexLink"/>
                <w:rtl w:val="true"/>
              </w:rPr>
              <w:t>سبر روايات الرجل</w:t>
            </w:r>
            <w:r>
              <w:rPr>
                <w:rStyle w:val="IndexLink"/>
                <w:rtl w:val="true"/>
              </w:rPr>
              <w:t>..</w:t>
              <w:tab/>
            </w:r>
            <w:r>
              <w:rPr>
                <w:rStyle w:val="IndexLink"/>
              </w:rPr>
              <w:t>295</w:t>
            </w:r>
          </w:hyperlink>
        </w:p>
        <w:p>
          <w:pPr>
            <w:pStyle w:val="Contents6"/>
            <w:tabs>
              <w:tab w:val="clear" w:pos="7609"/>
              <w:tab w:val="right" w:pos="9026" w:leader="dot"/>
            </w:tabs>
            <w:rPr/>
          </w:pPr>
          <w:hyperlink w:anchor="__RefHeading___Toc2991978_2870459653">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991980_2870459653">
            <w:r>
              <w:rPr>
                <w:webHidden/>
                <w:rStyle w:val="IndexLink"/>
                <w:rtl w:val="true"/>
              </w:rPr>
              <w:t>أقوال المادحين</w:t>
            </w:r>
            <w:r>
              <w:rPr>
                <w:rStyle w:val="IndexLink"/>
                <w:rtl w:val="true"/>
              </w:rPr>
              <w:t>..</w:t>
              <w:tab/>
            </w:r>
            <w:r>
              <w:rPr>
                <w:rStyle w:val="IndexLink"/>
              </w:rPr>
              <w:t>320</w:t>
            </w:r>
          </w:hyperlink>
        </w:p>
        <w:p>
          <w:pPr>
            <w:pStyle w:val="Contents6"/>
            <w:tabs>
              <w:tab w:val="clear" w:pos="7609"/>
              <w:tab w:val="right" w:pos="9026" w:leader="dot"/>
            </w:tabs>
            <w:rPr/>
          </w:pPr>
          <w:hyperlink w:anchor="__RefHeading___Toc2991982_2870459653">
            <w:r>
              <w:rPr>
                <w:webHidden/>
                <w:rStyle w:val="IndexLink"/>
                <w:rtl w:val="true"/>
              </w:rPr>
              <w:t>الطبقة الأولى</w:t>
            </w:r>
            <w:r>
              <w:rPr>
                <w:rStyle w:val="IndexLink"/>
                <w:rtl w:val="true"/>
              </w:rPr>
              <w:t xml:space="preserve">: </w:t>
            </w:r>
            <w:r>
              <w:rPr>
                <w:rStyle w:val="IndexLink"/>
                <w:rtl w:val="true"/>
              </w:rPr>
              <w:t>تلامذة جابر</w:t>
            </w:r>
            <w:r>
              <w:rPr>
                <w:rStyle w:val="IndexLink"/>
                <w:rtl w:val="true"/>
              </w:rPr>
              <w:t>..</w:t>
              <w:tab/>
            </w:r>
            <w:r>
              <w:rPr>
                <w:rStyle w:val="IndexLink"/>
              </w:rPr>
              <w:t>320</w:t>
            </w:r>
          </w:hyperlink>
        </w:p>
        <w:p>
          <w:pPr>
            <w:pStyle w:val="Contents6"/>
            <w:tabs>
              <w:tab w:val="clear" w:pos="7609"/>
              <w:tab w:val="right" w:pos="9026" w:leader="dot"/>
            </w:tabs>
            <w:rPr/>
          </w:pPr>
          <w:hyperlink w:anchor="__RefHeading___Toc2991984_2870459653">
            <w:r>
              <w:rPr>
                <w:webHidden/>
                <w:rStyle w:val="IndexLink"/>
              </w:rPr>
              <w:t>1</w:t>
            </w:r>
            <w:r>
              <w:rPr>
                <w:rStyle w:val="IndexLink"/>
                <w:rtl w:val="true"/>
              </w:rPr>
              <w:t xml:space="preserve">. </w:t>
            </w:r>
            <w:r>
              <w:rPr>
                <w:rStyle w:val="IndexLink"/>
                <w:rtl w:val="true"/>
              </w:rPr>
              <w:t xml:space="preserve">شعبة بن الحجّاج </w:t>
            </w:r>
            <w:r>
              <w:rPr>
                <w:rStyle w:val="IndexLink"/>
                <w:rtl w:val="true"/>
              </w:rPr>
              <w:t>(</w:t>
            </w:r>
            <w:r>
              <w:rPr>
                <w:rStyle w:val="IndexLink"/>
                <w:rtl w:val="true"/>
              </w:rPr>
              <w:t xml:space="preserve">ت </w:t>
            </w:r>
            <w:r>
              <w:rPr>
                <w:rStyle w:val="IndexLink"/>
              </w:rPr>
              <w:t>160</w:t>
            </w:r>
            <w:r>
              <w:rPr>
                <w:rStyle w:val="IndexLink"/>
                <w:rtl w:val="true"/>
              </w:rPr>
              <w:t xml:space="preserve">ﻫ </w:t>
            </w:r>
            <w:r>
              <w:rPr>
                <w:rStyle w:val="IndexLink"/>
                <w:rtl w:val="true"/>
              </w:rPr>
              <w:t>)</w:t>
              <w:tab/>
            </w:r>
            <w:r>
              <w:rPr>
                <w:rStyle w:val="IndexLink"/>
              </w:rPr>
              <w:t>320</w:t>
            </w:r>
          </w:hyperlink>
        </w:p>
        <w:p>
          <w:pPr>
            <w:pStyle w:val="Contents6"/>
            <w:tabs>
              <w:tab w:val="clear" w:pos="7609"/>
              <w:tab w:val="right" w:pos="9026" w:leader="dot"/>
            </w:tabs>
            <w:rPr/>
          </w:pPr>
          <w:hyperlink w:anchor="__RefHeading___Toc2991986_2870459653">
            <w:r>
              <w:rPr>
                <w:webHidden/>
                <w:rStyle w:val="IndexLink"/>
              </w:rPr>
              <w:t>2</w:t>
            </w:r>
            <w:r>
              <w:rPr>
                <w:rStyle w:val="IndexLink"/>
                <w:rtl w:val="true"/>
              </w:rPr>
              <w:t xml:space="preserve">. </w:t>
            </w:r>
            <w:r>
              <w:rPr>
                <w:rStyle w:val="IndexLink"/>
                <w:rtl w:val="true"/>
              </w:rPr>
              <w:t xml:space="preserve">سفيان الثّوري </w:t>
            </w:r>
            <w:r>
              <w:rPr>
                <w:rStyle w:val="IndexLink"/>
                <w:rtl w:val="true"/>
              </w:rPr>
              <w:t>(</w:t>
            </w:r>
            <w:r>
              <w:rPr>
                <w:rStyle w:val="IndexLink"/>
                <w:rtl w:val="true"/>
              </w:rPr>
              <w:t xml:space="preserve">ت </w:t>
            </w:r>
            <w:r>
              <w:rPr>
                <w:rStyle w:val="IndexLink"/>
              </w:rPr>
              <w:t>161</w:t>
            </w:r>
            <w:r>
              <w:rPr>
                <w:rStyle w:val="IndexLink"/>
                <w:rtl w:val="true"/>
              </w:rPr>
              <w:t xml:space="preserve">ﻫ </w:t>
            </w:r>
            <w:r>
              <w:rPr>
                <w:rStyle w:val="IndexLink"/>
                <w:rtl w:val="true"/>
              </w:rPr>
              <w:t>)</w:t>
              <w:tab/>
            </w:r>
            <w:r>
              <w:rPr>
                <w:rStyle w:val="IndexLink"/>
              </w:rPr>
              <w:t>321</w:t>
            </w:r>
          </w:hyperlink>
        </w:p>
        <w:p>
          <w:pPr>
            <w:pStyle w:val="Contents6"/>
            <w:tabs>
              <w:tab w:val="clear" w:pos="7609"/>
              <w:tab w:val="right" w:pos="9026" w:leader="dot"/>
            </w:tabs>
            <w:rPr/>
          </w:pPr>
          <w:hyperlink w:anchor="__RefHeading___Toc2991988_2870459653">
            <w:r>
              <w:rPr>
                <w:webHidden/>
                <w:rStyle w:val="IndexLink"/>
              </w:rPr>
              <w:t>3</w:t>
            </w:r>
            <w:r>
              <w:rPr>
                <w:rStyle w:val="IndexLink"/>
                <w:rtl w:val="true"/>
              </w:rPr>
              <w:t xml:space="preserve">. </w:t>
            </w:r>
            <w:r>
              <w:rPr>
                <w:rStyle w:val="IndexLink"/>
                <w:rtl w:val="true"/>
              </w:rPr>
              <w:t xml:space="preserve">زهير بن معاوية </w:t>
            </w:r>
            <w:r>
              <w:rPr>
                <w:rStyle w:val="IndexLink"/>
                <w:rtl w:val="true"/>
              </w:rPr>
              <w:t>(</w:t>
            </w:r>
            <w:r>
              <w:rPr>
                <w:rStyle w:val="IndexLink"/>
                <w:rtl w:val="true"/>
              </w:rPr>
              <w:t xml:space="preserve">ت </w:t>
            </w:r>
            <w:r>
              <w:rPr>
                <w:rStyle w:val="IndexLink"/>
              </w:rPr>
              <w:t>172</w:t>
            </w:r>
            <w:r>
              <w:rPr>
                <w:rStyle w:val="IndexLink"/>
                <w:rtl w:val="true"/>
              </w:rPr>
              <w:t xml:space="preserve">ﻫ </w:t>
            </w:r>
            <w:r>
              <w:rPr>
                <w:rStyle w:val="IndexLink"/>
                <w:rtl w:val="true"/>
              </w:rPr>
              <w:t>)</w:t>
              <w:tab/>
            </w:r>
            <w:r>
              <w:rPr>
                <w:rStyle w:val="IndexLink"/>
              </w:rPr>
              <w:t>321</w:t>
            </w:r>
          </w:hyperlink>
        </w:p>
        <w:p>
          <w:pPr>
            <w:pStyle w:val="Contents6"/>
            <w:tabs>
              <w:tab w:val="clear" w:pos="7609"/>
              <w:tab w:val="right" w:pos="9026" w:leader="dot"/>
            </w:tabs>
            <w:rPr/>
          </w:pPr>
          <w:hyperlink w:anchor="__RefHeading___Toc2991990_2870459653">
            <w:r>
              <w:rPr>
                <w:webHidden/>
                <w:rStyle w:val="IndexLink"/>
                <w:rtl w:val="true"/>
              </w:rPr>
              <w:t>الطبقة الثّانية</w:t>
            </w:r>
            <w:r>
              <w:rPr>
                <w:rStyle w:val="IndexLink"/>
                <w:rtl w:val="true"/>
              </w:rPr>
              <w:t xml:space="preserve">: </w:t>
            </w:r>
            <w:r>
              <w:rPr>
                <w:rStyle w:val="IndexLink"/>
                <w:rtl w:val="true"/>
              </w:rPr>
              <w:t>تلامذة تلامذته</w:t>
            </w:r>
            <w:r>
              <w:rPr>
                <w:rStyle w:val="IndexLink"/>
                <w:rtl w:val="true"/>
              </w:rPr>
              <w:t>..</w:t>
              <w:tab/>
            </w:r>
            <w:r>
              <w:rPr>
                <w:rStyle w:val="IndexLink"/>
              </w:rPr>
              <w:t>322</w:t>
            </w:r>
          </w:hyperlink>
        </w:p>
        <w:p>
          <w:pPr>
            <w:pStyle w:val="Contents6"/>
            <w:tabs>
              <w:tab w:val="clear" w:pos="7609"/>
              <w:tab w:val="right" w:pos="9026" w:leader="dot"/>
            </w:tabs>
            <w:rPr/>
          </w:pPr>
          <w:hyperlink w:anchor="__RefHeading___Toc2991992_2870459653">
            <w:r>
              <w:rPr>
                <w:webHidden/>
                <w:rStyle w:val="IndexLink"/>
              </w:rPr>
              <w:t>1</w:t>
            </w:r>
            <w:r>
              <w:rPr>
                <w:rStyle w:val="IndexLink"/>
                <w:rtl w:val="true"/>
              </w:rPr>
              <w:t xml:space="preserve">. </w:t>
            </w:r>
            <w:r>
              <w:rPr>
                <w:rStyle w:val="IndexLink"/>
                <w:rtl w:val="true"/>
              </w:rPr>
              <w:t xml:space="preserve">وكيع </w:t>
            </w:r>
            <w:r>
              <w:rPr>
                <w:rStyle w:val="IndexLink"/>
                <w:rtl w:val="true"/>
              </w:rPr>
              <w:t>(</w:t>
            </w:r>
            <w:r>
              <w:rPr>
                <w:rStyle w:val="IndexLink"/>
                <w:rtl w:val="true"/>
              </w:rPr>
              <w:t xml:space="preserve">ت </w:t>
            </w:r>
            <w:r>
              <w:rPr>
                <w:rStyle w:val="IndexLink"/>
              </w:rPr>
              <w:t>197</w:t>
            </w:r>
            <w:r>
              <w:rPr>
                <w:rStyle w:val="IndexLink"/>
                <w:rtl w:val="true"/>
              </w:rPr>
              <w:t xml:space="preserve">ﻫ </w:t>
            </w:r>
            <w:r>
              <w:rPr>
                <w:rStyle w:val="IndexLink"/>
                <w:rtl w:val="true"/>
              </w:rPr>
              <w:t>)</w:t>
              <w:tab/>
            </w:r>
            <w:r>
              <w:rPr>
                <w:rStyle w:val="IndexLink"/>
              </w:rPr>
              <w:t>322</w:t>
            </w:r>
          </w:hyperlink>
        </w:p>
        <w:p>
          <w:pPr>
            <w:pStyle w:val="Contents6"/>
            <w:tabs>
              <w:tab w:val="clear" w:pos="7609"/>
              <w:tab w:val="right" w:pos="9026" w:leader="dot"/>
            </w:tabs>
            <w:rPr/>
          </w:pPr>
          <w:hyperlink w:anchor="__RefHeading___Toc2991994_2870459653">
            <w:r>
              <w:rPr>
                <w:webHidden/>
                <w:rStyle w:val="IndexLink"/>
              </w:rPr>
              <w:t>2</w:t>
            </w:r>
            <w:r>
              <w:rPr>
                <w:rStyle w:val="IndexLink"/>
                <w:rtl w:val="true"/>
              </w:rPr>
              <w:t xml:space="preserve">. </w:t>
            </w:r>
            <w:r>
              <w:rPr>
                <w:rStyle w:val="IndexLink"/>
                <w:rtl w:val="true"/>
              </w:rPr>
              <w:t xml:space="preserve">يزيد بن هارون </w:t>
            </w:r>
            <w:r>
              <w:rPr>
                <w:rStyle w:val="IndexLink"/>
                <w:rtl w:val="true"/>
              </w:rPr>
              <w:t>(</w:t>
            </w:r>
            <w:r>
              <w:rPr>
                <w:rStyle w:val="IndexLink"/>
                <w:rtl w:val="true"/>
              </w:rPr>
              <w:t xml:space="preserve">ت </w:t>
            </w:r>
            <w:r>
              <w:rPr>
                <w:rStyle w:val="IndexLink"/>
              </w:rPr>
              <w:t>206</w:t>
            </w:r>
            <w:r>
              <w:rPr>
                <w:rStyle w:val="IndexLink"/>
                <w:rtl w:val="true"/>
              </w:rPr>
              <w:t xml:space="preserve">ﻫ </w:t>
            </w:r>
            <w:r>
              <w:rPr>
                <w:rStyle w:val="IndexLink"/>
                <w:rtl w:val="true"/>
              </w:rPr>
              <w:t>)</w:t>
              <w:tab/>
            </w:r>
            <w:r>
              <w:rPr>
                <w:rStyle w:val="IndexLink"/>
              </w:rPr>
              <w:t>323</w:t>
            </w:r>
          </w:hyperlink>
        </w:p>
        <w:p>
          <w:pPr>
            <w:pStyle w:val="Contents6"/>
            <w:tabs>
              <w:tab w:val="clear" w:pos="7609"/>
              <w:tab w:val="right" w:pos="9026" w:leader="dot"/>
            </w:tabs>
            <w:rPr/>
          </w:pPr>
          <w:hyperlink w:anchor="__RefHeading___Toc2991996_2870459653">
            <w:r>
              <w:rPr>
                <w:webHidden/>
                <w:rStyle w:val="IndexLink"/>
                <w:rtl w:val="true"/>
              </w:rPr>
              <w:t>الطبقة الثّالثة</w:t>
            </w:r>
            <w:r>
              <w:rPr>
                <w:rStyle w:val="IndexLink"/>
                <w:rtl w:val="true"/>
              </w:rPr>
              <w:t xml:space="preserve">: </w:t>
            </w:r>
            <w:r>
              <w:rPr>
                <w:rStyle w:val="IndexLink"/>
                <w:rtl w:val="true"/>
              </w:rPr>
              <w:t>طبقة ما بعد تلامذة تلامذته</w:t>
            </w:r>
            <w:r>
              <w:rPr>
                <w:rStyle w:val="IndexLink"/>
                <w:rtl w:val="true"/>
              </w:rPr>
              <w:t>..</w:t>
              <w:tab/>
            </w:r>
            <w:r>
              <w:rPr>
                <w:rStyle w:val="IndexLink"/>
              </w:rPr>
              <w:t>323</w:t>
            </w:r>
          </w:hyperlink>
        </w:p>
        <w:p>
          <w:pPr>
            <w:pStyle w:val="Contents6"/>
            <w:tabs>
              <w:tab w:val="clear" w:pos="7609"/>
              <w:tab w:val="right" w:pos="9026" w:leader="dot"/>
            </w:tabs>
            <w:rPr/>
          </w:pPr>
          <w:hyperlink w:anchor="__RefHeading___Toc2991998_2870459653">
            <w:r>
              <w:rPr>
                <w:webHidden/>
                <w:rStyle w:val="IndexLink"/>
              </w:rPr>
              <w:t>1</w:t>
            </w:r>
            <w:r>
              <w:rPr>
                <w:rStyle w:val="IndexLink"/>
                <w:rtl w:val="true"/>
              </w:rPr>
              <w:t xml:space="preserve">. </w:t>
            </w:r>
            <w:r>
              <w:rPr>
                <w:rStyle w:val="IndexLink"/>
                <w:rtl w:val="true"/>
              </w:rPr>
              <w:t xml:space="preserve">أحمد ابن حنبل </w:t>
            </w:r>
            <w:r>
              <w:rPr>
                <w:rStyle w:val="IndexLink"/>
                <w:rtl w:val="true"/>
              </w:rPr>
              <w:t>(</w:t>
            </w:r>
            <w:r>
              <w:rPr>
                <w:rStyle w:val="IndexLink"/>
                <w:rtl w:val="true"/>
              </w:rPr>
              <w:t xml:space="preserve">ت </w:t>
            </w:r>
            <w:r>
              <w:rPr>
                <w:rStyle w:val="IndexLink"/>
              </w:rPr>
              <w:t>241</w:t>
            </w:r>
            <w:r>
              <w:rPr>
                <w:rStyle w:val="IndexLink"/>
                <w:rtl w:val="true"/>
              </w:rPr>
              <w:t xml:space="preserve">ﻫ </w:t>
            </w:r>
            <w:r>
              <w:rPr>
                <w:rStyle w:val="IndexLink"/>
                <w:rtl w:val="true"/>
              </w:rPr>
              <w:t>)</w:t>
              <w:tab/>
            </w:r>
            <w:r>
              <w:rPr>
                <w:rStyle w:val="IndexLink"/>
              </w:rPr>
              <w:t>323</w:t>
            </w:r>
          </w:hyperlink>
        </w:p>
        <w:p>
          <w:pPr>
            <w:pStyle w:val="Contents6"/>
            <w:tabs>
              <w:tab w:val="clear" w:pos="7609"/>
              <w:tab w:val="right" w:pos="9026" w:leader="dot"/>
            </w:tabs>
            <w:rPr/>
          </w:pPr>
          <w:hyperlink w:anchor="__RefHeading___Toc2992000_2870459653">
            <w:r>
              <w:rPr>
                <w:webHidden/>
                <w:rStyle w:val="IndexLink"/>
                <w:rtl w:val="true"/>
              </w:rPr>
              <w:t>الطبقات المتأخرة</w:t>
            </w:r>
            <w:r>
              <w:rPr>
                <w:rStyle w:val="IndexLink"/>
                <w:rtl w:val="true"/>
              </w:rPr>
              <w:t>..</w:t>
              <w:tab/>
            </w:r>
            <w:r>
              <w:rPr>
                <w:rStyle w:val="IndexLink"/>
              </w:rPr>
              <w:t>324</w:t>
            </w:r>
          </w:hyperlink>
        </w:p>
        <w:p>
          <w:pPr>
            <w:pStyle w:val="Contents6"/>
            <w:tabs>
              <w:tab w:val="clear" w:pos="7609"/>
              <w:tab w:val="right" w:pos="9026" w:leader="dot"/>
            </w:tabs>
            <w:rPr/>
          </w:pPr>
          <w:hyperlink w:anchor="__RefHeading___Toc2992002_2870459653">
            <w:r>
              <w:rPr>
                <w:webHidden/>
                <w:rStyle w:val="IndexLink"/>
                <w:rtl w:val="true"/>
              </w:rPr>
              <w:t xml:space="preserve">ابن عدي </w:t>
            </w:r>
            <w:r>
              <w:rPr>
                <w:rStyle w:val="IndexLink"/>
                <w:rtl w:val="true"/>
              </w:rPr>
              <w:t>(</w:t>
            </w:r>
            <w:r>
              <w:rPr>
                <w:rStyle w:val="IndexLink"/>
                <w:rtl w:val="true"/>
              </w:rPr>
              <w:t xml:space="preserve">ت </w:t>
            </w:r>
            <w:r>
              <w:rPr>
                <w:rStyle w:val="IndexLink"/>
              </w:rPr>
              <w:t>365</w:t>
            </w:r>
            <w:r>
              <w:rPr>
                <w:rStyle w:val="IndexLink"/>
                <w:rtl w:val="true"/>
              </w:rPr>
              <w:t xml:space="preserve">ﻫ </w:t>
            </w:r>
            <w:r>
              <w:rPr>
                <w:rStyle w:val="IndexLink"/>
                <w:rtl w:val="true"/>
              </w:rPr>
              <w:t>)</w:t>
              <w:tab/>
            </w:r>
            <w:r>
              <w:rPr>
                <w:rStyle w:val="IndexLink"/>
              </w:rPr>
              <w:t>324</w:t>
            </w:r>
          </w:hyperlink>
        </w:p>
        <w:p>
          <w:pPr>
            <w:pStyle w:val="Contents6"/>
            <w:tabs>
              <w:tab w:val="clear" w:pos="7609"/>
              <w:tab w:val="right" w:pos="9026" w:leader="dot"/>
            </w:tabs>
            <w:rPr/>
          </w:pPr>
          <w:hyperlink w:anchor="__RefHeading___Toc2992004_2870459653">
            <w:r>
              <w:rPr>
                <w:webHidden/>
                <w:rStyle w:val="IndexLink"/>
                <w:rtl w:val="true"/>
              </w:rPr>
              <w:t>أقوال القادحين من العامّة</w:t>
            </w:r>
            <w:r>
              <w:rPr>
                <w:rStyle w:val="IndexLink"/>
                <w:rtl w:val="true"/>
              </w:rPr>
              <w:tab/>
            </w:r>
            <w:r>
              <w:rPr>
                <w:rStyle w:val="IndexLink"/>
              </w:rPr>
              <w:t>325</w:t>
            </w:r>
          </w:hyperlink>
        </w:p>
        <w:p>
          <w:pPr>
            <w:pStyle w:val="Contents6"/>
            <w:tabs>
              <w:tab w:val="clear" w:pos="7609"/>
              <w:tab w:val="right" w:pos="9026" w:leader="dot"/>
            </w:tabs>
            <w:rPr/>
          </w:pPr>
          <w:hyperlink w:anchor="__RefHeading___Toc2992006_2870459653">
            <w:r>
              <w:rPr>
                <w:webHidden/>
                <w:rStyle w:val="IndexLink"/>
                <w:rtl w:val="true"/>
              </w:rPr>
              <w:t>الطبقة الأولى</w:t>
            </w:r>
            <w:r>
              <w:rPr>
                <w:rStyle w:val="IndexLink"/>
                <w:rtl w:val="true"/>
              </w:rPr>
              <w:t xml:space="preserve">: </w:t>
            </w:r>
            <w:r>
              <w:rPr>
                <w:rStyle w:val="IndexLink"/>
                <w:rtl w:val="true"/>
              </w:rPr>
              <w:t>أساتذته</w:t>
            </w:r>
            <w:r>
              <w:rPr>
                <w:rStyle w:val="IndexLink"/>
                <w:rtl w:val="true"/>
              </w:rPr>
              <w:t>..</w:t>
              <w:tab/>
            </w:r>
            <w:r>
              <w:rPr>
                <w:rStyle w:val="IndexLink"/>
              </w:rPr>
              <w:t>325</w:t>
            </w:r>
          </w:hyperlink>
        </w:p>
        <w:p>
          <w:pPr>
            <w:pStyle w:val="Contents6"/>
            <w:tabs>
              <w:tab w:val="clear" w:pos="7609"/>
              <w:tab w:val="right" w:pos="9026" w:leader="dot"/>
            </w:tabs>
            <w:rPr/>
          </w:pPr>
          <w:hyperlink w:anchor="__RefHeading___Toc2992008_2870459653">
            <w:r>
              <w:rPr>
                <w:webHidden/>
                <w:rStyle w:val="IndexLink"/>
              </w:rPr>
              <w:t>1</w:t>
            </w:r>
            <w:r>
              <w:rPr>
                <w:rStyle w:val="IndexLink"/>
                <w:rtl w:val="true"/>
              </w:rPr>
              <w:t xml:space="preserve">. </w:t>
            </w:r>
            <w:r>
              <w:rPr>
                <w:rStyle w:val="IndexLink"/>
                <w:rtl w:val="true"/>
              </w:rPr>
              <w:t xml:space="preserve">عامر الشّعبي </w:t>
            </w:r>
            <w:r>
              <w:rPr>
                <w:rStyle w:val="IndexLink"/>
                <w:rtl w:val="true"/>
              </w:rPr>
              <w:t>(</w:t>
            </w:r>
            <w:r>
              <w:rPr>
                <w:rStyle w:val="IndexLink"/>
                <w:rtl w:val="true"/>
              </w:rPr>
              <w:t xml:space="preserve">ت </w:t>
            </w:r>
            <w:r>
              <w:rPr>
                <w:rStyle w:val="IndexLink"/>
              </w:rPr>
              <w:t>103</w:t>
            </w:r>
            <w:r>
              <w:rPr>
                <w:rStyle w:val="IndexLink"/>
                <w:rtl w:val="true"/>
              </w:rPr>
              <w:t xml:space="preserve">ﻫ </w:t>
            </w:r>
            <w:r>
              <w:rPr>
                <w:rStyle w:val="IndexLink"/>
                <w:rtl w:val="true"/>
              </w:rPr>
              <w:t>)</w:t>
              <w:tab/>
            </w:r>
            <w:r>
              <w:rPr>
                <w:rStyle w:val="IndexLink"/>
              </w:rPr>
              <w:t>325</w:t>
            </w:r>
          </w:hyperlink>
        </w:p>
        <w:p>
          <w:pPr>
            <w:pStyle w:val="Contents6"/>
            <w:tabs>
              <w:tab w:val="clear" w:pos="7609"/>
              <w:tab w:val="right" w:pos="9026" w:leader="dot"/>
            </w:tabs>
            <w:rPr/>
          </w:pPr>
          <w:hyperlink w:anchor="__RefHeading___Toc2992010_2870459653">
            <w:r>
              <w:rPr>
                <w:webHidden/>
                <w:rStyle w:val="IndexLink"/>
              </w:rPr>
              <w:t>2</w:t>
            </w:r>
            <w:r>
              <w:rPr>
                <w:rStyle w:val="IndexLink"/>
                <w:rtl w:val="true"/>
              </w:rPr>
              <w:t xml:space="preserve">. </w:t>
            </w:r>
            <w:r>
              <w:rPr>
                <w:rStyle w:val="IndexLink"/>
                <w:rtl w:val="true"/>
              </w:rPr>
              <w:t xml:space="preserve">سعيد بن جبير </w:t>
            </w:r>
            <w:r>
              <w:rPr>
                <w:rStyle w:val="IndexLink"/>
                <w:rtl w:val="true"/>
              </w:rPr>
              <w:t>(</w:t>
            </w:r>
            <w:r>
              <w:rPr>
                <w:rStyle w:val="IndexLink"/>
                <w:rtl w:val="true"/>
              </w:rPr>
              <w:t xml:space="preserve">ت </w:t>
            </w:r>
            <w:r>
              <w:rPr>
                <w:rStyle w:val="IndexLink"/>
              </w:rPr>
              <w:t>95</w:t>
            </w:r>
            <w:r>
              <w:rPr>
                <w:rStyle w:val="IndexLink"/>
                <w:rtl w:val="true"/>
              </w:rPr>
              <w:t xml:space="preserve">ﻫ </w:t>
            </w:r>
            <w:r>
              <w:rPr>
                <w:rStyle w:val="IndexLink"/>
                <w:rtl w:val="true"/>
              </w:rPr>
              <w:t xml:space="preserve">) </w:t>
            </w:r>
            <w:r>
              <w:rPr>
                <w:rStyle w:val="IndexLink"/>
                <w:rtl w:val="true"/>
              </w:rPr>
              <w:t>وهو في طبقة مشايخ جابر</w:t>
            </w:r>
            <w:r>
              <w:rPr>
                <w:rStyle w:val="IndexLink"/>
                <w:rtl w:val="true"/>
              </w:rPr>
              <w:t>..</w:t>
              <w:tab/>
            </w:r>
            <w:r>
              <w:rPr>
                <w:rStyle w:val="IndexLink"/>
              </w:rPr>
              <w:t>326</w:t>
            </w:r>
          </w:hyperlink>
        </w:p>
        <w:p>
          <w:pPr>
            <w:pStyle w:val="Contents6"/>
            <w:tabs>
              <w:tab w:val="clear" w:pos="7609"/>
              <w:tab w:val="right" w:pos="9026" w:leader="dot"/>
            </w:tabs>
            <w:rPr/>
          </w:pPr>
          <w:hyperlink w:anchor="__RefHeading___Toc2992012_2870459653">
            <w:r>
              <w:rPr>
                <w:webHidden/>
                <w:rStyle w:val="IndexLink"/>
                <w:rtl w:val="true"/>
              </w:rPr>
              <w:t>الطبقة الثانية</w:t>
            </w:r>
            <w:r>
              <w:rPr>
                <w:rStyle w:val="IndexLink"/>
                <w:rtl w:val="true"/>
              </w:rPr>
              <w:t xml:space="preserve">: </w:t>
            </w:r>
            <w:r>
              <w:rPr>
                <w:rStyle w:val="IndexLink"/>
                <w:rtl w:val="true"/>
              </w:rPr>
              <w:t>طبقة تلاميذه</w:t>
            </w:r>
            <w:r>
              <w:rPr>
                <w:rStyle w:val="IndexLink"/>
                <w:rtl w:val="true"/>
              </w:rPr>
              <w:t>..</w:t>
              <w:tab/>
            </w:r>
            <w:r>
              <w:rPr>
                <w:rStyle w:val="IndexLink"/>
              </w:rPr>
              <w:t>326</w:t>
            </w:r>
          </w:hyperlink>
        </w:p>
        <w:p>
          <w:pPr>
            <w:pStyle w:val="Contents6"/>
            <w:tabs>
              <w:tab w:val="clear" w:pos="7609"/>
              <w:tab w:val="right" w:pos="9026" w:leader="dot"/>
            </w:tabs>
            <w:rPr/>
          </w:pPr>
          <w:hyperlink w:anchor="__RefHeading___Toc2992014_2870459653">
            <w:r>
              <w:rPr>
                <w:webHidden/>
                <w:rStyle w:val="IndexLink"/>
              </w:rPr>
              <w:t>1</w:t>
            </w:r>
            <w:r>
              <w:rPr>
                <w:rStyle w:val="IndexLink"/>
                <w:rtl w:val="true"/>
              </w:rPr>
              <w:t xml:space="preserve">. </w:t>
            </w:r>
            <w:r>
              <w:rPr>
                <w:rStyle w:val="IndexLink"/>
                <w:rtl w:val="true"/>
              </w:rPr>
              <w:t>النّاس</w:t>
            </w:r>
            <w:r>
              <w:rPr>
                <w:rStyle w:val="IndexLink"/>
                <w:rtl w:val="true"/>
              </w:rPr>
              <w:tab/>
            </w:r>
            <w:r>
              <w:rPr>
                <w:rStyle w:val="IndexLink"/>
              </w:rPr>
              <w:t>326</w:t>
            </w:r>
          </w:hyperlink>
        </w:p>
        <w:p>
          <w:pPr>
            <w:pStyle w:val="Contents6"/>
            <w:tabs>
              <w:tab w:val="clear" w:pos="7609"/>
              <w:tab w:val="right" w:pos="9026" w:leader="dot"/>
            </w:tabs>
            <w:rPr/>
          </w:pPr>
          <w:hyperlink w:anchor="__RefHeading___Toc2992016_2870459653">
            <w:r>
              <w:rPr>
                <w:webHidden/>
                <w:rStyle w:val="IndexLink"/>
              </w:rPr>
              <w:t>2</w:t>
            </w:r>
            <w:r>
              <w:rPr>
                <w:rStyle w:val="IndexLink"/>
                <w:rtl w:val="true"/>
              </w:rPr>
              <w:t xml:space="preserve">. </w:t>
            </w:r>
            <w:r>
              <w:rPr>
                <w:rStyle w:val="IndexLink"/>
                <w:rtl w:val="true"/>
              </w:rPr>
              <w:t xml:space="preserve">أبو حنيفة </w:t>
            </w:r>
            <w:r>
              <w:rPr>
                <w:rStyle w:val="IndexLink"/>
                <w:rtl w:val="true"/>
              </w:rPr>
              <w:t>(</w:t>
            </w:r>
            <w:r>
              <w:rPr>
                <w:rStyle w:val="IndexLink"/>
                <w:rtl w:val="true"/>
              </w:rPr>
              <w:t xml:space="preserve">ت </w:t>
            </w:r>
            <w:r>
              <w:rPr>
                <w:rStyle w:val="IndexLink"/>
              </w:rPr>
              <w:t>150</w:t>
            </w:r>
            <w:r>
              <w:rPr>
                <w:rStyle w:val="IndexLink"/>
                <w:rtl w:val="true"/>
              </w:rPr>
              <w:t xml:space="preserve">ﻫ </w:t>
            </w:r>
            <w:r>
              <w:rPr>
                <w:rStyle w:val="IndexLink"/>
                <w:rtl w:val="true"/>
              </w:rPr>
              <w:t>)</w:t>
              <w:tab/>
            </w:r>
            <w:r>
              <w:rPr>
                <w:rStyle w:val="IndexLink"/>
              </w:rPr>
              <w:t>326</w:t>
            </w:r>
          </w:hyperlink>
        </w:p>
        <w:p>
          <w:pPr>
            <w:pStyle w:val="Contents6"/>
            <w:tabs>
              <w:tab w:val="clear" w:pos="7609"/>
              <w:tab w:val="right" w:pos="9026" w:leader="dot"/>
            </w:tabs>
            <w:rPr/>
          </w:pPr>
          <w:hyperlink w:anchor="__RefHeading___Toc2992018_2870459653">
            <w:r>
              <w:rPr>
                <w:webHidden/>
                <w:rStyle w:val="IndexLink"/>
              </w:rPr>
              <w:t>3</w:t>
            </w:r>
            <w:r>
              <w:rPr>
                <w:rStyle w:val="IndexLink"/>
                <w:rtl w:val="true"/>
              </w:rPr>
              <w:t xml:space="preserve">. </w:t>
            </w:r>
            <w:r>
              <w:rPr>
                <w:rStyle w:val="IndexLink"/>
                <w:rtl w:val="true"/>
              </w:rPr>
              <w:t xml:space="preserve">سلام بن أبي مطيع </w:t>
            </w:r>
            <w:r>
              <w:rPr>
                <w:rStyle w:val="IndexLink"/>
                <w:rtl w:val="true"/>
              </w:rPr>
              <w:t>(</w:t>
            </w:r>
            <w:r>
              <w:rPr>
                <w:rStyle w:val="IndexLink"/>
                <w:rtl w:val="true"/>
              </w:rPr>
              <w:t xml:space="preserve">ت </w:t>
            </w:r>
            <w:r>
              <w:rPr>
                <w:rStyle w:val="IndexLink"/>
              </w:rPr>
              <w:t>164</w:t>
            </w:r>
            <w:r>
              <w:rPr>
                <w:rStyle w:val="IndexLink"/>
                <w:rtl w:val="true"/>
              </w:rPr>
              <w:t xml:space="preserve">ﻫ </w:t>
            </w:r>
            <w:r>
              <w:rPr>
                <w:rStyle w:val="IndexLink"/>
                <w:rtl w:val="true"/>
              </w:rPr>
              <w:t>)</w:t>
              <w:tab/>
            </w:r>
            <w:r>
              <w:rPr>
                <w:rStyle w:val="IndexLink"/>
              </w:rPr>
              <w:t>327</w:t>
            </w:r>
          </w:hyperlink>
        </w:p>
        <w:p>
          <w:pPr>
            <w:pStyle w:val="Contents6"/>
            <w:tabs>
              <w:tab w:val="clear" w:pos="7609"/>
              <w:tab w:val="right" w:pos="9026" w:leader="dot"/>
            </w:tabs>
            <w:rPr/>
          </w:pPr>
          <w:hyperlink w:anchor="__RefHeading___Toc2992020_2870459653">
            <w:r>
              <w:rPr>
                <w:webHidden/>
                <w:rStyle w:val="IndexLink"/>
              </w:rPr>
              <w:t>4</w:t>
            </w:r>
            <w:r>
              <w:rPr>
                <w:rStyle w:val="IndexLink"/>
                <w:rtl w:val="true"/>
              </w:rPr>
              <w:t xml:space="preserve">. </w:t>
            </w:r>
            <w:r>
              <w:rPr>
                <w:rStyle w:val="IndexLink"/>
                <w:rtl w:val="true"/>
              </w:rPr>
              <w:t xml:space="preserve">زائدة </w:t>
            </w:r>
            <w:r>
              <w:rPr>
                <w:rStyle w:val="IndexLink"/>
                <w:rtl w:val="true"/>
              </w:rPr>
              <w:t>(</w:t>
            </w:r>
            <w:r>
              <w:rPr>
                <w:rStyle w:val="IndexLink"/>
                <w:rtl w:val="true"/>
              </w:rPr>
              <w:t xml:space="preserve">ت </w:t>
            </w:r>
            <w:r>
              <w:rPr>
                <w:rStyle w:val="IndexLink"/>
              </w:rPr>
              <w:t>161</w:t>
            </w:r>
            <w:r>
              <w:rPr>
                <w:rStyle w:val="IndexLink"/>
                <w:rtl w:val="true"/>
              </w:rPr>
              <w:t xml:space="preserve">ﻫ </w:t>
            </w:r>
            <w:r>
              <w:rPr>
                <w:rStyle w:val="IndexLink"/>
                <w:rtl w:val="true"/>
              </w:rPr>
              <w:t>)</w:t>
              <w:tab/>
            </w:r>
            <w:r>
              <w:rPr>
                <w:rStyle w:val="IndexLink"/>
              </w:rPr>
              <w:t>327</w:t>
            </w:r>
          </w:hyperlink>
        </w:p>
        <w:p>
          <w:pPr>
            <w:pStyle w:val="Contents6"/>
            <w:tabs>
              <w:tab w:val="clear" w:pos="7609"/>
              <w:tab w:val="right" w:pos="9026" w:leader="dot"/>
            </w:tabs>
            <w:rPr/>
          </w:pPr>
          <w:hyperlink w:anchor="__RefHeading___Toc2992022_2870459653">
            <w:r>
              <w:rPr>
                <w:webHidden/>
                <w:rStyle w:val="IndexLink"/>
              </w:rPr>
              <w:t>5</w:t>
            </w:r>
            <w:r>
              <w:rPr>
                <w:rStyle w:val="IndexLink"/>
                <w:rtl w:val="true"/>
              </w:rPr>
              <w:t xml:space="preserve">. </w:t>
            </w:r>
            <w:r>
              <w:rPr>
                <w:rStyle w:val="IndexLink"/>
                <w:rtl w:val="true"/>
              </w:rPr>
              <w:t xml:space="preserve">جرير بن عبد الحميد </w:t>
            </w:r>
            <w:r>
              <w:rPr>
                <w:rStyle w:val="IndexLink"/>
                <w:rtl w:val="true"/>
              </w:rPr>
              <w:t>(</w:t>
            </w:r>
            <w:r>
              <w:rPr>
                <w:rStyle w:val="IndexLink"/>
                <w:rtl w:val="true"/>
              </w:rPr>
              <w:t xml:space="preserve">ت </w:t>
            </w:r>
            <w:r>
              <w:rPr>
                <w:rStyle w:val="IndexLink"/>
              </w:rPr>
              <w:t>188</w:t>
            </w:r>
            <w:r>
              <w:rPr>
                <w:rStyle w:val="IndexLink"/>
                <w:rtl w:val="true"/>
              </w:rPr>
              <w:t xml:space="preserve">ﻫ </w:t>
            </w:r>
            <w:r>
              <w:rPr>
                <w:rStyle w:val="IndexLink"/>
                <w:rtl w:val="true"/>
              </w:rPr>
              <w:t>)</w:t>
              <w:tab/>
            </w:r>
            <w:r>
              <w:rPr>
                <w:rStyle w:val="IndexLink"/>
              </w:rPr>
              <w:t>328</w:t>
            </w:r>
          </w:hyperlink>
        </w:p>
        <w:p>
          <w:pPr>
            <w:pStyle w:val="Contents6"/>
            <w:tabs>
              <w:tab w:val="clear" w:pos="7609"/>
              <w:tab w:val="right" w:pos="9026" w:leader="dot"/>
            </w:tabs>
            <w:rPr/>
          </w:pPr>
          <w:hyperlink w:anchor="__RefHeading___Toc2992024_2870459653">
            <w:r>
              <w:rPr>
                <w:webHidden/>
                <w:rStyle w:val="IndexLink"/>
              </w:rPr>
              <w:t>6</w:t>
            </w:r>
            <w:r>
              <w:rPr>
                <w:rStyle w:val="IndexLink"/>
                <w:rtl w:val="true"/>
              </w:rPr>
              <w:t xml:space="preserve">. </w:t>
            </w:r>
            <w:r>
              <w:rPr>
                <w:rStyle w:val="IndexLink"/>
                <w:rtl w:val="true"/>
              </w:rPr>
              <w:t xml:space="preserve">سفيان بن عيينة </w:t>
            </w:r>
            <w:r>
              <w:rPr>
                <w:rStyle w:val="IndexLink"/>
                <w:rtl w:val="true"/>
              </w:rPr>
              <w:t>(</w:t>
            </w:r>
            <w:r>
              <w:rPr>
                <w:rStyle w:val="IndexLink"/>
                <w:rtl w:val="true"/>
              </w:rPr>
              <w:t xml:space="preserve">ت </w:t>
            </w:r>
            <w:r>
              <w:rPr>
                <w:rStyle w:val="IndexLink"/>
              </w:rPr>
              <w:t>198</w:t>
            </w:r>
            <w:r>
              <w:rPr>
                <w:rStyle w:val="IndexLink"/>
                <w:rtl w:val="true"/>
              </w:rPr>
              <w:t xml:space="preserve">ﻫ </w:t>
            </w:r>
            <w:r>
              <w:rPr>
                <w:rStyle w:val="IndexLink"/>
                <w:rtl w:val="true"/>
              </w:rPr>
              <w:t>)</w:t>
              <w:tab/>
            </w:r>
            <w:r>
              <w:rPr>
                <w:rStyle w:val="IndexLink"/>
              </w:rPr>
              <w:t>328</w:t>
            </w:r>
          </w:hyperlink>
        </w:p>
        <w:p>
          <w:pPr>
            <w:pStyle w:val="Contents6"/>
            <w:tabs>
              <w:tab w:val="clear" w:pos="7609"/>
              <w:tab w:val="right" w:pos="9026" w:leader="dot"/>
            </w:tabs>
            <w:rPr/>
          </w:pPr>
          <w:hyperlink w:anchor="__RefHeading___Toc2992026_2870459653">
            <w:r>
              <w:rPr>
                <w:webHidden/>
                <w:rStyle w:val="IndexLink"/>
              </w:rPr>
              <w:t>7</w:t>
            </w:r>
            <w:r>
              <w:rPr>
                <w:rStyle w:val="IndexLink"/>
                <w:rtl w:val="true"/>
              </w:rPr>
              <w:t xml:space="preserve">. </w:t>
            </w:r>
            <w:r>
              <w:rPr>
                <w:rStyle w:val="IndexLink"/>
                <w:rtl w:val="true"/>
              </w:rPr>
              <w:t xml:space="preserve">يحيى بن أبي عمرو أبو زرعة </w:t>
            </w:r>
            <w:r>
              <w:rPr>
                <w:rStyle w:val="IndexLink"/>
                <w:rtl w:val="true"/>
              </w:rPr>
              <w:t>(</w:t>
            </w:r>
            <w:r>
              <w:rPr>
                <w:rStyle w:val="IndexLink"/>
                <w:rtl w:val="true"/>
              </w:rPr>
              <w:t xml:space="preserve">ت </w:t>
            </w:r>
            <w:r>
              <w:rPr>
                <w:rStyle w:val="IndexLink"/>
              </w:rPr>
              <w:t>148</w:t>
            </w:r>
            <w:r>
              <w:rPr>
                <w:rStyle w:val="IndexLink"/>
                <w:rtl w:val="true"/>
              </w:rPr>
              <w:t xml:space="preserve">ﻫ </w:t>
            </w:r>
            <w:r>
              <w:rPr>
                <w:rStyle w:val="IndexLink"/>
                <w:rtl w:val="true"/>
              </w:rPr>
              <w:t>)</w:t>
              <w:tab/>
            </w:r>
            <w:r>
              <w:rPr>
                <w:rStyle w:val="IndexLink"/>
              </w:rPr>
              <w:t>329</w:t>
            </w:r>
          </w:hyperlink>
        </w:p>
        <w:p>
          <w:pPr>
            <w:pStyle w:val="Contents6"/>
            <w:tabs>
              <w:tab w:val="clear" w:pos="7609"/>
              <w:tab w:val="right" w:pos="9026" w:leader="dot"/>
            </w:tabs>
            <w:rPr/>
          </w:pPr>
          <w:hyperlink w:anchor="__RefHeading___Toc2992028_2870459653">
            <w:r>
              <w:rPr>
                <w:webHidden/>
                <w:rStyle w:val="IndexLink"/>
                <w:rtl w:val="true"/>
              </w:rPr>
              <w:t>الطبقة الثالثة</w:t>
            </w:r>
            <w:r>
              <w:rPr>
                <w:rStyle w:val="IndexLink"/>
                <w:rtl w:val="true"/>
              </w:rPr>
              <w:t xml:space="preserve">: </w:t>
            </w:r>
            <w:r>
              <w:rPr>
                <w:rStyle w:val="IndexLink"/>
                <w:rtl w:val="true"/>
              </w:rPr>
              <w:t>طبقة تلامذة تلامذته ومن بعدهم</w:t>
            </w:r>
            <w:r>
              <w:rPr>
                <w:rStyle w:val="IndexLink"/>
                <w:rtl w:val="true"/>
              </w:rPr>
              <w:t>..</w:t>
              <w:tab/>
            </w:r>
            <w:r>
              <w:rPr>
                <w:rStyle w:val="IndexLink"/>
              </w:rPr>
              <w:t>330</w:t>
            </w:r>
          </w:hyperlink>
        </w:p>
        <w:p>
          <w:pPr>
            <w:pStyle w:val="Contents6"/>
            <w:tabs>
              <w:tab w:val="clear" w:pos="7609"/>
              <w:tab w:val="right" w:pos="9026" w:leader="dot"/>
            </w:tabs>
            <w:rPr/>
          </w:pPr>
          <w:hyperlink w:anchor="__RefHeading___Toc2992030_2870459653">
            <w:r>
              <w:rPr>
                <w:webHidden/>
                <w:rStyle w:val="IndexLink"/>
              </w:rPr>
              <w:t>1</w:t>
            </w:r>
            <w:r>
              <w:rPr>
                <w:rStyle w:val="IndexLink"/>
                <w:rtl w:val="true"/>
              </w:rPr>
              <w:t xml:space="preserve">. </w:t>
            </w:r>
            <w:r>
              <w:rPr>
                <w:rStyle w:val="IndexLink"/>
                <w:rtl w:val="true"/>
              </w:rPr>
              <w:t xml:space="preserve">عبد الرحمن بن مهدي </w:t>
            </w:r>
            <w:r>
              <w:rPr>
                <w:rStyle w:val="IndexLink"/>
                <w:rtl w:val="true"/>
              </w:rPr>
              <w:t>(</w:t>
            </w:r>
            <w:r>
              <w:rPr>
                <w:rStyle w:val="IndexLink"/>
                <w:rtl w:val="true"/>
              </w:rPr>
              <w:t xml:space="preserve">ت </w:t>
            </w:r>
            <w:r>
              <w:rPr>
                <w:rStyle w:val="IndexLink"/>
              </w:rPr>
              <w:t>198</w:t>
            </w:r>
            <w:r>
              <w:rPr>
                <w:rStyle w:val="IndexLink"/>
                <w:rtl w:val="true"/>
              </w:rPr>
              <w:t xml:space="preserve">ﻫ </w:t>
            </w:r>
            <w:r>
              <w:rPr>
                <w:rStyle w:val="IndexLink"/>
                <w:rtl w:val="true"/>
              </w:rPr>
              <w:t>)..</w:t>
              <w:tab/>
            </w:r>
            <w:r>
              <w:rPr>
                <w:rStyle w:val="IndexLink"/>
              </w:rPr>
              <w:t>330</w:t>
            </w:r>
          </w:hyperlink>
        </w:p>
        <w:p>
          <w:pPr>
            <w:pStyle w:val="Contents6"/>
            <w:tabs>
              <w:tab w:val="clear" w:pos="7609"/>
              <w:tab w:val="right" w:pos="9026" w:leader="dot"/>
            </w:tabs>
            <w:rPr/>
          </w:pPr>
          <w:hyperlink w:anchor="__RefHeading___Toc2992032_2870459653">
            <w:r>
              <w:rPr>
                <w:webHidden/>
                <w:rStyle w:val="IndexLink"/>
              </w:rPr>
              <w:t>2</w:t>
            </w:r>
            <w:r>
              <w:rPr>
                <w:rStyle w:val="IndexLink"/>
                <w:rtl w:val="true"/>
              </w:rPr>
              <w:t xml:space="preserve">. </w:t>
            </w:r>
            <w:r>
              <w:rPr>
                <w:rStyle w:val="IndexLink"/>
                <w:rtl w:val="true"/>
              </w:rPr>
              <w:t xml:space="preserve">يحيى بن معين </w:t>
            </w:r>
            <w:r>
              <w:rPr>
                <w:rStyle w:val="IndexLink"/>
                <w:rtl w:val="true"/>
              </w:rPr>
              <w:t>(</w:t>
            </w:r>
            <w:r>
              <w:rPr>
                <w:rStyle w:val="IndexLink"/>
                <w:rtl w:val="true"/>
              </w:rPr>
              <w:t xml:space="preserve">ت </w:t>
            </w:r>
            <w:r>
              <w:rPr>
                <w:rStyle w:val="IndexLink"/>
              </w:rPr>
              <w:t>233</w:t>
            </w:r>
            <w:r>
              <w:rPr>
                <w:rStyle w:val="IndexLink"/>
                <w:rtl w:val="true"/>
              </w:rPr>
              <w:t xml:space="preserve">ﻫ </w:t>
            </w:r>
            <w:r>
              <w:rPr>
                <w:rStyle w:val="IndexLink"/>
                <w:rtl w:val="true"/>
              </w:rPr>
              <w:t>)</w:t>
              <w:tab/>
            </w:r>
            <w:r>
              <w:rPr>
                <w:rStyle w:val="IndexLink"/>
              </w:rPr>
              <w:t>330</w:t>
            </w:r>
          </w:hyperlink>
        </w:p>
        <w:p>
          <w:pPr>
            <w:pStyle w:val="Contents6"/>
            <w:tabs>
              <w:tab w:val="clear" w:pos="7609"/>
              <w:tab w:val="right" w:pos="9026" w:leader="dot"/>
            </w:tabs>
            <w:rPr/>
          </w:pPr>
          <w:hyperlink w:anchor="__RefHeading___Toc2992034_2870459653">
            <w:r>
              <w:rPr>
                <w:webHidden/>
                <w:rStyle w:val="IndexLink"/>
              </w:rPr>
              <w:t>3</w:t>
            </w:r>
            <w:r>
              <w:rPr>
                <w:rStyle w:val="IndexLink"/>
                <w:rtl w:val="true"/>
              </w:rPr>
              <w:t xml:space="preserve">. </w:t>
            </w:r>
            <w:r>
              <w:rPr>
                <w:rStyle w:val="IndexLink"/>
                <w:rtl w:val="true"/>
              </w:rPr>
              <w:t xml:space="preserve">العجلي </w:t>
            </w:r>
            <w:r>
              <w:rPr>
                <w:rStyle w:val="IndexLink"/>
                <w:rtl w:val="true"/>
              </w:rPr>
              <w:t>(</w:t>
            </w:r>
            <w:r>
              <w:rPr>
                <w:rStyle w:val="IndexLink"/>
                <w:rtl w:val="true"/>
              </w:rPr>
              <w:t xml:space="preserve">ت </w:t>
            </w:r>
            <w:r>
              <w:rPr>
                <w:rStyle w:val="IndexLink"/>
              </w:rPr>
              <w:t>261</w:t>
            </w:r>
            <w:r>
              <w:rPr>
                <w:rStyle w:val="IndexLink"/>
                <w:rtl w:val="true"/>
              </w:rPr>
              <w:t xml:space="preserve">ﻫ </w:t>
            </w:r>
            <w:r>
              <w:rPr>
                <w:rStyle w:val="IndexLink"/>
                <w:rtl w:val="true"/>
              </w:rPr>
              <w:t>)</w:t>
              <w:tab/>
            </w:r>
            <w:r>
              <w:rPr>
                <w:rStyle w:val="IndexLink"/>
              </w:rPr>
              <w:t>331</w:t>
            </w:r>
          </w:hyperlink>
        </w:p>
        <w:p>
          <w:pPr>
            <w:pStyle w:val="Contents6"/>
            <w:tabs>
              <w:tab w:val="clear" w:pos="7609"/>
              <w:tab w:val="right" w:pos="9026" w:leader="dot"/>
            </w:tabs>
            <w:rPr/>
          </w:pPr>
          <w:hyperlink w:anchor="__RefHeading___Toc2992036_2870459653">
            <w:r>
              <w:rPr>
                <w:webHidden/>
                <w:rStyle w:val="IndexLink"/>
              </w:rPr>
              <w:t>4</w:t>
            </w:r>
            <w:r>
              <w:rPr>
                <w:rStyle w:val="IndexLink"/>
                <w:rtl w:val="true"/>
              </w:rPr>
              <w:t xml:space="preserve">. </w:t>
            </w:r>
            <w:r>
              <w:rPr>
                <w:rStyle w:val="IndexLink"/>
                <w:rtl w:val="true"/>
              </w:rPr>
              <w:t xml:space="preserve">النسائي </w:t>
            </w:r>
            <w:r>
              <w:rPr>
                <w:rStyle w:val="IndexLink"/>
                <w:rtl w:val="true"/>
              </w:rPr>
              <w:t>(</w:t>
            </w:r>
            <w:r>
              <w:rPr>
                <w:rStyle w:val="IndexLink"/>
                <w:rtl w:val="true"/>
              </w:rPr>
              <w:t xml:space="preserve">ت </w:t>
            </w:r>
            <w:r>
              <w:rPr>
                <w:rStyle w:val="IndexLink"/>
              </w:rPr>
              <w:t>303</w:t>
            </w:r>
            <w:r>
              <w:rPr>
                <w:rStyle w:val="IndexLink"/>
                <w:rtl w:val="true"/>
              </w:rPr>
              <w:t xml:space="preserve">ﻫ </w:t>
            </w:r>
            <w:r>
              <w:rPr>
                <w:rStyle w:val="IndexLink"/>
                <w:rtl w:val="true"/>
              </w:rPr>
              <w:t>)</w:t>
              <w:tab/>
            </w:r>
            <w:r>
              <w:rPr>
                <w:rStyle w:val="IndexLink"/>
              </w:rPr>
              <w:t>331</w:t>
            </w:r>
          </w:hyperlink>
        </w:p>
        <w:p>
          <w:pPr>
            <w:pStyle w:val="Contents6"/>
            <w:tabs>
              <w:tab w:val="clear" w:pos="7609"/>
              <w:tab w:val="right" w:pos="9026" w:leader="dot"/>
            </w:tabs>
            <w:rPr/>
          </w:pPr>
          <w:hyperlink w:anchor="__RefHeading___Toc2992038_2870459653">
            <w:r>
              <w:rPr>
                <w:webHidden/>
                <w:rStyle w:val="IndexLink"/>
              </w:rPr>
              <w:t>5</w:t>
            </w:r>
            <w:r>
              <w:rPr>
                <w:rStyle w:val="IndexLink"/>
                <w:rtl w:val="true"/>
              </w:rPr>
              <w:t xml:space="preserve">. </w:t>
            </w:r>
            <w:r>
              <w:rPr>
                <w:rStyle w:val="IndexLink"/>
                <w:rtl w:val="true"/>
              </w:rPr>
              <w:t xml:space="preserve">ابن حبّان </w:t>
            </w:r>
            <w:r>
              <w:rPr>
                <w:rStyle w:val="IndexLink"/>
                <w:rtl w:val="true"/>
              </w:rPr>
              <w:t>(</w:t>
            </w:r>
            <w:r>
              <w:rPr>
                <w:rStyle w:val="IndexLink"/>
                <w:rtl w:val="true"/>
              </w:rPr>
              <w:t xml:space="preserve">ت </w:t>
            </w:r>
            <w:r>
              <w:rPr>
                <w:rStyle w:val="IndexLink"/>
              </w:rPr>
              <w:t>354</w:t>
            </w:r>
            <w:r>
              <w:rPr>
                <w:rStyle w:val="IndexLink"/>
                <w:rtl w:val="true"/>
              </w:rPr>
              <w:t xml:space="preserve">ﻫ </w:t>
            </w:r>
            <w:r>
              <w:rPr>
                <w:rStyle w:val="IndexLink"/>
                <w:rtl w:val="true"/>
              </w:rPr>
              <w:t>)</w:t>
              <w:tab/>
            </w:r>
            <w:r>
              <w:rPr>
                <w:rStyle w:val="IndexLink"/>
              </w:rPr>
              <w:t>331</w:t>
            </w:r>
          </w:hyperlink>
        </w:p>
        <w:p>
          <w:pPr>
            <w:pStyle w:val="Contents6"/>
            <w:tabs>
              <w:tab w:val="clear" w:pos="7609"/>
              <w:tab w:val="right" w:pos="9026" w:leader="dot"/>
            </w:tabs>
            <w:rPr/>
          </w:pPr>
          <w:hyperlink w:anchor="__RefHeading___Toc2992040_2870459653">
            <w:r>
              <w:rPr>
                <w:webHidden/>
                <w:rStyle w:val="IndexLink"/>
              </w:rPr>
              <w:t>6</w:t>
            </w:r>
            <w:r>
              <w:rPr>
                <w:rStyle w:val="IndexLink"/>
                <w:rtl w:val="true"/>
              </w:rPr>
              <w:t xml:space="preserve">. </w:t>
            </w:r>
            <w:r>
              <w:rPr>
                <w:rStyle w:val="IndexLink"/>
                <w:rtl w:val="true"/>
              </w:rPr>
              <w:t xml:space="preserve">ابن عدي </w:t>
            </w:r>
            <w:r>
              <w:rPr>
                <w:rStyle w:val="IndexLink"/>
                <w:rtl w:val="true"/>
              </w:rPr>
              <w:t>(</w:t>
            </w:r>
            <w:r>
              <w:rPr>
                <w:rStyle w:val="IndexLink"/>
                <w:rtl w:val="true"/>
              </w:rPr>
              <w:t xml:space="preserve">ت </w:t>
            </w:r>
            <w:r>
              <w:rPr>
                <w:rStyle w:val="IndexLink"/>
              </w:rPr>
              <w:t>365</w:t>
            </w:r>
            <w:r>
              <w:rPr>
                <w:rStyle w:val="IndexLink"/>
                <w:rtl w:val="true"/>
              </w:rPr>
              <w:t xml:space="preserve">ﻫ </w:t>
            </w:r>
            <w:r>
              <w:rPr>
                <w:rStyle w:val="IndexLink"/>
                <w:rtl w:val="true"/>
              </w:rPr>
              <w:t>)</w:t>
              <w:tab/>
            </w:r>
            <w:r>
              <w:rPr>
                <w:rStyle w:val="IndexLink"/>
              </w:rPr>
              <w:t>332</w:t>
            </w:r>
          </w:hyperlink>
        </w:p>
        <w:p>
          <w:pPr>
            <w:pStyle w:val="Contents6"/>
            <w:tabs>
              <w:tab w:val="clear" w:pos="7609"/>
              <w:tab w:val="right" w:pos="9026" w:leader="dot"/>
            </w:tabs>
            <w:rPr/>
          </w:pPr>
          <w:hyperlink w:anchor="__RefHeading___Toc2992042_2870459653">
            <w:r>
              <w:rPr>
                <w:webHidden/>
                <w:rStyle w:val="IndexLink"/>
                <w:rtl w:val="true"/>
              </w:rPr>
              <w:t>الأمور التي طعن بها القادحون في جابر</w:t>
            </w:r>
            <w:r>
              <w:rPr>
                <w:rStyle w:val="IndexLink"/>
                <w:rtl w:val="true"/>
              </w:rPr>
              <w:tab/>
            </w:r>
            <w:r>
              <w:rPr>
                <w:rStyle w:val="IndexLink"/>
              </w:rPr>
              <w:t>332</w:t>
            </w:r>
          </w:hyperlink>
        </w:p>
        <w:p>
          <w:pPr>
            <w:pStyle w:val="Contents6"/>
            <w:tabs>
              <w:tab w:val="clear" w:pos="7609"/>
              <w:tab w:val="right" w:pos="9026" w:leader="dot"/>
            </w:tabs>
            <w:rPr/>
          </w:pPr>
          <w:hyperlink w:anchor="__RefHeading___Toc2992044_2870459653">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992046_2870459653">
            <w:r>
              <w:rPr>
                <w:webHidden/>
                <w:rStyle w:val="IndexLink"/>
                <w:rtl w:val="true"/>
              </w:rPr>
              <w:t>تقييم المطاعن المذكورة</w:t>
            </w:r>
            <w:r>
              <w:rPr>
                <w:rStyle w:val="IndexLink"/>
                <w:rtl w:val="true"/>
              </w:rPr>
              <w:tab/>
            </w:r>
            <w:r>
              <w:rPr>
                <w:rStyle w:val="IndexLink"/>
              </w:rPr>
              <w:t>333</w:t>
            </w:r>
          </w:hyperlink>
        </w:p>
        <w:p>
          <w:pPr>
            <w:pStyle w:val="Contents6"/>
            <w:tabs>
              <w:tab w:val="clear" w:pos="7609"/>
              <w:tab w:val="right" w:pos="9026" w:leader="dot"/>
            </w:tabs>
            <w:rPr/>
          </w:pPr>
          <w:hyperlink w:anchor="__RefHeading___Toc2992048_2870459653">
            <w:r>
              <w:rPr>
                <w:webHidden/>
                <w:rStyle w:val="IndexLink"/>
                <w:rtl w:val="true"/>
              </w:rPr>
              <w:t>الأوَّل</w:t>
            </w:r>
            <w:r>
              <w:rPr>
                <w:rStyle w:val="IndexLink"/>
                <w:rtl w:val="true"/>
              </w:rPr>
              <w:t xml:space="preserve">: </w:t>
            </w:r>
            <w:r>
              <w:rPr>
                <w:rStyle w:val="IndexLink"/>
                <w:rtl w:val="true"/>
              </w:rPr>
              <w:t>كذبه في ما ادعاه من أنَّ لديه أحاديث كثيرة لم يروها لأحد</w:t>
            </w:r>
            <w:r>
              <w:rPr>
                <w:rStyle w:val="IndexLink"/>
                <w:rtl w:val="true"/>
              </w:rPr>
              <w:t>..</w:t>
              <w:tab/>
            </w:r>
            <w:r>
              <w:rPr>
                <w:rStyle w:val="IndexLink"/>
              </w:rPr>
              <w:t>333</w:t>
            </w:r>
          </w:hyperlink>
        </w:p>
        <w:p>
          <w:pPr>
            <w:pStyle w:val="Contents6"/>
            <w:tabs>
              <w:tab w:val="clear" w:pos="7609"/>
              <w:tab w:val="right" w:pos="9026" w:leader="dot"/>
            </w:tabs>
            <w:rPr/>
          </w:pPr>
          <w:hyperlink w:anchor="__RefHeading___Toc2992050_2870459653">
            <w:r>
              <w:rPr>
                <w:webHidden/>
                <w:rStyle w:val="IndexLink"/>
                <w:rtl w:val="true"/>
              </w:rPr>
              <w:t>الطعن بالكذب</w:t>
            </w:r>
            <w:r>
              <w:rPr>
                <w:rStyle w:val="IndexLink"/>
                <w:rtl w:val="true"/>
              </w:rPr>
              <w:tab/>
            </w:r>
            <w:r>
              <w:rPr>
                <w:rStyle w:val="IndexLink"/>
              </w:rPr>
              <w:t>338</w:t>
            </w:r>
          </w:hyperlink>
        </w:p>
        <w:p>
          <w:pPr>
            <w:pStyle w:val="Contents6"/>
            <w:tabs>
              <w:tab w:val="clear" w:pos="7609"/>
              <w:tab w:val="right" w:pos="9026" w:leader="dot"/>
            </w:tabs>
            <w:rPr/>
          </w:pPr>
          <w:hyperlink w:anchor="__RefHeading___Toc2992052_2870459653">
            <w:r>
              <w:rPr>
                <w:webHidden/>
                <w:rStyle w:val="IndexLink"/>
                <w:rtl w:val="true"/>
              </w:rPr>
              <w:t>الثّاني</w:t>
            </w:r>
            <w:r>
              <w:rPr>
                <w:rStyle w:val="IndexLink"/>
                <w:rtl w:val="true"/>
              </w:rPr>
              <w:t xml:space="preserve">: </w:t>
            </w:r>
            <w:r>
              <w:rPr>
                <w:rStyle w:val="IndexLink"/>
                <w:rtl w:val="true"/>
              </w:rPr>
              <w:t>اتّهامه بالكذب</w:t>
            </w:r>
            <w:r>
              <w:rPr>
                <w:rStyle w:val="IndexLink"/>
                <w:rtl w:val="true"/>
              </w:rPr>
              <w:t>..</w:t>
              <w:tab/>
            </w:r>
            <w:r>
              <w:rPr>
                <w:rStyle w:val="IndexLink"/>
              </w:rPr>
              <w:t>338</w:t>
            </w:r>
          </w:hyperlink>
        </w:p>
        <w:p>
          <w:pPr>
            <w:pStyle w:val="Contents6"/>
            <w:tabs>
              <w:tab w:val="clear" w:pos="7609"/>
              <w:tab w:val="right" w:pos="9026" w:leader="dot"/>
            </w:tabs>
            <w:rPr/>
          </w:pPr>
          <w:hyperlink w:anchor="__RefHeading___Toc2992054_2870459653">
            <w:r>
              <w:rPr>
                <w:webHidden/>
                <w:rStyle w:val="IndexLink"/>
                <w:rtl w:val="true"/>
              </w:rPr>
              <w:t>الطعن بالتدليس</w:t>
            </w:r>
            <w:r>
              <w:rPr>
                <w:rStyle w:val="IndexLink"/>
                <w:rtl w:val="true"/>
              </w:rPr>
              <w:tab/>
            </w:r>
            <w:r>
              <w:rPr>
                <w:rStyle w:val="IndexLink"/>
              </w:rPr>
              <w:t>342</w:t>
            </w:r>
          </w:hyperlink>
        </w:p>
        <w:p>
          <w:pPr>
            <w:pStyle w:val="Contents6"/>
            <w:tabs>
              <w:tab w:val="clear" w:pos="7609"/>
              <w:tab w:val="right" w:pos="9026" w:leader="dot"/>
            </w:tabs>
            <w:rPr/>
          </w:pPr>
          <w:hyperlink w:anchor="__RefHeading___Toc2992056_2870459653">
            <w:r>
              <w:rPr>
                <w:webHidden/>
                <w:rStyle w:val="IndexLink"/>
                <w:rtl w:val="true"/>
              </w:rPr>
              <w:t>الثّالث</w:t>
            </w:r>
            <w:r>
              <w:rPr>
                <w:rStyle w:val="IndexLink"/>
                <w:rtl w:val="true"/>
              </w:rPr>
              <w:t xml:space="preserve">: </w:t>
            </w:r>
            <w:r>
              <w:rPr>
                <w:rStyle w:val="IndexLink"/>
                <w:rtl w:val="true"/>
              </w:rPr>
              <w:t>الطعن عليه بالتدليس</w:t>
            </w:r>
            <w:r>
              <w:rPr>
                <w:rStyle w:val="IndexLink"/>
                <w:rtl w:val="true"/>
              </w:rPr>
              <w:t>..</w:t>
              <w:tab/>
            </w:r>
            <w:r>
              <w:rPr>
                <w:rStyle w:val="IndexLink"/>
              </w:rPr>
              <w:t>342</w:t>
            </w:r>
          </w:hyperlink>
        </w:p>
        <w:p>
          <w:pPr>
            <w:pStyle w:val="Contents6"/>
            <w:tabs>
              <w:tab w:val="clear" w:pos="7609"/>
              <w:tab w:val="right" w:pos="9026" w:leader="dot"/>
            </w:tabs>
            <w:rPr/>
          </w:pPr>
          <w:hyperlink w:anchor="__RefHeading___Toc2992058_2870459653">
            <w:r>
              <w:rPr>
                <w:webHidden/>
                <w:rStyle w:val="IndexLink"/>
                <w:rtl w:val="true"/>
              </w:rPr>
              <w:t>التدليس في اللغة</w:t>
            </w:r>
            <w:r>
              <w:rPr>
                <w:rStyle w:val="IndexLink"/>
                <w:rtl w:val="true"/>
              </w:rPr>
              <w:t>..</w:t>
              <w:tab/>
            </w:r>
            <w:r>
              <w:rPr>
                <w:rStyle w:val="IndexLink"/>
              </w:rPr>
              <w:t>343</w:t>
            </w:r>
          </w:hyperlink>
        </w:p>
        <w:p>
          <w:pPr>
            <w:pStyle w:val="Contents6"/>
            <w:tabs>
              <w:tab w:val="clear" w:pos="7609"/>
              <w:tab w:val="right" w:pos="9026" w:leader="dot"/>
            </w:tabs>
            <w:rPr/>
          </w:pPr>
          <w:hyperlink w:anchor="__RefHeading___Toc2992060_2870459653">
            <w:r>
              <w:rPr>
                <w:webHidden/>
                <w:rStyle w:val="IndexLink"/>
                <w:rtl w:val="true"/>
              </w:rPr>
              <w:t>الطعن عليه باللين</w:t>
            </w:r>
            <w:r>
              <w:rPr>
                <w:rStyle w:val="IndexLink"/>
                <w:rtl w:val="true"/>
              </w:rPr>
              <w:tab/>
            </w:r>
            <w:r>
              <w:rPr>
                <w:rStyle w:val="IndexLink"/>
              </w:rPr>
              <w:t>348</w:t>
            </w:r>
          </w:hyperlink>
        </w:p>
        <w:p>
          <w:pPr>
            <w:pStyle w:val="Contents6"/>
            <w:tabs>
              <w:tab w:val="clear" w:pos="7609"/>
              <w:tab w:val="right" w:pos="9026" w:leader="dot"/>
            </w:tabs>
            <w:rPr/>
          </w:pPr>
          <w:hyperlink w:anchor="__RefHeading___Toc2992062_2870459653">
            <w:r>
              <w:rPr>
                <w:webHidden/>
                <w:rStyle w:val="IndexLink"/>
                <w:rtl w:val="true"/>
              </w:rPr>
              <w:t>الرابع</w:t>
            </w:r>
            <w:r>
              <w:rPr>
                <w:rStyle w:val="IndexLink"/>
                <w:rtl w:val="true"/>
              </w:rPr>
              <w:t xml:space="preserve">: </w:t>
            </w:r>
            <w:r>
              <w:rPr>
                <w:rStyle w:val="IndexLink"/>
                <w:rtl w:val="true"/>
              </w:rPr>
              <w:t>الطعن عليه بأنَّ فيه ليناً</w:t>
            </w:r>
            <w:r>
              <w:rPr>
                <w:rStyle w:val="IndexLink"/>
                <w:rtl w:val="true"/>
              </w:rPr>
              <w:t>..</w:t>
              <w:tab/>
            </w:r>
            <w:r>
              <w:rPr>
                <w:rStyle w:val="IndexLink"/>
              </w:rPr>
              <w:t>348</w:t>
            </w:r>
          </w:hyperlink>
        </w:p>
        <w:p>
          <w:pPr>
            <w:pStyle w:val="Contents2"/>
            <w:tabs>
              <w:tab w:val="clear" w:pos="8743"/>
              <w:tab w:val="right" w:pos="9026" w:leader="dot"/>
            </w:tabs>
            <w:rPr/>
          </w:pPr>
          <w:hyperlink w:anchor="__RefHeading___Toc2992064_2870459653">
            <w:r>
              <w:rPr>
                <w:webHidden/>
                <w:rStyle w:val="IndexLink"/>
                <w:rtl w:val="true"/>
              </w:rPr>
              <w:t xml:space="preserve">جواب مسألتين للفقيه الكبير الشّيخ أحمد آل كاشف الغطاء </w:t>
            </w:r>
            <w:r>
              <w:rPr>
                <w:rStyle w:val="IndexLink"/>
                <w:rtl w:val="true"/>
              </w:rPr>
              <w:t>(</w:t>
            </w:r>
            <w:r>
              <w:rPr>
                <w:rStyle w:val="IndexLink"/>
                <w:rtl w:val="true"/>
              </w:rPr>
              <w:t>قدس سره</w:t>
            </w:r>
            <w:r>
              <w:rPr>
                <w:rStyle w:val="IndexLink"/>
                <w:rtl w:val="true"/>
              </w:rPr>
              <w:t>)</w:t>
              <w:tab/>
            </w:r>
            <w:r>
              <w:rPr>
                <w:rStyle w:val="IndexLink"/>
              </w:rPr>
              <w:t>353</w:t>
            </w:r>
          </w:hyperlink>
        </w:p>
        <w:p>
          <w:pPr>
            <w:pStyle w:val="Contents3"/>
            <w:tabs>
              <w:tab w:val="clear" w:pos="8459"/>
              <w:tab w:val="right" w:pos="9026" w:leader="dot"/>
            </w:tabs>
            <w:rPr/>
          </w:pPr>
          <w:hyperlink w:anchor="__RefHeading___Toc2992066_2870459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2992068_2870459653">
            <w:r>
              <w:rPr>
                <w:webHidden/>
                <w:rStyle w:val="IndexLink"/>
                <w:rtl w:val="true"/>
              </w:rPr>
              <w:t>مقدّمة المجلّة</w:t>
            </w:r>
            <w:r>
              <w:rPr>
                <w:rStyle w:val="IndexLink"/>
                <w:rtl w:val="true"/>
              </w:rPr>
              <w:tab/>
            </w:r>
            <w:r>
              <w:rPr>
                <w:rStyle w:val="IndexLink"/>
              </w:rPr>
              <w:t>355</w:t>
            </w:r>
          </w:hyperlink>
        </w:p>
        <w:p>
          <w:pPr>
            <w:pStyle w:val="Contents3"/>
            <w:tabs>
              <w:tab w:val="clear" w:pos="8459"/>
              <w:tab w:val="right" w:pos="9026" w:leader="dot"/>
            </w:tabs>
            <w:rPr/>
          </w:pPr>
          <w:hyperlink w:anchor="__RefHeading___Toc2992070_2870459653">
            <w:r>
              <w:rPr>
                <w:webHidden/>
                <w:rStyle w:val="IndexLink"/>
                <w:rtl w:val="true"/>
              </w:rPr>
              <w:t>مقدّمة التّحقيق</w:t>
            </w:r>
            <w:r>
              <w:rPr>
                <w:rStyle w:val="IndexLink"/>
                <w:rtl w:val="true"/>
              </w:rPr>
              <w:tab/>
            </w:r>
            <w:r>
              <w:rPr>
                <w:rStyle w:val="IndexLink"/>
              </w:rPr>
              <w:t>357</w:t>
            </w:r>
          </w:hyperlink>
        </w:p>
        <w:p>
          <w:pPr>
            <w:pStyle w:val="Contents4"/>
            <w:tabs>
              <w:tab w:val="clear" w:pos="8176"/>
              <w:tab w:val="right" w:pos="9026" w:leader="dot"/>
            </w:tabs>
            <w:rPr/>
          </w:pPr>
          <w:hyperlink w:anchor="__RefHeading___Toc2992072_2870459653">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2992074_2870459653">
            <w:r>
              <w:rPr>
                <w:webHidden/>
                <w:rStyle w:val="IndexLink"/>
                <w:rtl w:val="true"/>
              </w:rPr>
              <w:t>الباب الأوَّل</w:t>
            </w:r>
            <w:r>
              <w:rPr>
                <w:rStyle w:val="IndexLink"/>
                <w:rtl w:val="true"/>
              </w:rPr>
              <w:tab/>
            </w:r>
            <w:r>
              <w:rPr>
                <w:rStyle w:val="IndexLink"/>
              </w:rPr>
              <w:t>359</w:t>
            </w:r>
          </w:hyperlink>
        </w:p>
        <w:p>
          <w:pPr>
            <w:pStyle w:val="Contents5"/>
            <w:tabs>
              <w:tab w:val="clear" w:pos="7892"/>
              <w:tab w:val="right" w:pos="9026" w:leader="dot"/>
            </w:tabs>
            <w:rPr/>
          </w:pPr>
          <w:hyperlink w:anchor="__RefHeading___Toc2992076_2870459653">
            <w:r>
              <w:rPr>
                <w:webHidden/>
                <w:rStyle w:val="IndexLink"/>
              </w:rPr>
              <w:t>1</w:t>
            </w:r>
            <w:r>
              <w:rPr>
                <w:rStyle w:val="IndexLink"/>
                <w:rtl w:val="true"/>
              </w:rPr>
              <w:t xml:space="preserve">. </w:t>
            </w:r>
            <w:r>
              <w:rPr>
                <w:rStyle w:val="IndexLink"/>
                <w:rtl w:val="true"/>
              </w:rPr>
              <w:t xml:space="preserve">ترجمة السَّيّد محمَّد كاظم اليزدي </w:t>
            </w:r>
            <w:r>
              <w:rPr>
                <w:rStyle w:val="IndexLink"/>
                <w:rtl w:val="true"/>
              </w:rPr>
              <w:t>(</w:t>
            </w:r>
            <w:r>
              <w:rPr>
                <w:rStyle w:val="IndexLink"/>
                <w:rtl w:val="true"/>
              </w:rPr>
              <w:t>رضوان الله تعالی علیه</w:t>
            </w:r>
            <w:r>
              <w:rPr>
                <w:rStyle w:val="IndexLink"/>
                <w:rtl w:val="true"/>
              </w:rPr>
              <w:t>)</w:t>
              <w:tab/>
            </w:r>
            <w:r>
              <w:rPr>
                <w:rStyle w:val="IndexLink"/>
              </w:rPr>
              <w:t>359</w:t>
            </w:r>
          </w:hyperlink>
        </w:p>
        <w:p>
          <w:pPr>
            <w:pStyle w:val="Contents6"/>
            <w:tabs>
              <w:tab w:val="clear" w:pos="7609"/>
              <w:tab w:val="right" w:pos="9026" w:leader="dot"/>
            </w:tabs>
            <w:rPr/>
          </w:pPr>
          <w:hyperlink w:anchor="__RefHeading___Toc2992078_287045965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2992080_2870459653">
            <w:r>
              <w:rPr>
                <w:webHidden/>
                <w:rStyle w:val="IndexLink"/>
                <w:rtl w:val="true"/>
              </w:rPr>
              <w:t>تلامذته</w:t>
            </w:r>
            <w:r>
              <w:rPr>
                <w:rStyle w:val="IndexLink"/>
                <w:rtl w:val="true"/>
              </w:rPr>
              <w:tab/>
            </w:r>
            <w:r>
              <w:rPr>
                <w:rStyle w:val="IndexLink"/>
              </w:rPr>
              <w:t>360</w:t>
            </w:r>
          </w:hyperlink>
        </w:p>
        <w:p>
          <w:pPr>
            <w:pStyle w:val="Contents6"/>
            <w:tabs>
              <w:tab w:val="clear" w:pos="7609"/>
              <w:tab w:val="right" w:pos="9026" w:leader="dot"/>
            </w:tabs>
            <w:rPr/>
          </w:pPr>
          <w:hyperlink w:anchor="__RefHeading___Toc2992082_2870459653">
            <w:r>
              <w:rPr>
                <w:webHidden/>
                <w:rStyle w:val="IndexLink"/>
                <w:rtl w:val="true"/>
              </w:rPr>
              <w:t>مرجعيته</w:t>
            </w:r>
            <w:r>
              <w:rPr>
                <w:rStyle w:val="IndexLink"/>
                <w:rtl w:val="true"/>
              </w:rPr>
              <w:tab/>
            </w:r>
            <w:r>
              <w:rPr>
                <w:rStyle w:val="IndexLink"/>
              </w:rPr>
              <w:t>360</w:t>
            </w:r>
          </w:hyperlink>
        </w:p>
        <w:p>
          <w:pPr>
            <w:pStyle w:val="Contents6"/>
            <w:tabs>
              <w:tab w:val="clear" w:pos="7609"/>
              <w:tab w:val="right" w:pos="9026" w:leader="dot"/>
            </w:tabs>
            <w:rPr/>
          </w:pPr>
          <w:hyperlink w:anchor="__RefHeading___Toc2992084_2870459653">
            <w:r>
              <w:rPr>
                <w:webHidden/>
                <w:rStyle w:val="IndexLink"/>
                <w:rtl w:val="true"/>
              </w:rPr>
              <w:t>مصنفاته</w:t>
            </w:r>
            <w:r>
              <w:rPr>
                <w:rStyle w:val="IndexLink"/>
                <w:rtl w:val="true"/>
              </w:rPr>
              <w:tab/>
            </w:r>
            <w:r>
              <w:rPr>
                <w:rStyle w:val="IndexLink"/>
              </w:rPr>
              <w:t>361</w:t>
            </w:r>
          </w:hyperlink>
        </w:p>
        <w:p>
          <w:pPr>
            <w:pStyle w:val="Contents6"/>
            <w:tabs>
              <w:tab w:val="clear" w:pos="7609"/>
              <w:tab w:val="right" w:pos="9026" w:leader="dot"/>
            </w:tabs>
            <w:rPr/>
          </w:pPr>
          <w:hyperlink w:anchor="__RefHeading___Toc2992086_2870459653">
            <w:r>
              <w:rPr>
                <w:webHidden/>
                <w:rStyle w:val="IndexLink"/>
                <w:rtl w:val="true"/>
              </w:rPr>
              <w:t>العروة الوثقى</w:t>
            </w:r>
            <w:r>
              <w:rPr>
                <w:rStyle w:val="IndexLink"/>
                <w:rtl w:val="true"/>
              </w:rPr>
              <w:tab/>
            </w:r>
            <w:r>
              <w:rPr>
                <w:rStyle w:val="IndexLink"/>
              </w:rPr>
              <w:t>361</w:t>
            </w:r>
          </w:hyperlink>
        </w:p>
        <w:p>
          <w:pPr>
            <w:pStyle w:val="Contents6"/>
            <w:tabs>
              <w:tab w:val="clear" w:pos="7609"/>
              <w:tab w:val="right" w:pos="9026" w:leader="dot"/>
            </w:tabs>
            <w:rPr/>
          </w:pPr>
          <w:hyperlink w:anchor="__RefHeading___Toc2992088_2870459653">
            <w:r>
              <w:rPr>
                <w:webHidden/>
                <w:rStyle w:val="IndexLink"/>
                <w:rtl w:val="true"/>
              </w:rPr>
              <w:t xml:space="preserve">أهم الحوادث السّياسيّة التي اتفقت إبّان مرجعيته </w:t>
            </w:r>
            <w:r>
              <w:rPr>
                <w:rStyle w:val="IndexLink"/>
                <w:rtl w:val="true"/>
              </w:rPr>
              <w:t>(</w:t>
            </w:r>
            <w:r>
              <w:rPr>
                <w:rStyle w:val="IndexLink"/>
                <w:rtl w:val="true"/>
              </w:rPr>
              <w:t>رضوان الله تعالی علیه</w:t>
            </w:r>
            <w:r>
              <w:rPr>
                <w:rStyle w:val="IndexLink"/>
                <w:rtl w:val="true"/>
              </w:rPr>
              <w:t>)..</w:t>
              <w:tab/>
            </w:r>
            <w:r>
              <w:rPr>
                <w:rStyle w:val="IndexLink"/>
              </w:rPr>
              <w:t>362</w:t>
            </w:r>
          </w:hyperlink>
        </w:p>
        <w:p>
          <w:pPr>
            <w:pStyle w:val="Contents5"/>
            <w:tabs>
              <w:tab w:val="clear" w:pos="7892"/>
              <w:tab w:val="right" w:pos="9026" w:leader="dot"/>
            </w:tabs>
            <w:rPr/>
          </w:pPr>
          <w:hyperlink w:anchor="__RefHeading___Toc2992090_2870459653">
            <w:r>
              <w:rPr>
                <w:webHidden/>
                <w:rStyle w:val="IndexLink"/>
              </w:rPr>
              <w:t>2</w:t>
            </w:r>
            <w:r>
              <w:rPr>
                <w:rStyle w:val="IndexLink"/>
                <w:rtl w:val="true"/>
              </w:rPr>
              <w:t xml:space="preserve">. </w:t>
            </w:r>
            <w:r>
              <w:rPr>
                <w:rStyle w:val="IndexLink"/>
                <w:rtl w:val="true"/>
              </w:rPr>
              <w:t xml:space="preserve">الشّيخ أحمد آل حرز </w:t>
            </w:r>
            <w:r>
              <w:rPr>
                <w:rStyle w:val="IndexLink"/>
                <w:rtl w:val="true"/>
              </w:rPr>
              <w:t>(</w:t>
            </w:r>
            <w:r>
              <w:rPr>
                <w:rStyle w:val="IndexLink"/>
                <w:rtl w:val="true"/>
              </w:rPr>
              <w:t>رحمة الله</w:t>
            </w:r>
            <w:r>
              <w:rPr>
                <w:rStyle w:val="IndexLink"/>
                <w:rtl w:val="true"/>
              </w:rPr>
              <w:t>)</w:t>
              <w:tab/>
            </w:r>
            <w:r>
              <w:rPr>
                <w:rStyle w:val="IndexLink"/>
              </w:rPr>
              <w:t>363</w:t>
            </w:r>
          </w:hyperlink>
        </w:p>
        <w:p>
          <w:pPr>
            <w:pStyle w:val="Contents5"/>
            <w:tabs>
              <w:tab w:val="clear" w:pos="7892"/>
              <w:tab w:val="right" w:pos="9026" w:leader="dot"/>
            </w:tabs>
            <w:rPr/>
          </w:pPr>
          <w:hyperlink w:anchor="__RefHeading___Toc2992092_2870459653">
            <w:r>
              <w:rPr>
                <w:webHidden/>
                <w:rStyle w:val="IndexLink"/>
              </w:rPr>
              <w:t>3</w:t>
            </w:r>
            <w:r>
              <w:rPr>
                <w:rStyle w:val="IndexLink"/>
                <w:rtl w:val="true"/>
              </w:rPr>
              <w:t xml:space="preserve">. </w:t>
            </w:r>
            <w:r>
              <w:rPr>
                <w:rStyle w:val="IndexLink"/>
                <w:rtl w:val="true"/>
              </w:rPr>
              <w:t xml:space="preserve">الشّيخ أحمد آل كاشف الغطاء </w:t>
            </w:r>
            <w:r>
              <w:rPr>
                <w:rStyle w:val="IndexLink"/>
                <w:rtl w:val="true"/>
              </w:rPr>
              <w:t>(</w:t>
            </w:r>
            <w:r>
              <w:rPr>
                <w:rStyle w:val="IndexLink"/>
                <w:rtl w:val="true"/>
              </w:rPr>
              <w:t>قدس سره</w:t>
            </w:r>
            <w:r>
              <w:rPr>
                <w:rStyle w:val="IndexLink"/>
                <w:rtl w:val="true"/>
              </w:rPr>
              <w:t>)</w:t>
              <w:tab/>
            </w:r>
            <w:r>
              <w:rPr>
                <w:rStyle w:val="IndexLink"/>
              </w:rPr>
              <w:t>365</w:t>
            </w:r>
          </w:hyperlink>
        </w:p>
        <w:p>
          <w:pPr>
            <w:pStyle w:val="Contents6"/>
            <w:tabs>
              <w:tab w:val="clear" w:pos="7609"/>
              <w:tab w:val="right" w:pos="9026" w:leader="dot"/>
            </w:tabs>
            <w:rPr/>
          </w:pPr>
          <w:hyperlink w:anchor="__RefHeading___Toc2992094_2870459653">
            <w:r>
              <w:rPr>
                <w:webHidden/>
                <w:rStyle w:val="IndexLink"/>
              </w:rPr>
              <w:t>1</w:t>
            </w:r>
            <w:r>
              <w:rPr>
                <w:rStyle w:val="IndexLink"/>
                <w:rtl w:val="true"/>
              </w:rPr>
              <w:t xml:space="preserve">. </w:t>
            </w:r>
            <w:r>
              <w:rPr>
                <w:rStyle w:val="IndexLink"/>
                <w:rtl w:val="true"/>
              </w:rPr>
              <w:t>نسبه ونسبته</w:t>
            </w:r>
            <w:r>
              <w:rPr>
                <w:rStyle w:val="IndexLink"/>
                <w:rtl w:val="true"/>
              </w:rPr>
              <w:t>..</w:t>
              <w:tab/>
            </w:r>
            <w:r>
              <w:rPr>
                <w:rStyle w:val="IndexLink"/>
              </w:rPr>
              <w:t>365</w:t>
            </w:r>
          </w:hyperlink>
        </w:p>
        <w:p>
          <w:pPr>
            <w:pStyle w:val="Contents6"/>
            <w:tabs>
              <w:tab w:val="clear" w:pos="7609"/>
              <w:tab w:val="right" w:pos="9026" w:leader="dot"/>
            </w:tabs>
            <w:rPr/>
          </w:pPr>
          <w:hyperlink w:anchor="__RefHeading___Toc2992096_2870459653">
            <w:r>
              <w:rPr>
                <w:webHidden/>
                <w:rStyle w:val="IndexLink"/>
              </w:rPr>
              <w:t>2</w:t>
            </w:r>
            <w:r>
              <w:rPr>
                <w:rStyle w:val="IndexLink"/>
                <w:rtl w:val="true"/>
              </w:rPr>
              <w:t xml:space="preserve">. </w:t>
            </w:r>
            <w:r>
              <w:rPr>
                <w:rStyle w:val="IndexLink"/>
                <w:rtl w:val="true"/>
              </w:rPr>
              <w:t>ولادته ونشأته</w:t>
            </w:r>
            <w:r>
              <w:rPr>
                <w:rStyle w:val="IndexLink"/>
                <w:rtl w:val="true"/>
              </w:rPr>
              <w:t>..</w:t>
              <w:tab/>
            </w:r>
            <w:r>
              <w:rPr>
                <w:rStyle w:val="IndexLink"/>
              </w:rPr>
              <w:t>365</w:t>
            </w:r>
          </w:hyperlink>
        </w:p>
        <w:p>
          <w:pPr>
            <w:pStyle w:val="Contents6"/>
            <w:tabs>
              <w:tab w:val="clear" w:pos="7609"/>
              <w:tab w:val="right" w:pos="9026" w:leader="dot"/>
            </w:tabs>
            <w:rPr/>
          </w:pPr>
          <w:hyperlink w:anchor="__RefHeading___Toc2992098_2870459653">
            <w:r>
              <w:rPr>
                <w:webHidden/>
                <w:rStyle w:val="IndexLink"/>
              </w:rPr>
              <w:t>3</w:t>
            </w:r>
            <w:r>
              <w:rPr>
                <w:rStyle w:val="IndexLink"/>
                <w:rtl w:val="true"/>
              </w:rPr>
              <w:t xml:space="preserve">. </w:t>
            </w:r>
            <w:r>
              <w:rPr>
                <w:rStyle w:val="IndexLink"/>
                <w:rtl w:val="true"/>
              </w:rPr>
              <w:t>دراسته وحياته العلميَّة</w:t>
            </w:r>
            <w:r>
              <w:rPr>
                <w:rStyle w:val="IndexLink"/>
                <w:rtl w:val="true"/>
              </w:rPr>
              <w:t>..</w:t>
              <w:tab/>
            </w:r>
            <w:r>
              <w:rPr>
                <w:rStyle w:val="IndexLink"/>
              </w:rPr>
              <w:t>365</w:t>
            </w:r>
          </w:hyperlink>
        </w:p>
        <w:p>
          <w:pPr>
            <w:pStyle w:val="Contents6"/>
            <w:tabs>
              <w:tab w:val="clear" w:pos="7609"/>
              <w:tab w:val="right" w:pos="9026" w:leader="dot"/>
            </w:tabs>
            <w:rPr/>
          </w:pPr>
          <w:hyperlink w:anchor="__RefHeading___Toc2992100_2870459653">
            <w:r>
              <w:rPr>
                <w:webHidden/>
                <w:rStyle w:val="IndexLink"/>
              </w:rPr>
              <w:t>4</w:t>
            </w:r>
            <w:r>
              <w:rPr>
                <w:rStyle w:val="IndexLink"/>
                <w:rtl w:val="true"/>
              </w:rPr>
              <w:t xml:space="preserve">. </w:t>
            </w:r>
            <w:r>
              <w:rPr>
                <w:rStyle w:val="IndexLink"/>
                <w:rtl w:val="true"/>
              </w:rPr>
              <w:t>مكانته العلميَّة</w:t>
            </w:r>
            <w:r>
              <w:rPr>
                <w:rStyle w:val="IndexLink"/>
                <w:rtl w:val="true"/>
              </w:rPr>
              <w:t>..</w:t>
              <w:tab/>
            </w:r>
            <w:r>
              <w:rPr>
                <w:rStyle w:val="IndexLink"/>
              </w:rPr>
              <w:t>367</w:t>
            </w:r>
          </w:hyperlink>
        </w:p>
        <w:p>
          <w:pPr>
            <w:pStyle w:val="Contents6"/>
            <w:tabs>
              <w:tab w:val="clear" w:pos="7609"/>
              <w:tab w:val="right" w:pos="9026" w:leader="dot"/>
            </w:tabs>
            <w:rPr/>
          </w:pPr>
          <w:hyperlink w:anchor="__RefHeading___Toc2992102_2870459653">
            <w:r>
              <w:rPr>
                <w:webHidden/>
                <w:rStyle w:val="IndexLink"/>
              </w:rPr>
              <w:t>5</w:t>
            </w:r>
            <w:r>
              <w:rPr>
                <w:rStyle w:val="IndexLink"/>
                <w:rtl w:val="true"/>
              </w:rPr>
              <w:t xml:space="preserve">. </w:t>
            </w:r>
            <w:r>
              <w:rPr>
                <w:rStyle w:val="IndexLink"/>
                <w:rtl w:val="true"/>
              </w:rPr>
              <w:t>مرجعيته</w:t>
            </w:r>
            <w:r>
              <w:rPr>
                <w:rStyle w:val="IndexLink"/>
                <w:rtl w:val="true"/>
              </w:rPr>
              <w:t>..</w:t>
              <w:tab/>
            </w:r>
            <w:r>
              <w:rPr>
                <w:rStyle w:val="IndexLink"/>
              </w:rPr>
              <w:t>368</w:t>
            </w:r>
          </w:hyperlink>
        </w:p>
        <w:p>
          <w:pPr>
            <w:pStyle w:val="Contents6"/>
            <w:tabs>
              <w:tab w:val="clear" w:pos="7609"/>
              <w:tab w:val="right" w:pos="9026" w:leader="dot"/>
            </w:tabs>
            <w:rPr/>
          </w:pPr>
          <w:hyperlink w:anchor="__RefHeading___Toc2992104_2870459653">
            <w:r>
              <w:rPr>
                <w:webHidden/>
                <w:rStyle w:val="IndexLink"/>
              </w:rPr>
              <w:t>6</w:t>
            </w:r>
            <w:r>
              <w:rPr>
                <w:rStyle w:val="IndexLink"/>
                <w:rtl w:val="true"/>
              </w:rPr>
              <w:t xml:space="preserve">. </w:t>
            </w:r>
            <w:r>
              <w:rPr>
                <w:rStyle w:val="IndexLink"/>
                <w:rtl w:val="true"/>
              </w:rPr>
              <w:t>عصره</w:t>
            </w:r>
            <w:r>
              <w:rPr>
                <w:rStyle w:val="IndexLink"/>
                <w:rtl w:val="true"/>
              </w:rPr>
              <w:t>..</w:t>
              <w:tab/>
            </w:r>
            <w:r>
              <w:rPr>
                <w:rStyle w:val="IndexLink"/>
              </w:rPr>
              <w:t>368</w:t>
            </w:r>
          </w:hyperlink>
        </w:p>
        <w:p>
          <w:pPr>
            <w:pStyle w:val="Contents6"/>
            <w:tabs>
              <w:tab w:val="clear" w:pos="7609"/>
              <w:tab w:val="right" w:pos="9026" w:leader="dot"/>
            </w:tabs>
            <w:rPr/>
          </w:pPr>
          <w:hyperlink w:anchor="__RefHeading___Toc2992106_2870459653">
            <w:r>
              <w:rPr>
                <w:webHidden/>
                <w:rStyle w:val="IndexLink"/>
              </w:rPr>
              <w:t>7</w:t>
            </w:r>
            <w:r>
              <w:rPr>
                <w:rStyle w:val="IndexLink"/>
                <w:rtl w:val="true"/>
              </w:rPr>
              <w:t xml:space="preserve">. </w:t>
            </w:r>
            <w:r>
              <w:rPr>
                <w:rStyle w:val="IndexLink"/>
                <w:rtl w:val="true"/>
              </w:rPr>
              <w:t>أقوال العلماء فيه</w:t>
            </w:r>
            <w:r>
              <w:rPr>
                <w:rStyle w:val="IndexLink"/>
                <w:rtl w:val="true"/>
              </w:rPr>
              <w:t>..</w:t>
              <w:tab/>
            </w:r>
            <w:r>
              <w:rPr>
                <w:rStyle w:val="IndexLink"/>
              </w:rPr>
              <w:t>370</w:t>
            </w:r>
          </w:hyperlink>
        </w:p>
        <w:p>
          <w:pPr>
            <w:pStyle w:val="Contents6"/>
            <w:tabs>
              <w:tab w:val="clear" w:pos="7609"/>
              <w:tab w:val="right" w:pos="9026" w:leader="dot"/>
            </w:tabs>
            <w:rPr/>
          </w:pPr>
          <w:hyperlink w:anchor="__RefHeading___Toc2992108_2870459653">
            <w:r>
              <w:rPr>
                <w:webHidden/>
                <w:rStyle w:val="IndexLink"/>
              </w:rPr>
              <w:t>8</w:t>
            </w:r>
            <w:r>
              <w:rPr>
                <w:rStyle w:val="IndexLink"/>
                <w:rtl w:val="true"/>
              </w:rPr>
              <w:t xml:space="preserve">. </w:t>
            </w:r>
            <w:r>
              <w:rPr>
                <w:rStyle w:val="IndexLink"/>
                <w:rtl w:val="true"/>
              </w:rPr>
              <w:t xml:space="preserve">علاقته بالسَّيّد اليزدي </w:t>
            </w:r>
            <w:r>
              <w:rPr>
                <w:rStyle w:val="IndexLink"/>
                <w:rtl w:val="true"/>
              </w:rPr>
              <w:t>(</w:t>
            </w:r>
            <w:r>
              <w:rPr>
                <w:rStyle w:val="IndexLink"/>
                <w:rtl w:val="true"/>
              </w:rPr>
              <w:t>رضوان الله تعالی علیه</w:t>
            </w:r>
            <w:r>
              <w:rPr>
                <w:rStyle w:val="IndexLink"/>
                <w:rtl w:val="true"/>
              </w:rPr>
              <w:t>)..</w:t>
              <w:tab/>
            </w:r>
            <w:r>
              <w:rPr>
                <w:rStyle w:val="IndexLink"/>
              </w:rPr>
              <w:t>371</w:t>
            </w:r>
          </w:hyperlink>
        </w:p>
        <w:p>
          <w:pPr>
            <w:pStyle w:val="Contents6"/>
            <w:tabs>
              <w:tab w:val="clear" w:pos="7609"/>
              <w:tab w:val="right" w:pos="9026" w:leader="dot"/>
            </w:tabs>
            <w:rPr/>
          </w:pPr>
          <w:hyperlink w:anchor="__RefHeading___Toc2992110_2870459653">
            <w:r>
              <w:rPr>
                <w:webHidden/>
                <w:rStyle w:val="IndexLink"/>
              </w:rPr>
              <w:t>9</w:t>
            </w:r>
            <w:r>
              <w:rPr>
                <w:rStyle w:val="IndexLink"/>
                <w:rtl w:val="true"/>
              </w:rPr>
              <w:t xml:space="preserve">. </w:t>
            </w:r>
            <w:r>
              <w:rPr>
                <w:rStyle w:val="IndexLink"/>
                <w:rtl w:val="true"/>
              </w:rPr>
              <w:t xml:space="preserve">الشّيخ أحمد </w:t>
            </w:r>
            <w:r>
              <w:rPr>
                <w:rStyle w:val="IndexLink"/>
                <w:rtl w:val="true"/>
              </w:rPr>
              <w:t>(</w:t>
            </w:r>
            <w:r>
              <w:rPr>
                <w:rStyle w:val="IndexLink"/>
                <w:rtl w:val="true"/>
              </w:rPr>
              <w:t>رضوان الله تعالی علیه</w:t>
            </w:r>
            <w:r>
              <w:rPr>
                <w:rStyle w:val="IndexLink"/>
                <w:rtl w:val="true"/>
              </w:rPr>
              <w:t xml:space="preserve">) </w:t>
            </w:r>
            <w:r>
              <w:rPr>
                <w:rStyle w:val="IndexLink"/>
                <w:rtl w:val="true"/>
              </w:rPr>
              <w:t>ومتن العروة الوثقى</w:t>
            </w:r>
            <w:r>
              <w:rPr>
                <w:rStyle w:val="IndexLink"/>
                <w:rtl w:val="true"/>
              </w:rPr>
              <w:t>..</w:t>
              <w:tab/>
            </w:r>
            <w:r>
              <w:rPr>
                <w:rStyle w:val="IndexLink"/>
              </w:rPr>
              <w:t>372</w:t>
            </w:r>
          </w:hyperlink>
        </w:p>
        <w:p>
          <w:pPr>
            <w:pStyle w:val="Contents6"/>
            <w:tabs>
              <w:tab w:val="clear" w:pos="7609"/>
              <w:tab w:val="right" w:pos="9026" w:leader="dot"/>
            </w:tabs>
            <w:rPr/>
          </w:pPr>
          <w:hyperlink w:anchor="__RefHeading___Toc2992112_2870459653">
            <w:r>
              <w:rPr>
                <w:webHidden/>
                <w:rStyle w:val="IndexLink"/>
              </w:rPr>
              <w:t>10</w:t>
            </w:r>
            <w:r>
              <w:rPr>
                <w:rStyle w:val="IndexLink"/>
                <w:rtl w:val="true"/>
              </w:rPr>
              <w:t xml:space="preserve">. </w:t>
            </w:r>
            <w:r>
              <w:rPr>
                <w:rStyle w:val="IndexLink"/>
                <w:rtl w:val="true"/>
              </w:rPr>
              <w:t xml:space="preserve">الشّيخ أحمد </w:t>
            </w:r>
            <w:r>
              <w:rPr>
                <w:rStyle w:val="IndexLink"/>
                <w:rtl w:val="true"/>
              </w:rPr>
              <w:t>(</w:t>
            </w:r>
            <w:r>
              <w:rPr>
                <w:rStyle w:val="IndexLink"/>
                <w:rtl w:val="true"/>
              </w:rPr>
              <w:t>رضوان الله تعالی علیه</w:t>
            </w:r>
            <w:r>
              <w:rPr>
                <w:rStyle w:val="IndexLink"/>
                <w:rtl w:val="true"/>
              </w:rPr>
              <w:t xml:space="preserve">) </w:t>
            </w:r>
            <w:r>
              <w:rPr>
                <w:rStyle w:val="IndexLink"/>
                <w:rtl w:val="true"/>
              </w:rPr>
              <w:t>وفاجعة البقيع</w:t>
            </w:r>
            <w:r>
              <w:rPr>
                <w:rStyle w:val="IndexLink"/>
                <w:rtl w:val="true"/>
              </w:rPr>
              <w:t>..</w:t>
              <w:tab/>
            </w:r>
            <w:r>
              <w:rPr>
                <w:rStyle w:val="IndexLink"/>
              </w:rPr>
              <w:t>373</w:t>
            </w:r>
          </w:hyperlink>
        </w:p>
        <w:p>
          <w:pPr>
            <w:pStyle w:val="Contents6"/>
            <w:tabs>
              <w:tab w:val="clear" w:pos="7609"/>
              <w:tab w:val="right" w:pos="9026" w:leader="dot"/>
            </w:tabs>
            <w:rPr/>
          </w:pPr>
          <w:hyperlink w:anchor="__RefHeading___Toc2992114_2870459653">
            <w:r>
              <w:rPr>
                <w:webHidden/>
                <w:rStyle w:val="IndexLink"/>
              </w:rPr>
              <w:t>11</w:t>
            </w:r>
            <w:r>
              <w:rPr>
                <w:rStyle w:val="IndexLink"/>
                <w:rtl w:val="true"/>
              </w:rPr>
              <w:t xml:space="preserve">. </w:t>
            </w:r>
            <w:r>
              <w:rPr>
                <w:rStyle w:val="IndexLink"/>
                <w:rtl w:val="true"/>
              </w:rPr>
              <w:t xml:space="preserve">وصيّة السَّيّد اليزدي </w:t>
            </w:r>
            <w:r>
              <w:rPr>
                <w:rStyle w:val="IndexLink"/>
                <w:rtl w:val="true"/>
              </w:rPr>
              <w:t>(</w:t>
            </w:r>
            <w:r>
              <w:rPr>
                <w:rStyle w:val="IndexLink"/>
                <w:rtl w:val="true"/>
              </w:rPr>
              <w:t>رضوان الله تعالی علیه</w:t>
            </w:r>
            <w:r>
              <w:rPr>
                <w:rStyle w:val="IndexLink"/>
                <w:rtl w:val="true"/>
              </w:rPr>
              <w:t>)..</w:t>
              <w:tab/>
            </w:r>
            <w:r>
              <w:rPr>
                <w:rStyle w:val="IndexLink"/>
              </w:rPr>
              <w:t>374</w:t>
            </w:r>
          </w:hyperlink>
        </w:p>
        <w:p>
          <w:pPr>
            <w:pStyle w:val="Contents6"/>
            <w:tabs>
              <w:tab w:val="clear" w:pos="7609"/>
              <w:tab w:val="right" w:pos="9026" w:leader="dot"/>
            </w:tabs>
            <w:rPr/>
          </w:pPr>
          <w:hyperlink w:anchor="__RefHeading___Toc2992116_2870459653">
            <w:r>
              <w:rPr>
                <w:webHidden/>
                <w:rStyle w:val="IndexLink"/>
              </w:rPr>
              <w:t>12</w:t>
            </w:r>
            <w:r>
              <w:rPr>
                <w:rStyle w:val="IndexLink"/>
                <w:rtl w:val="true"/>
              </w:rPr>
              <w:t xml:space="preserve">. </w:t>
            </w:r>
            <w:r>
              <w:rPr>
                <w:rStyle w:val="IndexLink"/>
                <w:rtl w:val="true"/>
              </w:rPr>
              <w:t>آثاره ومؤلفاته</w:t>
            </w:r>
            <w:r>
              <w:rPr>
                <w:rStyle w:val="IndexLink"/>
                <w:rtl w:val="true"/>
              </w:rPr>
              <w:t>..</w:t>
              <w:tab/>
            </w:r>
            <w:r>
              <w:rPr>
                <w:rStyle w:val="IndexLink"/>
              </w:rPr>
              <w:t>376</w:t>
            </w:r>
          </w:hyperlink>
        </w:p>
        <w:p>
          <w:pPr>
            <w:pStyle w:val="Contents6"/>
            <w:tabs>
              <w:tab w:val="clear" w:pos="7609"/>
              <w:tab w:val="right" w:pos="9026" w:leader="dot"/>
            </w:tabs>
            <w:rPr/>
          </w:pPr>
          <w:hyperlink w:anchor="__RefHeading___Toc2992118_2870459653">
            <w:r>
              <w:rPr>
                <w:webHidden/>
                <w:rStyle w:val="IndexLink"/>
              </w:rPr>
              <w:t>13</w:t>
            </w:r>
            <w:r>
              <w:rPr>
                <w:rStyle w:val="IndexLink"/>
                <w:rtl w:val="true"/>
              </w:rPr>
              <w:t xml:space="preserve">. </w:t>
            </w:r>
            <w:r>
              <w:rPr>
                <w:rStyle w:val="IndexLink"/>
                <w:rtl w:val="true"/>
              </w:rPr>
              <w:t>تلامذته</w:t>
            </w:r>
            <w:r>
              <w:rPr>
                <w:rStyle w:val="IndexLink"/>
                <w:rtl w:val="true"/>
              </w:rPr>
              <w:t>..</w:t>
              <w:tab/>
            </w:r>
            <w:r>
              <w:rPr>
                <w:rStyle w:val="IndexLink"/>
              </w:rPr>
              <w:t>378</w:t>
            </w:r>
          </w:hyperlink>
        </w:p>
        <w:p>
          <w:pPr>
            <w:pStyle w:val="Contents6"/>
            <w:tabs>
              <w:tab w:val="clear" w:pos="7609"/>
              <w:tab w:val="right" w:pos="9026" w:leader="dot"/>
            </w:tabs>
            <w:rPr/>
          </w:pPr>
          <w:hyperlink w:anchor="__RefHeading___Toc2992120_2870459653">
            <w:r>
              <w:rPr>
                <w:webHidden/>
                <w:rStyle w:val="IndexLink"/>
              </w:rPr>
              <w:t>14</w:t>
            </w:r>
            <w:r>
              <w:rPr>
                <w:rStyle w:val="IndexLink"/>
                <w:rtl w:val="true"/>
              </w:rPr>
              <w:t xml:space="preserve">. </w:t>
            </w:r>
            <w:r>
              <w:rPr>
                <w:rStyle w:val="IndexLink"/>
                <w:rtl w:val="true"/>
              </w:rPr>
              <w:t>إجازته في الرواية</w:t>
            </w:r>
            <w:r>
              <w:rPr>
                <w:rStyle w:val="IndexLink"/>
                <w:rtl w:val="true"/>
              </w:rPr>
              <w:t>..</w:t>
              <w:tab/>
            </w:r>
            <w:r>
              <w:rPr>
                <w:rStyle w:val="IndexLink"/>
              </w:rPr>
              <w:t>380</w:t>
            </w:r>
          </w:hyperlink>
        </w:p>
        <w:p>
          <w:pPr>
            <w:pStyle w:val="Contents6"/>
            <w:tabs>
              <w:tab w:val="clear" w:pos="7609"/>
              <w:tab w:val="right" w:pos="9026" w:leader="dot"/>
            </w:tabs>
            <w:rPr/>
          </w:pPr>
          <w:hyperlink w:anchor="__RefHeading___Toc2992122_2870459653">
            <w:r>
              <w:rPr>
                <w:webHidden/>
                <w:rStyle w:val="IndexLink"/>
              </w:rPr>
              <w:t>15</w:t>
            </w:r>
            <w:r>
              <w:rPr>
                <w:rStyle w:val="IndexLink"/>
                <w:rtl w:val="true"/>
              </w:rPr>
              <w:t xml:space="preserve">. </w:t>
            </w:r>
            <w:r>
              <w:rPr>
                <w:rStyle w:val="IndexLink"/>
                <w:rtl w:val="true"/>
              </w:rPr>
              <w:t>أولاده</w:t>
            </w:r>
            <w:r>
              <w:rPr>
                <w:rStyle w:val="IndexLink"/>
                <w:rtl w:val="true"/>
              </w:rPr>
              <w:t>..</w:t>
              <w:tab/>
            </w:r>
            <w:r>
              <w:rPr>
                <w:rStyle w:val="IndexLink"/>
              </w:rPr>
              <w:t>381</w:t>
            </w:r>
          </w:hyperlink>
        </w:p>
        <w:p>
          <w:pPr>
            <w:pStyle w:val="Contents6"/>
            <w:tabs>
              <w:tab w:val="clear" w:pos="7609"/>
              <w:tab w:val="right" w:pos="9026" w:leader="dot"/>
            </w:tabs>
            <w:rPr/>
          </w:pPr>
          <w:hyperlink w:anchor="__RefHeading___Toc2992124_2870459653">
            <w:r>
              <w:rPr>
                <w:webHidden/>
                <w:rStyle w:val="IndexLink"/>
              </w:rPr>
              <w:t>16</w:t>
            </w:r>
            <w:r>
              <w:rPr>
                <w:rStyle w:val="IndexLink"/>
                <w:rtl w:val="true"/>
              </w:rPr>
              <w:t xml:space="preserve">. </w:t>
            </w:r>
            <w:r>
              <w:rPr>
                <w:rStyle w:val="IndexLink"/>
                <w:rtl w:val="true"/>
              </w:rPr>
              <w:t>وفاته ومدفنه</w:t>
            </w:r>
            <w:r>
              <w:rPr>
                <w:rStyle w:val="IndexLink"/>
                <w:rtl w:val="true"/>
              </w:rPr>
              <w:t>..</w:t>
              <w:tab/>
            </w:r>
            <w:r>
              <w:rPr>
                <w:rStyle w:val="IndexLink"/>
              </w:rPr>
              <w:t>383</w:t>
            </w:r>
          </w:hyperlink>
        </w:p>
        <w:p>
          <w:pPr>
            <w:pStyle w:val="Contents4"/>
            <w:tabs>
              <w:tab w:val="clear" w:pos="8176"/>
              <w:tab w:val="right" w:pos="9026" w:leader="dot"/>
            </w:tabs>
            <w:rPr/>
          </w:pPr>
          <w:hyperlink w:anchor="__RefHeading___Toc2992126_2870459653">
            <w:r>
              <w:rPr>
                <w:webHidden/>
                <w:rStyle w:val="IndexLink"/>
                <w:rtl w:val="true"/>
              </w:rPr>
              <w:t>الباب الثاني</w:t>
            </w:r>
            <w:r>
              <w:rPr>
                <w:rStyle w:val="IndexLink"/>
                <w:rtl w:val="true"/>
              </w:rPr>
              <w:t xml:space="preserve">: </w:t>
            </w:r>
            <w:r>
              <w:rPr>
                <w:rStyle w:val="IndexLink"/>
                <w:rtl w:val="true"/>
              </w:rPr>
              <w:t>التعريف بالمسألتين</w:t>
            </w:r>
            <w:r>
              <w:rPr>
                <w:rStyle w:val="IndexLink"/>
                <w:rtl w:val="true"/>
              </w:rPr>
              <w:tab/>
            </w:r>
            <w:r>
              <w:rPr>
                <w:rStyle w:val="IndexLink"/>
              </w:rPr>
              <w:t>385</w:t>
            </w:r>
          </w:hyperlink>
        </w:p>
        <w:p>
          <w:pPr>
            <w:pStyle w:val="Contents5"/>
            <w:tabs>
              <w:tab w:val="clear" w:pos="7892"/>
              <w:tab w:val="right" w:pos="9026" w:leader="dot"/>
            </w:tabs>
            <w:rPr/>
          </w:pPr>
          <w:hyperlink w:anchor="__RefHeading___Toc2992128_2870459653">
            <w:r>
              <w:rPr>
                <w:webHidden/>
                <w:rStyle w:val="IndexLink"/>
              </w:rPr>
              <w:t>1</w:t>
            </w:r>
            <w:r>
              <w:rPr>
                <w:rStyle w:val="IndexLink"/>
                <w:rtl w:val="true"/>
              </w:rPr>
              <w:t xml:space="preserve">. </w:t>
            </w:r>
            <w:r>
              <w:rPr>
                <w:rStyle w:val="IndexLink"/>
                <w:rtl w:val="true"/>
              </w:rPr>
              <w:t>التعريف بمسألة الوصاية بالولاية</w:t>
            </w:r>
            <w:r>
              <w:rPr>
                <w:rStyle w:val="IndexLink"/>
                <w:rtl w:val="true"/>
              </w:rPr>
              <w:tab/>
            </w:r>
            <w:r>
              <w:rPr>
                <w:rStyle w:val="IndexLink"/>
              </w:rPr>
              <w:t>385</w:t>
            </w:r>
          </w:hyperlink>
        </w:p>
        <w:p>
          <w:pPr>
            <w:pStyle w:val="Contents5"/>
            <w:tabs>
              <w:tab w:val="clear" w:pos="7892"/>
              <w:tab w:val="right" w:pos="9026" w:leader="dot"/>
            </w:tabs>
            <w:rPr/>
          </w:pPr>
          <w:hyperlink w:anchor="__RefHeading___Toc2992130_2870459653">
            <w:r>
              <w:rPr>
                <w:webHidden/>
                <w:rStyle w:val="IndexLink"/>
              </w:rPr>
              <w:t>2</w:t>
            </w:r>
            <w:r>
              <w:rPr>
                <w:rStyle w:val="IndexLink"/>
                <w:rtl w:val="true"/>
              </w:rPr>
              <w:t xml:space="preserve">. </w:t>
            </w:r>
            <w:r>
              <w:rPr>
                <w:rStyle w:val="IndexLink"/>
                <w:rtl w:val="true"/>
              </w:rPr>
              <w:t>التعريف بمسألة الشهيد</w:t>
            </w:r>
            <w:r>
              <w:rPr>
                <w:rStyle w:val="IndexLink"/>
                <w:rtl w:val="true"/>
              </w:rPr>
              <w:tab/>
            </w:r>
            <w:r>
              <w:rPr>
                <w:rStyle w:val="IndexLink"/>
              </w:rPr>
              <w:t>386</w:t>
            </w:r>
          </w:hyperlink>
        </w:p>
        <w:p>
          <w:pPr>
            <w:pStyle w:val="Contents4"/>
            <w:tabs>
              <w:tab w:val="clear" w:pos="8176"/>
              <w:tab w:val="right" w:pos="9026" w:leader="dot"/>
            </w:tabs>
            <w:rPr/>
          </w:pPr>
          <w:hyperlink w:anchor="__RefHeading___Toc2992132_2870459653">
            <w:r>
              <w:rPr>
                <w:webHidden/>
                <w:rStyle w:val="IndexLink"/>
                <w:rtl w:val="true"/>
              </w:rPr>
              <w:t>الباب الثالث</w:t>
            </w:r>
            <w:r>
              <w:rPr>
                <w:rStyle w:val="IndexLink"/>
                <w:rtl w:val="true"/>
              </w:rPr>
              <w:t xml:space="preserve">: </w:t>
            </w:r>
            <w:r>
              <w:rPr>
                <w:rStyle w:val="IndexLink"/>
                <w:rtl w:val="true"/>
              </w:rPr>
              <w:t>ما يتعلق بالتحقيق</w:t>
            </w:r>
            <w:r>
              <w:rPr>
                <w:rStyle w:val="IndexLink"/>
                <w:rtl w:val="true"/>
              </w:rPr>
              <w:tab/>
            </w:r>
            <w:r>
              <w:rPr>
                <w:rStyle w:val="IndexLink"/>
              </w:rPr>
              <w:t>387</w:t>
            </w:r>
          </w:hyperlink>
        </w:p>
        <w:p>
          <w:pPr>
            <w:pStyle w:val="Contents5"/>
            <w:tabs>
              <w:tab w:val="clear" w:pos="7892"/>
              <w:tab w:val="right" w:pos="9026" w:leader="dot"/>
            </w:tabs>
            <w:rPr/>
          </w:pPr>
          <w:hyperlink w:anchor="__RefHeading___Toc2992134_2870459653">
            <w:r>
              <w:rPr>
                <w:webHidden/>
                <w:rStyle w:val="IndexLink"/>
              </w:rPr>
              <w:t>1</w:t>
            </w:r>
            <w:r>
              <w:rPr>
                <w:rStyle w:val="IndexLink"/>
                <w:rtl w:val="true"/>
              </w:rPr>
              <w:t xml:space="preserve">. </w:t>
            </w:r>
            <w:r>
              <w:rPr>
                <w:rStyle w:val="IndexLink"/>
                <w:rtl w:val="true"/>
              </w:rPr>
              <w:t>النسخة المعتمدة في التحقيق</w:t>
            </w:r>
            <w:r>
              <w:rPr>
                <w:rStyle w:val="IndexLink"/>
                <w:rtl w:val="true"/>
              </w:rPr>
              <w:tab/>
            </w:r>
            <w:r>
              <w:rPr>
                <w:rStyle w:val="IndexLink"/>
              </w:rPr>
              <w:t>387</w:t>
            </w:r>
          </w:hyperlink>
        </w:p>
        <w:p>
          <w:pPr>
            <w:pStyle w:val="Contents5"/>
            <w:tabs>
              <w:tab w:val="clear" w:pos="7892"/>
              <w:tab w:val="right" w:pos="9026" w:leader="dot"/>
            </w:tabs>
            <w:rPr/>
          </w:pPr>
          <w:hyperlink w:anchor="__RefHeading___Toc2992136_2870459653">
            <w:r>
              <w:rPr>
                <w:webHidden/>
                <w:rStyle w:val="IndexLink"/>
              </w:rPr>
              <w:t>2</w:t>
            </w:r>
            <w:r>
              <w:rPr>
                <w:rStyle w:val="IndexLink"/>
                <w:rtl w:val="true"/>
              </w:rPr>
              <w:t xml:space="preserve">. </w:t>
            </w:r>
            <w:r>
              <w:rPr>
                <w:rStyle w:val="IndexLink"/>
                <w:rtl w:val="true"/>
              </w:rPr>
              <w:t>عملنا في التحقيق</w:t>
            </w:r>
            <w:r>
              <w:rPr>
                <w:rStyle w:val="IndexLink"/>
                <w:rtl w:val="true"/>
              </w:rPr>
              <w:tab/>
            </w:r>
            <w:r>
              <w:rPr>
                <w:rStyle w:val="IndexLink"/>
              </w:rPr>
              <w:t>388</w:t>
            </w:r>
          </w:hyperlink>
        </w:p>
        <w:p>
          <w:pPr>
            <w:pStyle w:val="Contents4"/>
            <w:tabs>
              <w:tab w:val="clear" w:pos="8176"/>
              <w:tab w:val="right" w:pos="9026" w:leader="dot"/>
            </w:tabs>
            <w:rPr/>
          </w:pPr>
          <w:hyperlink w:anchor="__RefHeading___Toc2992138_2870459653">
            <w:r>
              <w:rPr>
                <w:webHidden/>
                <w:rStyle w:val="IndexLink"/>
                <w:rtl w:val="true"/>
              </w:rPr>
              <w:t>كلمة شكر</w:t>
            </w:r>
            <w:r>
              <w:rPr>
                <w:rStyle w:val="IndexLink"/>
                <w:rtl w:val="true"/>
              </w:rPr>
              <w:tab/>
            </w:r>
            <w:r>
              <w:rPr>
                <w:rStyle w:val="IndexLink"/>
              </w:rPr>
              <w:t>388</w:t>
            </w:r>
          </w:hyperlink>
        </w:p>
        <w:p>
          <w:pPr>
            <w:pStyle w:val="Contents3"/>
            <w:tabs>
              <w:tab w:val="clear" w:pos="8459"/>
              <w:tab w:val="right" w:pos="9026" w:leader="dot"/>
            </w:tabs>
            <w:rPr/>
          </w:pPr>
          <w:hyperlink w:anchor="__RefHeading___Toc2992140_2870459653">
            <w:r>
              <w:rPr>
                <w:webHidden/>
                <w:rStyle w:val="IndexLink"/>
                <w:rtl w:val="true"/>
              </w:rPr>
              <w:t xml:space="preserve">تعريف </w:t>
            </w:r>
            <w:r>
              <w:rPr>
                <w:rStyle w:val="IndexLink"/>
                <w:rtl w:val="true"/>
              </w:rPr>
              <w:t>(</w:t>
            </w:r>
            <w:r>
              <w:rPr>
                <w:rStyle w:val="IndexLink"/>
                <w:rtl w:val="true"/>
              </w:rPr>
              <w:t>الشهيد</w:t>
            </w:r>
            <w:r>
              <w:rPr>
                <w:rStyle w:val="IndexLink"/>
                <w:rtl w:val="true"/>
              </w:rPr>
              <w:t xml:space="preserve">) </w:t>
            </w:r>
            <w:r>
              <w:rPr>
                <w:rStyle w:val="IndexLink"/>
                <w:rtl w:val="true"/>
              </w:rPr>
              <w:t>بين التعميم والتقييد</w:t>
            </w:r>
            <w:r>
              <w:rPr>
                <w:rStyle w:val="IndexLink"/>
                <w:rtl w:val="true"/>
              </w:rPr>
              <w:tab/>
            </w:r>
            <w:r>
              <w:rPr>
                <w:rStyle w:val="IndexLink"/>
              </w:rPr>
              <w:t>394</w:t>
            </w:r>
          </w:hyperlink>
        </w:p>
        <w:p>
          <w:pPr>
            <w:pStyle w:val="Contents4"/>
            <w:tabs>
              <w:tab w:val="clear" w:pos="8176"/>
              <w:tab w:val="right" w:pos="9026" w:leader="dot"/>
            </w:tabs>
            <w:rPr/>
          </w:pPr>
          <w:hyperlink w:anchor="__RefHeading___Toc2992142_2870459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2992144_2870459653">
            <w:r>
              <w:rPr>
                <w:webHidden/>
                <w:rStyle w:val="IndexLink"/>
                <w:rtl w:val="true"/>
              </w:rPr>
              <w:t>السُّؤال الأوّل</w:t>
            </w:r>
            <w:r>
              <w:rPr>
                <w:rStyle w:val="IndexLink"/>
                <w:rtl w:val="true"/>
              </w:rPr>
              <w:tab/>
            </w:r>
            <w:r>
              <w:rPr>
                <w:rStyle w:val="IndexLink"/>
              </w:rPr>
              <w:t>397</w:t>
            </w:r>
          </w:hyperlink>
        </w:p>
        <w:p>
          <w:pPr>
            <w:pStyle w:val="Contents4"/>
            <w:tabs>
              <w:tab w:val="clear" w:pos="8176"/>
              <w:tab w:val="right" w:pos="9026" w:leader="dot"/>
            </w:tabs>
            <w:rPr/>
          </w:pPr>
          <w:hyperlink w:anchor="__RefHeading___Toc2992146_2870459653">
            <w:r>
              <w:rPr>
                <w:webHidden/>
                <w:rStyle w:val="IndexLink"/>
                <w:rtl w:val="true"/>
              </w:rPr>
              <w:t>السُّؤال الثَّاني</w:t>
            </w:r>
            <w:r>
              <w:rPr>
                <w:rStyle w:val="IndexLink"/>
                <w:rtl w:val="true"/>
              </w:rPr>
              <w:tab/>
            </w:r>
            <w:r>
              <w:rPr>
                <w:rStyle w:val="IndexLink"/>
              </w:rPr>
              <w:t>398</w:t>
            </w:r>
          </w:hyperlink>
        </w:p>
        <w:p>
          <w:pPr>
            <w:pStyle w:val="Contents4"/>
            <w:tabs>
              <w:tab w:val="clear" w:pos="8176"/>
              <w:tab w:val="right" w:pos="9026" w:leader="dot"/>
            </w:tabs>
            <w:rPr/>
          </w:pPr>
          <w:hyperlink w:anchor="__RefHeading___Toc2992148_2870459653">
            <w:r>
              <w:rPr>
                <w:webHidden/>
                <w:rStyle w:val="IndexLink"/>
                <w:rtl w:val="true"/>
              </w:rPr>
              <w:t>جواب السُّؤال الثَّاني</w:t>
            </w:r>
            <w:r>
              <w:rPr>
                <w:rStyle w:val="IndexLink"/>
                <w:rtl w:val="true"/>
              </w:rPr>
              <w:tab/>
            </w:r>
            <w:r>
              <w:rPr>
                <w:rStyle w:val="IndexLink"/>
              </w:rPr>
              <w:t>399</w:t>
            </w:r>
          </w:hyperlink>
        </w:p>
        <w:p>
          <w:pPr>
            <w:pStyle w:val="Contents5"/>
            <w:tabs>
              <w:tab w:val="clear" w:pos="7892"/>
              <w:tab w:val="right" w:pos="9026" w:leader="dot"/>
            </w:tabs>
            <w:rPr/>
          </w:pPr>
          <w:hyperlink w:anchor="__RefHeading___Toc2992150_2870459653">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2992152_2870459653">
            <w:r>
              <w:rPr>
                <w:webHidden/>
                <w:rStyle w:val="IndexLink"/>
                <w:rtl w:val="true"/>
              </w:rPr>
              <w:t>ثُمّ إنّه ينبغي التّنبيه على أُمور</w:t>
            </w:r>
            <w:r>
              <w:rPr>
                <w:rStyle w:val="IndexLink"/>
                <w:rtl w:val="true"/>
              </w:rPr>
              <w:tab/>
            </w:r>
            <w:r>
              <w:rPr>
                <w:rStyle w:val="IndexLink"/>
              </w:rPr>
              <w:t>412</w:t>
            </w:r>
          </w:hyperlink>
        </w:p>
        <w:p>
          <w:pPr>
            <w:pStyle w:val="Contents4"/>
            <w:tabs>
              <w:tab w:val="clear" w:pos="8176"/>
              <w:tab w:val="right" w:pos="9026" w:leader="dot"/>
            </w:tabs>
            <w:rPr/>
          </w:pPr>
          <w:hyperlink w:anchor="__RefHeading___Toc2992154_2870459653">
            <w:r>
              <w:rPr>
                <w:webHidden/>
                <w:rStyle w:val="IndexLink"/>
                <w:rtl w:val="true"/>
              </w:rPr>
              <w:t>جواب السُّؤال الأوَّل</w:t>
            </w:r>
            <w:r>
              <w:rPr>
                <w:rStyle w:val="IndexLink"/>
                <w:rtl w:val="true"/>
              </w:rPr>
              <w:tab/>
            </w:r>
            <w:r>
              <w:rPr>
                <w:rStyle w:val="IndexLink"/>
              </w:rPr>
              <w:t>417</w:t>
            </w:r>
          </w:hyperlink>
        </w:p>
        <w:p>
          <w:pPr>
            <w:pStyle w:val="Contents3"/>
            <w:tabs>
              <w:tab w:val="clear" w:pos="8459"/>
              <w:tab w:val="right" w:pos="9026" w:leader="dot"/>
            </w:tabs>
            <w:rPr/>
          </w:pPr>
          <w:hyperlink w:anchor="__RefHeading___Toc2992156_2870459653">
            <w:r>
              <w:rPr>
                <w:webHidden/>
                <w:rStyle w:val="IndexLink"/>
                <w:rtl w:val="true"/>
              </w:rPr>
              <w:t>المصادر</w:t>
            </w:r>
            <w:r>
              <w:rPr>
                <w:rStyle w:val="IndexLink"/>
                <w:rtl w:val="true"/>
              </w:rPr>
              <w:tab/>
            </w:r>
            <w:r>
              <w:rPr>
                <w:rStyle w:val="IndexLink"/>
              </w:rPr>
              <w:t>457</w:t>
            </w:r>
          </w:hyperlink>
        </w:p>
        <w:p>
          <w:pPr>
            <w:pStyle w:val="Contents4"/>
            <w:tabs>
              <w:tab w:val="clear" w:pos="8176"/>
              <w:tab w:val="right" w:pos="9026" w:leader="dot"/>
            </w:tabs>
            <w:rPr/>
          </w:pPr>
          <w:hyperlink w:anchor="__RefHeading___Toc2992158_2870459653">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2992160_2870459653">
            <w:r>
              <w:rPr>
                <w:webHidden/>
                <w:rStyle w:val="IndexLink"/>
              </w:rPr>
              <w:t>1</w:t>
            </w:r>
            <w:r>
              <w:rPr>
                <w:rStyle w:val="IndexLink"/>
                <w:rtl w:val="true"/>
              </w:rPr>
              <w:t xml:space="preserve">. </w:t>
            </w:r>
            <w:r>
              <w:rPr>
                <w:rStyle w:val="IndexLink"/>
                <w:rtl w:val="true"/>
              </w:rPr>
              <w:t>مصادر المقدّمة</w:t>
            </w:r>
            <w:r>
              <w:rPr>
                <w:rStyle w:val="IndexLink"/>
                <w:rtl w:val="true"/>
              </w:rPr>
              <w:tab/>
            </w:r>
            <w:r>
              <w:rPr>
                <w:rStyle w:val="IndexLink"/>
              </w:rPr>
              <w:t>459</w:t>
            </w:r>
          </w:hyperlink>
        </w:p>
        <w:p>
          <w:pPr>
            <w:pStyle w:val="Contents4"/>
            <w:tabs>
              <w:tab w:val="clear" w:pos="8176"/>
              <w:tab w:val="right" w:pos="9026" w:leader="dot"/>
            </w:tabs>
            <w:rPr/>
          </w:pPr>
          <w:hyperlink w:anchor="__RefHeading___Toc2992162_2870459653">
            <w:r>
              <w:rPr>
                <w:webHidden/>
                <w:rStyle w:val="IndexLink"/>
              </w:rPr>
              <w:t>2</w:t>
            </w:r>
            <w:r>
              <w:rPr>
                <w:rStyle w:val="IndexLink"/>
                <w:rtl w:val="true"/>
              </w:rPr>
              <w:t xml:space="preserve">. </w:t>
            </w:r>
            <w:r>
              <w:rPr>
                <w:rStyle w:val="IndexLink"/>
                <w:rtl w:val="true"/>
              </w:rPr>
              <w:t>مصادر تحقيق جواب مسألة الشهيد</w:t>
            </w:r>
            <w:r>
              <w:rPr>
                <w:rStyle w:val="IndexLink"/>
                <w:rtl w:val="true"/>
              </w:rPr>
              <w:tab/>
            </w:r>
            <w:r>
              <w:rPr>
                <w:rStyle w:val="IndexLink"/>
              </w:rPr>
              <w:t>462</w:t>
            </w:r>
          </w:hyperlink>
        </w:p>
        <w:p>
          <w:pPr>
            <w:pStyle w:val="Contents4"/>
            <w:tabs>
              <w:tab w:val="clear" w:pos="8176"/>
              <w:tab w:val="right" w:pos="9026" w:leader="dot"/>
            </w:tabs>
            <w:rPr/>
          </w:pPr>
          <w:hyperlink w:anchor="__RefHeading___Toc2992164_2870459653">
            <w:r>
              <w:rPr>
                <w:webHidden/>
                <w:rStyle w:val="IndexLink"/>
              </w:rPr>
              <w:t>3</w:t>
            </w:r>
            <w:r>
              <w:rPr>
                <w:rStyle w:val="IndexLink"/>
                <w:rtl w:val="true"/>
              </w:rPr>
              <w:t xml:space="preserve">. </w:t>
            </w:r>
            <w:r>
              <w:rPr>
                <w:rStyle w:val="IndexLink"/>
                <w:rtl w:val="true"/>
              </w:rPr>
              <w:t>مصادر تحقيق جواب مسألة الوصاية</w:t>
            </w:r>
            <w:r>
              <w:rPr>
                <w:rStyle w:val="IndexLink"/>
                <w:rtl w:val="true"/>
              </w:rPr>
              <w:tab/>
            </w:r>
            <w:r>
              <w:rPr>
                <w:rStyle w:val="IndexLink"/>
              </w:rPr>
              <w:t>468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1_75747"/>
      <w:bookmarkStart w:id="1" w:name="pg9131_75747"/>
      <w:bookmarkEnd w:id="1"/>
    </w:p>
    <w:p>
      <w:pPr>
        <w:pStyle w:val="Heading2"/>
        <w:numPr>
          <w:ilvl w:val="1"/>
          <w:numId w:val="1"/>
        </w:numPr>
        <w:rPr/>
      </w:pPr>
      <w:bookmarkStart w:id="2" w:name="pg9131_75747"/>
      <w:bookmarkStart w:id="3" w:name="__RefHeading___Toc299161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العدد الحادي عشر</w:t>
      </w:r>
    </w:p>
    <w:p>
      <w:pPr>
        <w:pStyle w:val="BookText"/>
        <w:rPr/>
      </w:pP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161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31_75750"/>
    </w:p>
    <w:p>
      <w:pPr>
        <w:pStyle w:val="Heading2"/>
        <w:numPr>
          <w:ilvl w:val="1"/>
          <w:numId w:val="1"/>
        </w:numPr>
        <w:rPr/>
      </w:pPr>
      <w:bookmarkStart w:id="8" w:name="__RefHeading___Toc2991614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على ذلك يمكن جعله في حلقتين أو أكثر حسب نظر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131_75751"/>
    </w:p>
    <w:p>
      <w:pPr>
        <w:pStyle w:val="Heading2"/>
        <w:numPr>
          <w:ilvl w:val="1"/>
          <w:numId w:val="1"/>
        </w:numPr>
        <w:rPr/>
      </w:pPr>
      <w:bookmarkStart w:id="11" w:name="__RefHeading___Toc2991616_2870459653"/>
      <w:bookmarkStart w:id="12" w:name="_Toc4"/>
      <w:bookmarkEnd w:id="10"/>
      <w:bookmarkEnd w:id="11"/>
      <w:r>
        <w:rPr>
          <w:rtl w:val="true"/>
        </w:rPr>
        <w:t>محتويات العدد</w:t>
      </w:r>
      <w:bookmarkEnd w:id="12"/>
    </w:p>
    <w:p>
      <w:pPr>
        <w:pStyle w:val="BookText"/>
        <w:rPr/>
      </w:pPr>
      <w:r>
        <w:rPr>
          <w:rFonts w:ascii="Amiri" w:hAnsi="Amiri" w:eastAsia="Amiri" w:cs="Amiri"/>
          <w:color w:val="111111"/>
          <w:sz w:val="28"/>
          <w:sz w:val="28"/>
          <w:szCs w:val="28"/>
          <w:rtl w:val="true"/>
          <w:lang w:bidi="ar-SA"/>
        </w:rPr>
        <w:t>الافتتاحية</w:t>
      </w:r>
    </w:p>
    <w:p>
      <w:pPr>
        <w:pStyle w:val="BookText"/>
        <w:rPr/>
      </w:pPr>
      <w:r>
        <w:rPr>
          <w:rFonts w:ascii="Amiri" w:hAnsi="Amiri" w:eastAsia="Amiri" w:cs="Amiri"/>
          <w:color w:val="111111"/>
          <w:sz w:val="28"/>
          <w:sz w:val="28"/>
          <w:szCs w:val="28"/>
          <w:rtl w:val="true"/>
          <w:lang w:bidi="ar-SA"/>
        </w:rPr>
        <w:t>إدارة المجلة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رباعيّة المسافر في المواضع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جاسم الفهدي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شرطيّة الاجتهاد في القضاء بين النّفي والإثبات</w:t>
      </w:r>
    </w:p>
    <w:p>
      <w:pPr>
        <w:pStyle w:val="BookText"/>
        <w:rPr/>
      </w:pPr>
      <w:r>
        <w:rPr>
          <w:rFonts w:ascii="Amiri" w:hAnsi="Amiri" w:eastAsia="Amiri" w:cs="Amiri"/>
          <w:color w:val="111111"/>
          <w:sz w:val="28"/>
          <w:sz w:val="28"/>
          <w:szCs w:val="28"/>
          <w:rtl w:val="true"/>
          <w:lang w:bidi="ar-SA"/>
        </w:rPr>
        <w:t xml:space="preserve">الشّيخ مشتاق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دراسات فقهيّة مقارنة بين قانون الأحوال الشّخصيّة العراقيّ ومشروع قانون الأحوال الشّخصيّة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العامّة والزّواج أنموذجا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يحيى السّعداوي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تبعيّة المدلول الالتزاميّ للمدلول المطابقيّ في الحجّيّة</w:t>
      </w:r>
    </w:p>
    <w:p>
      <w:pPr>
        <w:pStyle w:val="BookText"/>
        <w:rPr/>
      </w:pPr>
      <w:r>
        <w:rPr>
          <w:rFonts w:ascii="Amiri" w:hAnsi="Amiri" w:eastAsia="Amiri" w:cs="Amiri"/>
          <w:color w:val="111111"/>
          <w:sz w:val="28"/>
          <w:sz w:val="28"/>
          <w:szCs w:val="28"/>
          <w:rtl w:val="true"/>
          <w:lang w:bidi="ar-SA"/>
        </w:rPr>
        <w:t xml:space="preserve">الشّيخ إسكندر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جعل الأمارة وثمرات تتميم الكشف</w:t>
      </w:r>
    </w:p>
    <w:p>
      <w:pPr>
        <w:pStyle w:val="BookText"/>
        <w:rPr/>
      </w:pPr>
      <w:r>
        <w:rPr>
          <w:rFonts w:ascii="Amiri" w:hAnsi="Amiri" w:eastAsia="Amiri" w:cs="Amiri"/>
          <w:color w:val="111111"/>
          <w:sz w:val="28"/>
          <w:sz w:val="28"/>
          <w:szCs w:val="28"/>
          <w:rtl w:val="true"/>
          <w:lang w:bidi="ar-SA"/>
        </w:rPr>
        <w:t xml:space="preserve">الشّيخ عليّ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حال 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جواب مسألتين للفقيه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الوصاية بالولاية لمن يتجدّد من الأولاد مع وجود قرينة على التّعميم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التّعميم والتّقييد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الفهداوي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13" w:name="pg9131_75753"/>
    </w:p>
    <w:p>
      <w:pPr>
        <w:pStyle w:val="Heading2"/>
        <w:numPr>
          <w:ilvl w:val="1"/>
          <w:numId w:val="1"/>
        </w:numPr>
        <w:rPr/>
      </w:pPr>
      <w:bookmarkStart w:id="14" w:name="__RefHeading___Toc2991618_2870459653"/>
      <w:bookmarkStart w:id="15" w:name="_Toc5"/>
      <w:bookmarkEnd w:id="13"/>
      <w:bookmarkEnd w:id="14"/>
      <w:r>
        <w:rPr>
          <w:rtl w:val="true"/>
        </w:rPr>
        <w:t>الافتتاحية</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نكتب في دقائق يسيرة عن مسيرة تمتدّ لأشهر قبل صدور كلّ عدد من أعداد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تتتبّع طاقات متفرّقة في أفلاك متباعدة؛ لتجمعها في فلك واحد حول محور جاذب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أن تبتدئ تلك المسيرة بانتخاب البحوث المشاركة، والتّواصل مع كُتّابها، ثُمّ تنسيق عمل اللّجنة العلميّة والإداريّة مع الكاتب، إلى عمليّات التّنضيد والتّصحيح، ومحاولة إيجاد مزاج عام لأسلوب ولغة الكتابة تكون رداءً عامّاً للمجلّة مع المحافظة على خصوصيَّة كلِّ كاتبٍ وأسلوبه، تحتاج إلى صبر وأناة وعلوّ همّة ومداراة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وككلّ عمل يتعلّق بنشر العلم في مساحة نشرٍ ووقتٍ محدودين، لا يَسْلم العمل من بعض الصعوبات، ليس أكبرها تكييف بعض البحوث لِتُلائِم سياسة المجلّة في المساحة المخصّصة لكلِّ بحثٍ من دون إحساس الباحث بتضرّر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الجُهد المكرَّس من أجل خدمة استمرار حركة الكتابة والنّشر كبيراً، فإنَّه سهلٌ يسير إذا كانت العائدة المرجوّة هي نجاح العمل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لمن دواعي السّرور أنْ نرى العدد الحادي عشر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يبزغ فجرُهُ ويتنفّسُ صبحُهُ بعد مُضي خمس سنوات من عُمر المجلّة استثمرتها بأعداد ناجحة، </w:t>
      </w:r>
    </w:p>
    <w:p>
      <w:pPr>
        <w:pStyle w:val="BookText"/>
        <w:rPr/>
      </w:pPr>
      <w:r>
        <w:rPr>
          <w:rFonts w:ascii="Amiri" w:hAnsi="Amiri" w:eastAsia="Amiri" w:cs="Amiri"/>
          <w:color w:val="111111"/>
          <w:sz w:val="28"/>
          <w:sz w:val="28"/>
          <w:szCs w:val="28"/>
          <w:rtl w:val="true"/>
          <w:lang w:bidi="ar-SA"/>
        </w:rPr>
        <w:t>تناولت موضوعات مختلفة في الفقه والأصول والرّجال وغيرها، وزيّنتها تحقيقات مؤنّقة لمخطوطات مختارة بعناية، جعلت الكثيرين يرون أنّها سدّت بذلك فراغاً في مجال اختصاصها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تكتفِ المجلّة بتلقّي البحوث من كُتّابها والعناية بشؤون تهيئتها للنشر، بل تفتّقت فيها فكرة ترويج أصل حركة الكتابة، فسعت لبرنامج تطويريّ لأجل تنشيط حركة البحث، وتدعيم أدواته، وتثقيف مناهجه، فأقامت أربع دورات تدريبيَّة ترويجيَّة للراغبين في الكتابة على أُسس رصينة، وقد لقيت استجابة جيدة من الطّلبة وتفاعل يلفت الانتباه، أثمر بعد ذلك ملتقى يهتمّ بصناعة البحث العلميّ ويتابع نمو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رسالتنا الّتي نأمل أنْ يتحقّق جانب منها فهي ما نُشير إليه في كلّ عدد من تشجيع تطوير الكتابة المعتمدة على البحث المستدلّ مع عصريّة الأسلوب الحديث المعتمد على رشاقة العبارة والوصول للمطلوب بأسهل المداخل، وأوضح المخارج، وتذليل صعوبات المباحث المعقّدة الشّرعيّة بمقدّماتها ونتائجها بما يناسب الكتابة في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الأسلوب الواضح السّهل ليس هو الرّافد الوحيد لتدفّق الأبحاث وانتشارها فحسب، بل يمكن لمثل هذه الأبحاث أن تفتح باباً في تقدّم العلم الشّرعيّ، إذ إنّ تقدّم العلم الشّرعيّ مقرون بالبحث وتقليب وجوه النَّظر في الأدلّة، والعمل على تجديد الآراء، بعد استيعاب مستجدّات نتائج العلوم الوسيطة المساعِدة في صناعة المسائل الفقهيّة والأصوليّة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كبيرٌ من ذلك يتطوّر بالكتابة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المهمَّة في تطوّر مستمر، يتّصل جزء منها بالتطوّر الفكري العامّ، وبالارتفاع في مستوى الاتقان في علميّة ودليليّة الحجج المستعملة في العمليّة الاستدلاليّة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يحتاج المهتمّ بهذا المجال أو المتخصِّص كثير عناءٍ وتأمّلٍ ليعرف حجم الصّعود </w:t>
      </w:r>
    </w:p>
    <w:p>
      <w:pPr>
        <w:pStyle w:val="BookText"/>
        <w:rPr/>
      </w:pPr>
      <w:r>
        <w:rPr>
          <w:rFonts w:ascii="Amiri" w:hAnsi="Amiri" w:eastAsia="Amiri" w:cs="Amiri"/>
          <w:color w:val="111111"/>
          <w:sz w:val="28"/>
          <w:sz w:val="28"/>
          <w:szCs w:val="28"/>
          <w:rtl w:val="true"/>
          <w:lang w:bidi="ar-SA"/>
        </w:rPr>
        <w:t>في مستوى الدّليل الإثباتي والجانب النّظريّ التّصوريّ للأدلّة المستعملة في إثبات الأحكام الشّرعيّة وتفرّعاتها في المائة سنة الأخيرة من عُمْر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مرور الزّمن تتجدّد وتتّضح بعض المفاهيم والأفكار الّتي قد يتبيّن جوانب القصور فيها تبعاً لازدياد دقّة التفكير البشري بصورة عامّة، وتأثّر علمي الفقه والأصول ومبادئهما بتطوّر نتائج العلوم الأخرى الإنسانيّة والتّطبيقيّة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نحا الفقه والأصول منحىً تحقيقيّاً ومعتمداً على ما يمكن الأخذ به من النتائج التّطبيقيّة للعلوم الرّصينة الأخرى المتعلّقة بموضوعات مسائله، اقترب من وضوح الحكم وقابليته الدّاعويّة للأمر والنهي في نفس المكلَّف، والمحافظة على مساحة معقولة لمنطقة الإباحة في أفعاله، لا تُرهق المسلم، ولا توقعه في الحرج بسبب تداخل مناطق الأحكام تبعاً لتداخل موضوعاتها، لولا فقه دقيق يفرّق المباح والرّخصة عن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الموائمة بين نتائج الأبحاث المتعلّقة بمسائل علوم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 والأصول وما يرتبط بهما كالحديث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المستجَد في علوم الحياة الأُخرى النّظريّة والتّطبيقيّة هي مهمّة البحوث الحديثة الّتي نأمل انعكاسها في الأبحاث العالية بشكل عام، والبحوث المعدَّة للمجلّات والدّوريّات كمجلّتنا وباقي المجلّات التّخصّصيّة بشكل خاص، ممّا يكشف عن مدى انسجام الفقه مع 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الأبحاث المتضمّنة في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فنوجز التّعريف بها في كونها ثمانية أبحاث، ثلاثة منها فقهيّة، واثنان أصوليّان، وواحد رجاليّ، وتتلو الجميع مخطوطتان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الفقهيّة فالأوَّل منها حول الصّلاة الرّباعيّة للمسافر في مواضع التّخيير الأربعة المعروفة، والثّاني حول الاجتهاد في القضاء بين النفي والإثبات، والثّالث دراسات فقهيّة </w:t>
      </w:r>
    </w:p>
    <w:p>
      <w:pPr>
        <w:pStyle w:val="BookText"/>
        <w:rPr/>
      </w:pPr>
      <w:r>
        <w:rPr>
          <w:rFonts w:ascii="Amiri" w:hAnsi="Amiri" w:eastAsia="Amiri" w:cs="Amiri"/>
          <w:color w:val="111111"/>
          <w:sz w:val="28"/>
          <w:sz w:val="28"/>
          <w:szCs w:val="28"/>
          <w:rtl w:val="true"/>
          <w:lang w:bidi="ar-SA"/>
        </w:rPr>
        <w:t>مقارَنة بين قانون الأحوال الشّخصيّة العراقيّ ومشروع القانون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البحثان الأصوليّان، فالأوَّل عن تبعية المدلول الالتزاميّ للمدلول المطابقيّ، والآخر حول جعل الأمارات وثمرات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الرّجالي فهو تكملة السّلسلة المعتنية بنحوٍ من التّفصيل لحال الراوي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الحلقة الرّابعة ما قبل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عوّدتنا المجلّة في أعدادها السَّابقة أن نتفيَّأ بظلال ثمار أعلامنا السّابقين فيما أبدعت قرائحهم، ودبَّجت يراعاتهم في مخطوطات لم تَر النور، وإنْ كانت مصونة عن الدّثور، فتناولت أقلام بعض أهل الفضل بالتّحقيق اثنتين منها للفقيه الكبير المرحوم الشّيخ أحمد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لتستقرّا في موضعهما في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والمخطوطتان عبارة عن جوابين لسؤالين استفتائيين موجّهين لمرجع الطّائفة السَّيّد كاظم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أهل الفضل في البحرين، طالباً أن يكون الجواب مستدَلّا ً، فتصدّى الشّيخ أحمد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لجوابهما حيث كان معنيّاً بالإجابة عن الاستفتاءات الواردة على المرحوم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الأُولى حول شمول الوصاية بالولاية لمن يتجدّد من الأولاد مع وجود قرينة على التّعميم، والأُخرى حول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التّعميم والتّقييد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نحرص على التَّذكير بأنّ هذه المجلّة منصّة أُسِّست لأهل العلم يتمكّنون فيها من عرض أفكارهم العلميَّة بصورة منهجيّة محكّمة، وهذه الغاية هي من أهم أهداف المجلّة الّتي تأسّست من أجلها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نجدّد الدّعوة لأهل الفضل والقلم للمشاركة في هذه الظّاهرة البحثيّة، فقد بدا لهم من السّنين الّتي قضتها المجلّة تحت أنظار أهل العلم كيف أنّها المكان </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أبحاثهم الّتي حرصوا يوماً على رؤيتها على صفحات المجلّات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كما هو كذلك في كلّ مرّة أن نشيد بجهود جميع العاملين على استمرار وبقاء صدور المجلّة وبنفس الضّبط والمتابعة، حرصاً منهم على مقاربة العمل من الكمال العام بقدر المستطاع، كما نشكر جهود اللّجنة العلميّة الّتي تنظر بدأبٍ في أبحاث أهل الفضل وتفيض علينا بالنّصائح وتساهم في إثراء مادّة الباحثين، وكذلك الشكر موصول لجميع الجهات والشخصيات المساندة، وكلِّ مَن ذلّل عقبة في عمل المجلّة أو أشار برأيٍ من أجل اكتمال العمل ووصوله لمراحله النهائيّة بكفاية ويُسر، يَسَّر الله كُلّا ً لما يُسِّر له إنّه المنعم والهادي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131_75759"/>
      <w:bookmarkStart w:id="17" w:name="pg9131_75759"/>
      <w:bookmarkEnd w:id="17"/>
    </w:p>
    <w:p>
      <w:pPr>
        <w:pStyle w:val="Heading2"/>
        <w:numPr>
          <w:ilvl w:val="1"/>
          <w:numId w:val="1"/>
        </w:numPr>
        <w:rPr/>
      </w:pPr>
      <w:bookmarkStart w:id="18" w:name="pg9131_75759"/>
      <w:bookmarkStart w:id="19" w:name="__RefHeading___Toc2991620_2870459653"/>
      <w:bookmarkStart w:id="20" w:name="_Toc6"/>
      <w:bookmarkEnd w:id="18"/>
      <w:bookmarkEnd w:id="19"/>
      <w:r>
        <w:rPr>
          <w:rtl w:val="true"/>
        </w:rPr>
        <w:t>رباعيّة المسافر في المواضع الأربعة</w:t>
      </w:r>
      <w:r>
        <w:rPr>
          <w:rtl w:val="true"/>
        </w:rPr>
        <w:t>(</w:t>
      </w:r>
      <w:r>
        <w:rPr>
          <w:rtl w:val="true"/>
        </w:rPr>
        <w:t>الحلقة الأولى</w:t>
      </w:r>
      <w:r>
        <w:rPr>
          <w:rtl w:val="true"/>
        </w:rPr>
        <w:t xml:space="preserve">) - </w:t>
      </w:r>
      <w:r>
        <w:rPr>
          <w:rtl w:val="true"/>
        </w:rPr>
        <w:t xml:space="preserve">الشَّيخ جاسم الفهدي </w:t>
      </w:r>
      <w:r>
        <w:rPr>
          <w:rtl w:val="true"/>
        </w:rPr>
        <w:t>(</w:t>
      </w:r>
      <w:r>
        <w:rPr>
          <w:rtl w:val="true"/>
        </w:rPr>
        <w:t>دام عزه</w:t>
      </w:r>
      <w:r>
        <w:rPr>
          <w:rtl w:val="true"/>
        </w:rPr>
        <w:t>)</w:t>
      </w:r>
      <w:bookmarkEnd w:id="20"/>
    </w:p>
    <w:p>
      <w:pPr>
        <w:pStyle w:val="Heading3"/>
        <w:numPr>
          <w:ilvl w:val="2"/>
          <w:numId w:val="1"/>
        </w:numPr>
        <w:rPr/>
      </w:pPr>
      <w:bookmarkStart w:id="21" w:name="__RefHeading___Toc2991622_2870459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تمتاز صلاة المسافر بتعدّد فروعٍ، ودقّة تفاصيل، وعلى الرغم من عدم وجود الخلاف في أصل حكمها عند فقهاء مذهب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وقع الكلام في جملة من تفاصيلها، وعدّة من مواردها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الذي بين يدينا يركّز على موردين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مواطن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 هذه المواطن</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كما هو أهله، وأتمّ الصلاة والسَّلام على رسوله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لصلاة المسافر أهمّيّة كبرى في الأبحاث الفقهيّة لكونها من المسائل العامّة البلوى، ولما تمتاز به من تعدّد الفروع ودقّة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الاختلاف في أصل حكم صلاة المسافر بين علماء الإسلام، ولذا أُوليت عناية كبيرة في بحوث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عدم تسرّب هذا الاختلاف الى مدرسة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وقع الكلام بين الفقهاء في بعض تفصيلاتها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صلاة المسافر إلى المواطن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والمدينة المنوّرة والكوفة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تعدّدت أقوالهم وتباينت أنظارهم في حكم الصلاة الرباعيّة في هذه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مشهور علماء الطائفة التخيير فيها، بل كاد أن ينقرض الخلاف بينهم في العصور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ايضاً في حدود هذه المواطن من حيث اختصاص الحكم بمسجدها أو ما يشمل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عرضت البحث من خلال تمهيدٍ ومقامين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الصلاة في هذه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التقصير أو التمام أو التخيير على اختلاف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 المواطن التي يقع فيها التخيير، وهي عدّة مواضع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مكّة المكرّمة والمدينة المنوّرة</w:t>
      </w:r>
      <w:r>
        <w:rPr>
          <w:rFonts w:eastAsia="Amiri" w:cs="Amiri" w:ascii="Amiri" w:hAnsi="Amiri"/>
          <w:color w:val="111111"/>
          <w:sz w:val="28"/>
          <w:szCs w:val="28"/>
          <w:rtl w:val="true"/>
          <w:lang w:bidi="ar-SA"/>
        </w:rPr>
        <w:t xml:space="preserve">. </w:t>
      </w:r>
      <w:bookmarkStart w:id="23" w:name="pg9131_75762"/>
    </w:p>
    <w:p>
      <w:pPr>
        <w:pStyle w:val="BookText"/>
        <w:rPr/>
      </w:pPr>
      <w:bookmarkEnd w:id="2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لسائر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البحث سيقع في ضمن حلقتين، نتناول في الحلقة الأُولى المقامَ الأوّل، ونوكل البحث في المقام الثاني إلى الحلقة الأخرى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991624_2870459653"/>
      <w:bookmarkStart w:id="25" w:name="_Toc8"/>
      <w:bookmarkEnd w:id="24"/>
      <w:r>
        <w:rPr>
          <w:rtl w:val="true"/>
        </w:rPr>
        <w:t>تمهيد</w:t>
      </w:r>
      <w:bookmarkEnd w:id="25"/>
    </w:p>
    <w:p>
      <w:pPr>
        <w:pStyle w:val="Heading4"/>
        <w:numPr>
          <w:ilvl w:val="3"/>
          <w:numId w:val="1"/>
        </w:numPr>
        <w:rPr/>
      </w:pPr>
      <w:bookmarkStart w:id="26" w:name="__RefHeading___Toc2991626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وفيه أمران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991628_2870459653"/>
      <w:bookmarkStart w:id="29" w:name="_Toc10"/>
      <w:bookmarkEnd w:id="28"/>
      <w:r>
        <w:rPr>
          <w:rtl w:val="true"/>
        </w:rPr>
        <w:t>الأمر الأوّل</w:t>
      </w:r>
      <w:bookmarkEnd w:id="29"/>
    </w:p>
    <w:p>
      <w:pPr>
        <w:pStyle w:val="BookText"/>
        <w:rPr/>
      </w:pPr>
      <w:r>
        <w:rPr>
          <w:rFonts w:ascii="Amiri" w:hAnsi="Amiri" w:eastAsia="Amiri" w:cs="Amiri"/>
          <w:color w:val="111111"/>
          <w:sz w:val="28"/>
          <w:sz w:val="28"/>
          <w:szCs w:val="28"/>
          <w:rtl w:val="true"/>
          <w:lang w:bidi="ar-SA"/>
        </w:rPr>
        <w:t>اتّفق فقهاء الإمامية على أنّ وظيفة المكلّف في حال السفر هي القصر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فقهاء الجمهور فلم يفرّقوا بين الأماكن المقصودة للمسافر إلّا أنّهم اختلفوا في حكم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رشد الحفيد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حكم القصر، فإنّهم اختلفوا فيه على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رأى أنّ القصر هو فرض المسافر المتعيّن عليه، ومنهم من رأى أنّ القصر والإتمام كلاهما فرض مخيّر له كالخيار في واجب الكفارة، ومنهم من رأى أنّ القصر سنّة، ومنهم من رأى أنّه رخصة، وأنّ الإتمام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وبالقول الأوّل قال أبو حنيفة، وأصحابه والكوفيون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فرض متعيّن، وبالثاني قال بعض أصحاب الشافعي، 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في أشهر الروايات عنه، وبالرابع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أشهر الروايات عنه، وهو المنصور عند أصحابه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قدامة في حكم صلاة 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أفضلية القصر من التمام في مطلق السفر عند الجمهور، وقال حماد بن أبي سليمان والثوري وأبو حنيفة بعدم جواز الإتمام في </w:t>
      </w:r>
      <w:bookmarkStart w:id="30" w:name="pg9131_75763"/>
    </w:p>
    <w:p>
      <w:pPr>
        <w:pStyle w:val="BookText"/>
        <w:rPr/>
      </w:pPr>
      <w:bookmarkEnd w:id="30"/>
      <w:r>
        <w:rPr>
          <w:rFonts w:ascii="Amiri" w:hAnsi="Amiri" w:eastAsia="Amiri" w:cs="Amiri"/>
          <w:color w:val="111111"/>
          <w:sz w:val="28"/>
          <w:sz w:val="28"/>
          <w:szCs w:val="28"/>
          <w:rtl w:val="true"/>
          <w:lang w:bidi="ar-SA"/>
        </w:rPr>
        <w:t>السفر، وأجازه الأوزاعي والشافعي، وهو المشهور عن مالك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نصّ عليه صاحب الرياض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ايجاب التمام ليس مذهباً لأحد من العامة؛ لأنّهم ما بين موجب للقصر مطلقاً وهم أكثرهم ومنهم أبو حنيفة ومخيّر بينه وبين القصر كذلك وهو الشافعي وغيره ومنه يظهر أنّ حمل أوامر التقصير على التقية أولى كما صرح به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والوسائل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لاتفاقهم على جواز القصر مع اشتهار مذهب أبي حنيفة قديماً وحديثاً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الوحيد في المصابيح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مع أفضلية الإتمام هو عين مذهب أهل السنة بل لا يرضون بالقصر ويجعلونه شعار الرفضة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فغير تامّ لما تقدّم من نقل كلماتهم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991630_2870459653"/>
      <w:bookmarkStart w:id="32" w:name="_Toc11"/>
      <w:bookmarkEnd w:id="31"/>
      <w:r>
        <w:rPr>
          <w:rtl w:val="true"/>
        </w:rPr>
        <w:t>الأمر الثاني</w:t>
      </w:r>
      <w:bookmarkEnd w:id="32"/>
    </w:p>
    <w:p>
      <w:pPr>
        <w:pStyle w:val="BookText"/>
        <w:rPr/>
      </w:pPr>
      <w:r>
        <w:rPr>
          <w:rFonts w:ascii="IRNazanin" w:hAnsi="IRNazanin" w:eastAsia="IRNazanin"/>
          <w:color w:val="111111"/>
          <w:sz w:val="28"/>
          <w:sz w:val="28"/>
          <w:szCs w:val="28"/>
          <w:rtl w:val="true"/>
          <w:lang w:bidi="fa-IR"/>
        </w:rPr>
        <w:t>إنّ الواجبات العبادية المركبة تتألّف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يدخل تحت عنوان الفرض، ومنها ما كان يدخل تحت عنوان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المقصود بالأوّل هو ما فرضه الله تعالى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ما جعله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على نحو الوجوب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هل تعيّن القصر في الصلاة على المسافر فرض أم سنّة؟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يظهر بملاحظة الأدلّة أنّ ذلك سنّة 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حال الإفطار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عَلَيْكُمْ جُنَاحٌ أَنْ تَقْصُرُوا مِنَ الصَّلاةِ</w:t>
      </w:r>
      <w:r>
        <w:rPr>
          <w:rStyle w:val="FootnoteAnchor"/>
          <w:rtl w:val="true"/>
        </w:rPr>
        <w:footnoteReference w:id="6"/>
      </w:r>
      <w:r>
        <w:rPr>
          <w:rFonts w:ascii="Amiri" w:hAnsi="Amiri" w:eastAsia="Amiri" w:cs="Amiri"/>
          <w:color w:val="111111"/>
          <w:sz w:val="28"/>
          <w:sz w:val="28"/>
          <w:szCs w:val="28"/>
          <w:rtl w:val="true"/>
          <w:lang w:bidi="ar-SA"/>
        </w:rPr>
        <w:t>على تعيّن القصر على المسافر؛ لأنّها واردة لدفع توهّم الحظر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وتدلّ على ذلك مجموعة من الأخبار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زرارة ومحمّد بن مسلم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الصلاة في السفر كيف هي، وكم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ضَرَبْتُمْ فِي الأَرْضِ فَلَيْسَ عَلَيْكُمْ جُنَاحٌ أَنْ تَقْصُرُوا مِنَ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عَلَيْكُمْ جُنَاحٌ</w:t>
      </w:r>
    </w:p>
    <w:p>
      <w:pPr>
        <w:pStyle w:val="BookText"/>
        <w:rPr/>
      </w:pP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فكيف أوجب ذلك كما أوجب التمام في الحضر؟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ليس قد قال الله عز وجل في الصفا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 الْبَيْتَ أَوِ اعْتَمَرَ فَلَا جُنَاحَ عَلَيْهِ أَن يَطَّوَّفَ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ألا ترون أنّ الطواف بهما واجب مفروض لأنّ الله عزّ وجل ذكره في كتابه وصنعه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التقصير في السفر شيء 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الله تعالى ذكره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في السفر أربعا أيعيد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قد قرئت عليه آية التقصير وفسّرت له فصلّى أربعا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قُرئت عليه ولم يعلمها فلا إعادة عليه، والصلوات كلّها في السفر الفريضة ركعتان كلّ صلاة إلّا المغرب فإنّها ثلاث ليس فيها تقصير، تركها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 والحضر ثلاث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خشب وهي مسيرة يوم من المدينة يكون إليها بريدان أربعة وعشرون ميلاً، فقصّر وأفطر، فصارت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صاموا حين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العصاة إلى يوم القيامة وإنّا لنعرف أبناءهم وأبناء أبنائهم إلى يومنا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هذه الرواية أنّ القصر سنّة فعلها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وذكرها الله في كتابه وإنّما 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لإثبات عدم دلالتها على الرخصة وعدم منافاتها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القصر سنّة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فقصّر وأفطر فصارت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شيء 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الله في كتابه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في شهر رمضان مسافراً أفطر،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المدينة إلى مكة في شهر رمضان ومعه الناس وفيهم المشاة، فلمّا انتهى إلى كراع الغميم دعا بقدح من ماء فيما بين الظهر والعصر فشرب وأفطر، ثمّ أفطر الناس معه وتمّ أناس على صومهم، فسمّاهم العصاة، وإنّما يؤخذ بآخر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ذيل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يؤخذ بآخر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تعيّن القصر قد شرّعه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سفره هذا، وأمر أصحابه بالقصر والإفطار لأنّ الحكم لم يكن معروفاً بينهم من قبل، وهذا يفسّر عدم امتثال البعض وعصيانهم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صاموا حين أفطر وقصّر 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العصاة إلى يوم القيامة، وإنّا لنعرف أبناءهم وأبناء أبنائهم إلى يومنا هذا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مرسلة ابن ابي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تصدّق على مرضى أمتي ومسافريها </w:t>
      </w:r>
    </w:p>
    <w:p>
      <w:pPr>
        <w:pStyle w:val="BookText"/>
        <w:rPr/>
      </w:pPr>
      <w:r>
        <w:rPr>
          <w:rFonts w:ascii="Amiri" w:hAnsi="Amiri" w:eastAsia="Amiri" w:cs="Amiri"/>
          <w:color w:val="111111"/>
          <w:sz w:val="28"/>
          <w:sz w:val="28"/>
          <w:szCs w:val="28"/>
          <w:rtl w:val="true"/>
          <w:lang w:bidi="ar-SA"/>
        </w:rPr>
        <w:t>بالتقصير والافطار، أيسرّ أحدكم إذا تصدّق بصدقة أن تردّ عليه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الرواية أنّ تشريع القصر جاء متأخّراً، وتمنّنا منه تعالى على عباده، وكون تعيّن القصر 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لاينافي التصدّق منه تعالى،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جملة من الأخبار التي رويت في كتب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الجمهور أنّ عائشة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حين فرضها ركعتين، ثمّ أتمّها في الحضر فأقرّت صلاة السفر على الفريضة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أيضاً عن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صلاة السفر يا أبا عبد الرحمن؟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أنتم تتّبعون 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أخبرتكم، وإمّا لا تتبعون سنّة نبيكم فلا أخبركم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فخير ما اتُبع سنّة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المدينة لم يزد على ركعتين حتى يرجع إلينا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يعلى بن أميّة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تقصروا من الصلاة إن خفتم أن يفتنكم الذين كفروا فقد أمن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ممّا 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رسول الله صلى الله عليه وسلم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عليكم فاقبلوا صدقته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هذا أنّ المعهود من المسلمين هو التمام فكان الحكم بالقصر بعمل </w:t>
      </w:r>
      <w:bookmarkStart w:id="33" w:name="pg9131_75767"/>
    </w:p>
    <w:p>
      <w:pPr>
        <w:pStyle w:val="BookText"/>
        <w:rPr/>
      </w:pPr>
      <w:bookmarkEnd w:id="3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لاحقاً، ويتفرّع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التخيير في المواضع الأربعة لا يكون من قبيل اختلاف الفرض فيها، بل اختلاف السنّة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كان فالبحث حول وظيفة المسافر في المواضع الأربعة يقع في مقامين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991632_2870459653"/>
      <w:bookmarkStart w:id="35" w:name="_Toc12"/>
      <w:bookmarkEnd w:id="34"/>
      <w:r>
        <w:rPr>
          <w:rtl w:val="true"/>
        </w:rPr>
        <w:t>المقام الأوّل</w:t>
      </w:r>
      <w:r>
        <w:rPr>
          <w:rtl w:val="true"/>
        </w:rPr>
        <w:t xml:space="preserve">: </w:t>
      </w:r>
      <w:r>
        <w:rPr>
          <w:rtl w:val="true"/>
        </w:rPr>
        <w:t>حكم الصلاة الرباعية للمسافر إلى أحد المواضع الأربعة</w:t>
      </w:r>
      <w:bookmarkEnd w:id="35"/>
    </w:p>
    <w:p>
      <w:pPr>
        <w:pStyle w:val="Heading4"/>
        <w:numPr>
          <w:ilvl w:val="3"/>
          <w:numId w:val="1"/>
        </w:numPr>
        <w:rPr/>
      </w:pPr>
      <w:bookmarkStart w:id="36" w:name="__RefHeading___Toc2991634_2870459653"/>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المعروف بين فقهاء الإمامية هو وجود خصوصية لحكم الصلاة الرباعية للمسافر في مكة، والمدينة، والكوفة،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ورد من الروايات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تخل هذه المسألة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جملة كبيرة من الروايات المختلفة في مصادرنا لبيان حكم صلاة المسافر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بألسنة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بعضها تعيّن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ظاهرة في التخيير بين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ظاهرة في تعيّن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وقعت محلّا ً للنظر بين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اختلفت الفتاوى على ثلاثة أقوال</w:t>
      </w:r>
      <w:r>
        <w:rPr>
          <w:rFonts w:eastAsia="IRNazanin" w:cs="IRNazanin"/>
          <w:color w:val="111111"/>
          <w:sz w:val="28"/>
          <w:szCs w:val="28"/>
          <w:rtl w:val="true"/>
          <w:lang w:bidi="fa-IR"/>
        </w:rPr>
        <w:t>:</w:t>
      </w:r>
    </w:p>
    <w:p>
      <w:pPr>
        <w:pStyle w:val="Heading4"/>
        <w:numPr>
          <w:ilvl w:val="3"/>
          <w:numId w:val="1"/>
        </w:numPr>
        <w:rPr/>
      </w:pPr>
      <w:bookmarkStart w:id="38" w:name="__RefHeading___Toc2991636_2870459653"/>
      <w:bookmarkStart w:id="39" w:name="_Toc14"/>
      <w:bookmarkEnd w:id="38"/>
      <w:r>
        <w:rPr>
          <w:rtl w:val="true"/>
        </w:rPr>
        <w:t>القول الأوّل</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مع أفضلية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المشهور كما في المختلف وكشف الالتباس ومجمع البرهان ورسالة صاحب المعالم والمصابيح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الأكثر كما في التذكرة وتلخيص التلخيص والغرية والمدارك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الثلاثة وأتباعهم كما في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الأصحاب وتفرّدوا به كما في الكركية والدرّة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الأصحاب كما في الذكرى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الإمامية إلّا الصدوق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فيه إلّا من الصدوق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كما في الخلاف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السرائر أنّه الأظهر من </w:t>
      </w:r>
      <w:bookmarkStart w:id="40" w:name="pg9131_75768"/>
    </w:p>
    <w:p>
      <w:pPr>
        <w:pStyle w:val="BookText"/>
        <w:rPr/>
      </w:pPr>
      <w:bookmarkEnd w:id="40"/>
      <w:r>
        <w:rPr>
          <w:rFonts w:ascii="Amiri" w:hAnsi="Amiri" w:eastAsia="Amiri" w:cs="Amiri"/>
          <w:color w:val="111111"/>
          <w:sz w:val="28"/>
          <w:sz w:val="28"/>
          <w:szCs w:val="28"/>
          <w:rtl w:val="true"/>
          <w:lang w:bidi="ar-SA"/>
        </w:rPr>
        <w:t>الطائفة وعليه عملهم وفتاواهم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991638_2870459653"/>
      <w:bookmarkStart w:id="42" w:name="_Toc15"/>
      <w:bookmarkEnd w:id="41"/>
      <w:r>
        <w:rPr>
          <w:rtl w:val="true"/>
        </w:rPr>
        <w:t>القول الثاني</w:t>
      </w:r>
      <w:bookmarkEnd w:id="42"/>
    </w:p>
    <w:p>
      <w:pPr>
        <w:pStyle w:val="BookText"/>
        <w:rPr/>
      </w:pPr>
      <w:r>
        <w:rPr>
          <w:rFonts w:ascii="IRNazanin" w:hAnsi="IRNazanin" w:eastAsia="IRNazanin"/>
          <w:color w:val="111111"/>
          <w:sz w:val="28"/>
          <w:sz w:val="28"/>
          <w:szCs w:val="28"/>
          <w:rtl w:val="true"/>
          <w:lang w:bidi="fa-IR"/>
        </w:rPr>
        <w:t>تعيّن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نُسب للسيد المرتضى اعتماداً على ما ذكره في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تقصير إلّا في سفر طاعة أو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تقصير في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الكوفة ومشاهد الأئمّة القائمين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الجنيد كما حكاه عنه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والمسجد الحرام لا تقصير فيه على أحد لأنّ الله عزّ وجل جعله سواء العاكف فيه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حكى المحقّق النراقي تعيّن التمام من عبارة المرتضى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هاهنا خلافاً آخر محكياً عن السيد والإسكافي هو لزوم التمام في المواطن المذكورة</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يظهر العمل به من بعض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كعبد الله بن جندب وعلي بن حديد كما في الحديث المروي عن علي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اختلفوا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يقصّر، وبعضهم يتمّ، وأنا ممّن يتمّ على رواية قد رواها أصحابنا في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عبد الله بن جندب أنّه كان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نسبه الشيخ الصدوق في الخصال إلى غير أهل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أن ينوي الإنسان في حرمهم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عشرة أيّام ويتمّ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ينوي مقام دون عشرة أيام فيقصر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ما يقوله غير أهل الاستبصار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يتمّ في هذه المواضع على كل حال</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يراد من عبارة السيد وابن الجنيد مجرّد نفي وجوب القصر وتعيّنه </w:t>
      </w:r>
      <w:bookmarkStart w:id="43" w:name="pg9131_75769"/>
    </w:p>
    <w:p>
      <w:pPr>
        <w:pStyle w:val="BookText"/>
        <w:rPr/>
      </w:pPr>
      <w:bookmarkEnd w:id="43"/>
      <w:r>
        <w:rPr>
          <w:rFonts w:ascii="Amiri" w:hAnsi="Amiri" w:eastAsia="Amiri" w:cs="Amiri"/>
          <w:color w:val="111111"/>
          <w:sz w:val="28"/>
          <w:sz w:val="28"/>
          <w:szCs w:val="28"/>
          <w:rtl w:val="true"/>
          <w:lang w:bidi="ar-SA"/>
        </w:rPr>
        <w:t>الذي هو مذهب بعض الأصحاب كما ستعرف 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يثبت تعيّن التمام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مبنى حصر غير واحد الخلاف في الصدوق كما في المعتبر والتذكرة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إليه العلّامة في المختلف القول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استحباب الإتمام واختاره الشيخ والمرتضى وابن الجنيد وابن إدريس وابن حمزة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يبقى محض احتمال لا يساعد عليه ظاهر ما ذكر من عبارتهما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991640_2870459653"/>
      <w:bookmarkStart w:id="45" w:name="_Toc16"/>
      <w:bookmarkEnd w:id="44"/>
      <w:r>
        <w:rPr>
          <w:rtl w:val="true"/>
        </w:rPr>
        <w:t>القول الثالث</w:t>
      </w:r>
      <w:bookmarkEnd w:id="45"/>
    </w:p>
    <w:p>
      <w:pPr>
        <w:pStyle w:val="BookText"/>
        <w:rPr/>
      </w:pPr>
      <w:r>
        <w:rPr>
          <w:rFonts w:ascii="Amiri" w:hAnsi="Amiri" w:eastAsia="Amiri" w:cs="Amiri"/>
          <w:color w:val="111111"/>
          <w:sz w:val="28"/>
          <w:sz w:val="28"/>
          <w:szCs w:val="28"/>
          <w:rtl w:val="true"/>
          <w:lang w:bidi="ar-SA"/>
        </w:rPr>
        <w:t>تعيّن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الشيخ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أن يعزم على مقام عشرة أيام في هذه المواطن حتّى يتمّ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الخصال كما 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ابن البرّاج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سافر إلى مكة حاجّاً وبينه وبينها مسافة يقصر فيها الصلاة ونوى المقام بها عشرة أيام كان عليه التقصير في الطريق والاتمام إذا وصل إليها فإن خرج منها إلى عرفات ليقضي مناسكه بها ولا ينوي المقام بمكة عشرة أيام إذا رجع إليها كان عليه التقصير؛ لأنّه قد نقض مقامه بسفر بينه وبين بلده قصر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إذا قضى مناسكه بعرفات المقام بمكة عشراً إذا عاد إليها كان عليه التمام إذا عاد إليها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بتعيّن القصر على من لم يعزم على البقاء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من متأخري المتأخّرين العلاّمة الوحيد</w:t>
      </w:r>
      <w:r>
        <w:rPr>
          <w:rStyle w:val="FootnoteAnchor"/>
          <w:rtl w:val="true"/>
        </w:rPr>
        <w:footnoteReference w:id="19"/>
      </w:r>
      <w:r>
        <w:rPr>
          <w:rFonts w:ascii="Amiri" w:hAnsi="Amiri" w:eastAsia="Amiri" w:cs="Amiri"/>
          <w:color w:val="111111"/>
          <w:sz w:val="28"/>
          <w:sz w:val="28"/>
          <w:szCs w:val="28"/>
          <w:rtl w:val="true"/>
          <w:lang w:bidi="ar-SA"/>
        </w:rPr>
        <w:t>في تعيّن القصر ما لم ينو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w:t>
      </w:r>
    </w:p>
    <w:p>
      <w:pPr>
        <w:pStyle w:val="BookText"/>
        <w:rPr/>
      </w:pPr>
      <w:r>
        <w:rPr>
          <w:rFonts w:ascii="Amiri" w:hAnsi="Amiri" w:eastAsia="Amiri" w:cs="Amiri"/>
          <w:color w:val="111111"/>
          <w:sz w:val="28"/>
          <w:sz w:val="28"/>
          <w:szCs w:val="28"/>
          <w:rtl w:val="true"/>
          <w:lang w:bidi="ar-SA"/>
        </w:rPr>
        <w:t>عن السيد بحر العلوم، بل ادعيت الشهرة عليه بين المتقدّمين من الأصحاب</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إلى ما رواه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فقهاء أصحابنا أشاروا إليّ بالتقصير إذا كنت لا أنوي مقام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ضقت بذلك حتى أعرف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سعد بن عبد الله عن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أقصر وكان صفوان يقصر وابن أبي عمير وجميع أصحابنا يقصرون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تقريب الكلام في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غير واحد إلى تأويل القولين الأخيرين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علّق على قول المرتضى وابن الجنيد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المحكي عنهما من نفي التقصير ووجوب الإتمام مع إمكان إرادتهما نفي تحتّمه كما احتمله الشهيد، بل يؤيّده حصر غير واحد الخلاف في الصدوق، بل في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استحباب الإتمام، واختاره الشيخ والمرتضى وابن الجنيد وابن إدريس وابن حمزة، بل عن المصنّف والمنتهى التصريح بنسبة التخيير المزبور إلى الثلاثة وأتباعهم، وأنّ خلافه إنما هو في طرد الحكم في باقي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على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بإرادة المنع من وجوب التمام أو الاحتياط من جهة ظهور بعض الأدلّة في وجوب التقصير بأن ينوي المقام ويتم أو يقصر كما ورد في المهذّب فإنّه بعد أن ذكر استحباب الإتمام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والتقصير هو الأصل والعمل به في هذه المواضع وغيرها أحوط</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يفهم أنّ الخلاف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تأويل 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عبارته لا تحتمل النظر إلى استحباب الإتمام فإنّه كان بلسان نفي التقصير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بلسان استحباب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ذكره في تأويل عبارة الصدوق يمكن الملاحظة عليه بما ذكرنا من حصر الاختلاف فيه بين العلماء وفهمهم لتعيّن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أنّ قول الشيخ الصدوق يظهر منه غير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جاء في ذيل الرواية الدالّة على حكم التمام في الفقيه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الأمر المذخور إتمام الصلاة في أربعة مواطن بمكة والمدينة ومسجد الكوفة وحائر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أن يعزم على مقام عشرة أيام في هذه المواطن حتى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ويصدّق ذلك ما رواه محمّد بن اسماعيل بن بزيع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أو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ما لم يعزم على مقام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محمّد بن خالد البرقي عن حمزة بن عبد الله الجعفري</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ذكر جملة من الروايات الدالّة على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الأثناء إلى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عليها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أن ينفي تعيّن التمام لاحتاج إلى تأويل الحكم لا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يظهر من عبارته أن الحكم بوجوب التمام المذكور في الرواية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موضوعه ليس بمطلق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مختصّ بمن نوى الإقامة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فهمه صاحب الجواهر هو أنّ الموضوع هو المسافر دون العشرة، والحكم هو نفي تعيّن التمام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يحتمل ما ذكره صاحب الجواهر من عبارة الصدوق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bookmarkStart w:id="46" w:name="pg9131_75772"/>
    </w:p>
    <w:p>
      <w:pPr>
        <w:pStyle w:val="BookText"/>
        <w:rPr/>
      </w:pPr>
      <w:bookmarkEnd w:id="46"/>
      <w:r>
        <w:rPr>
          <w:rFonts w:ascii="Amiri" w:hAnsi="Amiri" w:eastAsia="Amiri" w:cs="Amiri"/>
          <w:color w:val="111111"/>
          <w:sz w:val="28"/>
          <w:sz w:val="28"/>
          <w:szCs w:val="28"/>
          <w:rtl w:val="true"/>
          <w:lang w:bidi="ar-SA"/>
        </w:rPr>
        <w:t xml:space="preserve">بعد ذكره لرواية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ينوي الانسان في حرمهم مقام عشرة أيّام ويتمّ ولا ينوي مقام دون عشرة أيّام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يقول غير أهل الاستبصار بشيء أنّه يتمّ في هذه المواضع على كل حال</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ذيل هذه العبارة أنّه أراد نفي كلام البعض الظاهر في تعيّن التمام سواء نوى الإقامة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الحكم بوجوب التمام حال العزم على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إمكان حمل كلام الصدوق على الاحتياط فإنّه أيضاً خلاف ظاهر عبارته المتقدّمة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991642_2870459653"/>
      <w:bookmarkStart w:id="48" w:name="_Toc17"/>
      <w:bookmarkEnd w:id="47"/>
      <w:r>
        <w:rPr>
          <w:rtl w:val="true"/>
        </w:rPr>
        <w:t>الروايات الواردة في المقام</w:t>
      </w:r>
      <w:bookmarkEnd w:id="48"/>
    </w:p>
    <w:p>
      <w:pPr>
        <w:pStyle w:val="Heading4"/>
        <w:numPr>
          <w:ilvl w:val="3"/>
          <w:numId w:val="1"/>
        </w:numPr>
        <w:rPr/>
      </w:pPr>
      <w:bookmarkStart w:id="49" w:name="__RefHeading___Toc2991644_2870459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وردت جملة كبيرة من الروايات لبيان حكم الصلاة في تلك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يظهر في تعيّن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يدلّ على 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منها أنّ المسألة كانت محلّا ً للخلاف بين الأصحاب المتقدّمين، وقد كثر السؤال عنها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991646_2870459653"/>
      <w:bookmarkStart w:id="52" w:name="_Toc19"/>
      <w:bookmarkEnd w:id="51"/>
      <w:r>
        <w:rPr>
          <w:rtl w:val="true"/>
        </w:rPr>
        <w:t>الطائفة الأولى الدالة على التخيير</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ابن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الشيخ بإسناده عن أحمد بن محمّد بن عيسى، عن محمّد بن أبي عمير، عن سعد بن أبي خلف، عن علي بن يقطين،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أتمّ ومن شاء قَصَّر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عمران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بإسناده، عن الصفار، عن محمّد بن الحسين، عن الحسن بن حمّاد بن عديس، عن عمران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أقصّر </w:t>
      </w:r>
    </w:p>
    <w:p>
      <w:pPr>
        <w:pStyle w:val="BookText"/>
        <w:rPr/>
      </w:pPr>
      <w:r>
        <w:rPr>
          <w:rFonts w:ascii="Amiri" w:hAnsi="Amiri" w:eastAsia="Amiri" w:cs="Amiri"/>
          <w:color w:val="111111"/>
          <w:sz w:val="28"/>
          <w:sz w:val="28"/>
          <w:szCs w:val="28"/>
          <w:rtl w:val="true"/>
          <w:lang w:bidi="ar-SA"/>
        </w:rPr>
        <w:t>في المسجد الحرام أو أتمّ؟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قصّرت فلك، وإن أتممت فهو خير، وزيادة الخير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الحسين، عن الحسن بن علي بن فضال، عن عمران مثله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كامل الزيارات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زاهر، عن محمّد بن الحسين الزيات، عن حسين بن عمران، عن عمران، 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أبي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الشيخ بإسناده عن جعفر بن محمّد بن قولويه، عن أبيه، عن محمّد بن الحسن، عن الحسن بن متيل، عن سهل بن زياد، عن محمّد بن عبد الله، عن صالح بن عقبة، عن أبي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الصلاة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يرى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يفعل ذلك الضعفة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عن عدّة من أصحابنا، عن سهل بن زياد 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الحسين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الكليني، عن محمّد بن يحيى، عن أحمد بن محمّد، عن علي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المختار،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دخلنا مكة والمدينة نتمّ أو نقصر؟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قصرت فذلك، وإن أتممت فهو خير تزداد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الكليني عن علي بن إبراهيم، عن أبيه، عن إسماعيل بن مرار، عن يونس، عن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53" w:name="pg9131_75774"/>
    </w:p>
    <w:p>
      <w:pPr>
        <w:pStyle w:val="BookText"/>
        <w:rPr/>
      </w:pPr>
      <w:bookmarkEnd w:id="53"/>
      <w:r>
        <w:rPr>
          <w:rFonts w:ascii="Amiri" w:hAnsi="Amiri" w:eastAsia="Amiri" w:cs="Amiri"/>
          <w:color w:val="111111"/>
          <w:sz w:val="28"/>
          <w:sz w:val="28"/>
          <w:szCs w:val="28"/>
          <w:rtl w:val="true"/>
          <w:lang w:bidi="ar-SA"/>
        </w:rPr>
        <w:t>التقصير بمكة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وليس بواجب إلّا أنّي أحبّ لك ما أحب لنفسي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صالح بن عبد الله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عبد الله بن جعفر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عامر، عن ابن أبي نجران عن صالح بن عبد الله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الصلاة في المسجدين أقصر أم أتمّ؟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فعلت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مشافهة؟ فأجابني بمثل ما أجابني أبوه إلّا أنّه قال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2991648_2870459653"/>
      <w:bookmarkStart w:id="55" w:name="_Toc20"/>
      <w:bookmarkEnd w:id="54"/>
      <w:r>
        <w:rPr>
          <w:rtl w:val="true"/>
        </w:rPr>
        <w:t>الطائفة الثانية الظاهرة في تعيّن التمام</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محمّد بن أحمد بن يحيى، عن الحسن بن علي بن النعمان، عن أبي عبد الله البرقي، عن علي بن مهزيار وأبي علي بن راشد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علي بن محمّد، عن محمّد ابن أحمد عن الحسن بن علي بن النعمان 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الشخ بإسناده عن علي بن مهزيار، عن فضالة، عن أبان، عن مسمع،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يرى لهذين الحرمين ما لا يراه لغيرهما،</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فيهما من الأمر المذخور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عن حميد بن زياد، عن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أبان بن عثمان 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ابن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قد اختلفت عن آبائك في الإتمام والتقصير للصلاة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تتمّم الصلاة ولو صلاة واحدة،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تقصر الصلاة ما لم ينوِ عشرة أيام، ولم أزل على الإتمام فيها إلى أن صدرنا في حجّنا في عامنا هذا، فإنّ فقهاء أصحابنا أشاروا إليّ بالتقصير إذا كنت لا أنوي مقام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ضقت بذلك حتّى أعرف رأيك، فكتب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علمت يرحمك الله فضل الصلاة في الحرمين على غيرهما، فأنا أحبّ لك إذا دخلتهما أن لا تقصر، وتكثر فيهما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بسنتين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كتبت إليك بكذا وأجبتني بكذا،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تعني بالحرمين؟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الكليني عن عدّة من أصحابنا، عن سهل بن زياد، وأحمد بن محمّد جميعاً، عن علي بن مهزيار نحوه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محمّد بن علي بن محبوب، عن محمّد بن عبد الجبار، عن صفوان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التمام بمكة والمدينة،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وإن لم تصلِّ فيهما إلّا صلاة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محمّد بن علي ابن محبوب، عن أحمد بن محمّد، عن الحسن بن حسين اللؤلؤي، عن صفوان،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هشاماً روى عنك أنّك أمرته بالتمام في الحرمين، وذلك من أجل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كنت أنا ومن مضى من آبائي إذا وردنا مكّة أتممنا الصلاة واستترنا من الناس</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الشيخ بإسناده عن محمّد بن الحسين بن أبي الخطاب، عن صفوان، عن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مكّة فأتمّ يوم تدخل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عمر بن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عن محمّد بن الحسين بن الخطاب، عن صفوان، عن عمر بن 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أقدم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أو أقصر؟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على المدينة فأتمّ الصلاة أو أقصر؟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زياد 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الشيخ بإسناده عن جعفر بن محمّد بن قولويه عن أبيه، عن محمّد بن همام،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حمدان، 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زياد أحبّ لك ما أحبّ لنفسي، وأكره لك ما أكره لنفسي، أتمّ الصلاة في الحرمين وبالكوفة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زياد بن مروان 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الكليني عن علي بن إبراهيم، عن أبيه، عن إسماعيل بن مرار، عن يونس، عن زياد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في 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لك ما أحبّ لنفسي، أتمّ الصلاة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عبد الحميد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الشيخ بإسناده عن محمّد بن علي بن محبوب، عن أحمد بن محمّد، عن الحسين بن سعيد، عن محمّد بن سنان، عن عبد الملك القمّي، عن إسماعيل بن جابر، عن عبد الحميد خادم إسماعيل بن جعفر،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الكليني عن عدّة من أصحابنا، عن أحمد بن محمّد، 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والصيام في 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أتمّها ولو صلاة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النعمان بن عثمان بن عيسى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 الصلاة في الحرمين مكة والمدينة،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الصلاة ولو صلاة واحدة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ابن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الشيخ عن أبي علي الأشعري، عن الحسن ابن علي بن مهزيار، عن الحسين بن سعيد، عن إبراهيم بن أبي البلاد، عن رجل من</w:t>
      </w:r>
    </w:p>
    <w:p>
      <w:pPr>
        <w:pStyle w:val="BookText"/>
        <w:rPr/>
      </w:pPr>
      <w:r>
        <w:rPr>
          <w:rFonts w:ascii="IRNazanin" w:hAnsi="IRNazanin" w:eastAsia="IRNazanin"/>
          <w:color w:val="111111"/>
          <w:sz w:val="28"/>
          <w:sz w:val="28"/>
          <w:szCs w:val="28"/>
          <w:rtl w:val="true"/>
          <w:lang w:bidi="fa-IR"/>
        </w:rPr>
        <w:t xml:space="preserve">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قولويه في الكامل عن عبد الرحمن محمّد بن أحمد العسكري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عمرو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في المزار عن علي بن حاتم، عن محمّد بن عبد الله الأسدي، عن القاسم بن الربيع، عن عمرو بن عثمان، عن عمرو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الحرمين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الصلاة فيهن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قائد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ابن قولويه في كامل الزيارات عن الحسين بن أحمد بن المغيرة، عن أحمد بن إدريس بن أحمد، عن محمّد بن عبد الجبار، عن علي بن إسماعيل، عن محمّد بن عمرو، عن قائد الحناط،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ولو مررت به مارا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إبراهيم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الكليني عن عدّة من أصحابنا، عن أحمد بن محمّد، وسهل بن زياد جميعاً، عن أحمد بن محمّد بن أبي نصر، عن إبراهيم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إتمام الصلاة في الحرمين فكتب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إكثار الصلاة في الحرمين فأكثر فيهما وأتمّ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الكليني عن علي بن إبراهيم، عن أبيه، عن </w:t>
      </w:r>
    </w:p>
    <w:p>
      <w:pPr>
        <w:pStyle w:val="BookText"/>
        <w:rPr/>
      </w:pPr>
      <w:r>
        <w:rPr>
          <w:rFonts w:ascii="IRNazanin" w:hAnsi="IRNazanin" w:eastAsia="IRNazanin"/>
          <w:color w:val="111111"/>
          <w:sz w:val="28"/>
          <w:sz w:val="28"/>
          <w:szCs w:val="28"/>
          <w:rtl w:val="true"/>
          <w:lang w:bidi="fa-IR"/>
        </w:rPr>
        <w:t xml:space="preserve">إسماعيل بن مرار، عن يونس،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المذخور الإتمام في الحرمين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حذيفة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الكليني عن محمّد بن يحيى، عن محمّد ابن الحسين، عن محمّد بن سنان، عن حذيفة بن منصور، عمّن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 مثله</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الكليني عن محمّد بن يحيى، عن محمّد بن الحسين، عن محمّد بن سنان، عن إسحاق بن حريز،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رواها الشيخ بإسناده عن محمّد بن يعقوب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عن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ومسجد الكوفة، وحائر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جعفر الحميري، عن أبيه، عن أحمد بن أبي عبد الله البرقي، عن </w:t>
      </w:r>
      <w:bookmarkStart w:id="56" w:name="pg9131_75780"/>
    </w:p>
    <w:p>
      <w:pPr>
        <w:pStyle w:val="BookText"/>
        <w:rPr/>
      </w:pPr>
      <w:bookmarkEnd w:id="56"/>
      <w:r>
        <w:rPr>
          <w:rFonts w:ascii="IRNazanin" w:hAnsi="IRNazanin" w:eastAsia="IRNazanin"/>
          <w:color w:val="111111"/>
          <w:sz w:val="28"/>
          <w:sz w:val="28"/>
          <w:szCs w:val="28"/>
          <w:rtl w:val="true"/>
          <w:lang w:bidi="fa-IR"/>
        </w:rPr>
        <w:t xml:space="preserve">أبيه، عن حمّاد بن عيسى،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والمدينة، ومسجد الكوفة، والحائر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991650_2870459653"/>
      <w:bookmarkStart w:id="58" w:name="_Toc21"/>
      <w:bookmarkEnd w:id="57"/>
      <w:r>
        <w:rPr>
          <w:rtl w:val="true"/>
        </w:rPr>
        <w:t>الطائفة الثالثة الظاهرة في تعيّن القصر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حسنة الحضيني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محمّد بن أحمد بن يحيى، عن محمّد بن عبد الجبار، عن علي بن مهزيار، عن محمّد بن إبراهيم الحضيني،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استأمرت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الإتمام والتقصير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الحرمين فانوِ عشرة أيام وأتمّ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أقدم مكّة قبل التروية بيوم أو يومين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 مقام عشرة أيّام وأتمّ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الشيخ إلى محمّد بن أحمد بن يحيى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49"/>
      </w:r>
      <w:r>
        <w:rPr>
          <w:rFonts w:ascii="Amiri" w:hAnsi="Amiri" w:eastAsia="Amiri" w:cs="Amiri"/>
          <w:color w:val="111111"/>
          <w:sz w:val="28"/>
          <w:sz w:val="28"/>
          <w:szCs w:val="28"/>
          <w:rtl w:val="true"/>
          <w:lang w:bidi="ar-SA"/>
        </w:rPr>
        <w:t>مع إمكان عدم الاحتياج إليه بعد كون الكتاب المذكور مشهوراً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والطريق صحيح إلى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وقع الكلام في محمّد بن إبراهيم الحضيني من جهة عدم ذكره في كلام المتقدّمين من الرجال إلّا أنّ الصحيح هو الاعتماد على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الكشي، عن محمّد بن مسعود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حمدان بن أحمد القلانسي، حدّثني معاوية بن حكيم، عن أحمد بن محمّد بن أبي نصر، عن حمدان الحضيني،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أخي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أخاك فإنّه </w:t>
      </w:r>
    </w:p>
    <w:p>
      <w:pPr>
        <w:pStyle w:val="BookText"/>
        <w:rPr/>
      </w:pPr>
      <w:r>
        <w:rPr>
          <w:rFonts w:ascii="Amiri" w:hAnsi="Amiri" w:eastAsia="Amiri" w:cs="Amiri"/>
          <w:color w:val="111111"/>
          <w:sz w:val="28"/>
          <w:sz w:val="28"/>
          <w:szCs w:val="28"/>
          <w:rtl w:val="true"/>
          <w:lang w:bidi="ar-SA"/>
        </w:rPr>
        <w:t>كان من خصيص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الخاصّة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يدلّ على حسنه واعتباره، وطريق هذا الحديث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كلام في فطحيّة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وصفه الكشّي بأنّه أحد العدول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الصدوق بإسنادٍ صحيح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الشيخ بإسناده عن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بمكة والمدينة تقصير أو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ما لم تعزم على مقام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 طريق الشيخ إلى أحمد بن محمّد 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في المشيخة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منها طريق إلى جميع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واحدٍ منها إلى بعض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فيه أحمد بن محمّد بن يحيى العطار الذي لم يرد في حقّه توثيق في كلمات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 إلى جميع رواياته ذكر في الفهرست إلّا أنّ فيه أحمد بن محمّد بن يحيى العطّار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من ضعف الطريق غير تامّ؛ فإنّ أحمد بن محمّد بن يحيى </w:t>
      </w:r>
    </w:p>
    <w:p>
      <w:pPr>
        <w:pStyle w:val="BookText"/>
        <w:rPr/>
      </w:pPr>
      <w:r>
        <w:rPr>
          <w:rFonts w:ascii="Amiri" w:hAnsi="Amiri" w:eastAsia="Amiri" w:cs="Amiri"/>
          <w:color w:val="111111"/>
          <w:sz w:val="28"/>
          <w:sz w:val="28"/>
          <w:szCs w:val="28"/>
          <w:rtl w:val="true"/>
          <w:lang w:bidi="ar-SA"/>
        </w:rPr>
        <w:t>العطّار ممّن ترضّى عنه الصدوق في كتبه مراراً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التصحيح بأنّ الجملة التي يرويها الشيخ عن أحمد بن محمّد بن عيسى بواسطة أحمد بن محمّد بن يحيى العطار إنّما يرويه عنه عن أبيه، عن محمّد بن علي بن محبوب، عن أحمد بن محمّد 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الفهرست في ترجمة محمّد بن علي بن محبوب أنّ جميع ما رواه عن محمّد بن علي بن محبوب بواسطة أحمد بن محمّد بن يحيى، عن أبيه، عن ابن محبوب له إليه طريقان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يرويه عن جماعة، عن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طريق الشيخ إلى جميع رواياته عن أحمد بن محمّد بن عيسى صحيحاً في المشيخة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علي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الشيخ عن أحمد بن محمّد بن عيسى، عن علي بن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اختلفوا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يقصر وبعضهم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ممّن يتمّ على روايةٍ قد رواها أصحابنا في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عبد الله بن جندب أنّه كان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الإتمام إلّا أن تجمع على إقامة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النوافل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محبتي أن يأمرني بالإتمام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طريق الشيخ إلى أحمد بن محمّد بن عيسى فقد تقدّم الكلام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علي بن حديد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حديد فقد ضعّفه الشيخ في التهذيب والاستبصار صريحاً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يظهر من بعض الروايات كونه من مشايخ ابن أبي عمير</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وردت روايات أخرى فيها علي بن حديد عن ابن أبي عمير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الغالب في الأسانيد هو رواية ابن أبي عمير وعلي بن حديد معاً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يطمأن بصحّة رواية ابن أبي عمير عنه، ولا روايته عن ابن أبي عمير؛ للظنّ بوقوع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ما جرى من روايتهما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حمزة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الشيخ بإسناده عن سعد عن أبي جعفر، عن محمّد بن خالد البرقي، عن حمزة بن عبد الله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نفرت من منى نويت المقام بمكة فأتممت الصلاة، ثمّ جاءني خبر من المنزل فلم أجد بدّاً من المصير إلى المنزل ولم أدرِ أتمّ أم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بمكّة فأتيته فقصصت عليه القصّة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إلى التقصير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أبي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عن سعد، عن أبي جعفر أحمد بن محمد، عن الحسن 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كنت نويت حين دخلت المدينة أنْ أقيم بها عشرة أيّام، فأتمّ الصلاة، ثمّ بدا لي بعد أن لا </w:t>
      </w:r>
    </w:p>
    <w:p>
      <w:pPr>
        <w:pStyle w:val="BookText"/>
        <w:rPr/>
      </w:pPr>
      <w:r>
        <w:rPr>
          <w:rFonts w:ascii="Amiri" w:hAnsi="Amiri" w:eastAsia="Amiri" w:cs="Amiri"/>
          <w:color w:val="111111"/>
          <w:sz w:val="28"/>
          <w:sz w:val="28"/>
          <w:szCs w:val="28"/>
          <w:rtl w:val="true"/>
          <w:lang w:bidi="ar-SA"/>
        </w:rPr>
        <w:t>أقيم بها، فما ترى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أم أقصر؟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حين دخلت المدينة صلّيت بها صلاة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عن علي بن مهزيار، عن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قدم مكّة فأقام على إحرامه،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فليقصر الصلاة ما دام محرماً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الحسين ابن الحسن بن أبان، عن الحسين بن سعيد، عن حمّاد 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مكة والمدينة كسائر البلدان؟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عنك بعض أصحابنا أنك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بالمدينة 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أصحابكم هؤلاء كانوا يقدمون فيخرجون من المسجد عند الصلاة فكرهت ذلك لهم فلهذا قلته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الشيخ بإسناده عن موسى بن القاسم، عن عبد الرحمن،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في الحرمين والتمام،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 حتّى تجمع على مقام عشرة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رووا عنك أنّك أمرتهم بالتمام،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أصحابك كانوا يدخلون المسجد فيصلّون ويأخذون </w:t>
      </w:r>
    </w:p>
    <w:p>
      <w:pPr>
        <w:pStyle w:val="BookText"/>
        <w:rPr/>
      </w:pPr>
      <w:r>
        <w:rPr>
          <w:rFonts w:ascii="Amiri" w:hAnsi="Amiri" w:eastAsia="Amiri" w:cs="Amiri"/>
          <w:color w:val="111111"/>
          <w:sz w:val="28"/>
          <w:sz w:val="28"/>
          <w:szCs w:val="28"/>
          <w:rtl w:val="true"/>
          <w:lang w:bidi="ar-SA"/>
        </w:rPr>
        <w:t>نعالهم ويخرجون والناس يستقبلونهم يدخلون المسجد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 بالتمام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تقدّم يظهر التنافي الحاصل بين لسان هذه الأخبار، وقد اختار مشهور أصحابنا القول بالتخيير، ولم يذهب أحد من المتأخّرين إلى أحد القولين الآخرين جمعاً بين الروايات على واحد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أنّ التخيير بين القصر والتمام هو مقتضى الجمع</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روايات الطائفة الثانية الظاهرة في وجوب التمام مطلقاً وبين روايات الطائفة الثالثة الدالّة على تعيّن القصر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منهما تماميّة دلالة الطائفة الأولى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الجمع بالتخيير حينئذ يمكن أن يكون على 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أساس اقتضاء القاعدة في مثله الجمع بالتخيير بين ما ذكر 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أساس جعل أخبار التخيير قرينة خاصّة على أن الأمر بكل من الطرفين في بعض الأخبار من باب الاقتصار على أحد خصال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التقريب الأوّل فهو يبتني على كبرى كلّيّة وسيّالة تجري في عشرات الموارد في المباحث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 دليلان كلاهما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أحدهما وجوب شيء ويتضمّن الآخر الأمر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الخارجي بعدم وجوب كليهما، وقد تكرّر في كلماتهم البناء في مثله على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ناقش فيه بعضهم، وهو وجيه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أن يقال في توجيه حمل الدليلين على التخيير في الحالة </w:t>
      </w:r>
    </w:p>
    <w:p>
      <w:pPr>
        <w:pStyle w:val="BookText"/>
        <w:rPr/>
      </w:pPr>
      <w:r>
        <w:rPr>
          <w:rFonts w:ascii="Amiri" w:hAnsi="Amiri" w:eastAsia="Amiri" w:cs="Amiri"/>
          <w:color w:val="111111"/>
          <w:sz w:val="28"/>
          <w:sz w:val="28"/>
          <w:szCs w:val="28"/>
          <w:rtl w:val="true"/>
          <w:lang w:bidi="ar-SA"/>
        </w:rPr>
        <w:t>المذكورة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في هذه الحالة بين أصل الحكمين مثل أصل وجوب التمام وبين أصل وجوب التقصير في مورد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تعارض بين الوجوبين على سبيل القضية المهملة، وإنّما التعارض بين الإطلاق في الجانبين، فيلزم البناء على سقوط الإطلاقين المقتضيين للوجوبين التعيينييّن فلا يبقى إلّا وجوب التمام ووجوب التقصير على سبيل القضيتين المهملتين، وتتعيّنان في القدر المتيقَّن من كلّ طرف، أي وجوب التمام مع عدم التقصير ووجوب التقصير مع عدم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الكلام طرحه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المنتقى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يجعل هذا المورد من موارد تعارض الإطلاقين والقاعدة تقتضي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المورد من موارد الجمع العرفي أصلاً بل هو نظير تعارض العامّين من وجه وتساقطهما في المجمع</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بالوجوب التخييري لا يستند إلى الجمع العرفي بين الدليلين، وإنّما يكون من جهة تساقط الإطلاقين، والأخذ بأصل الوجوبين على سبيل القضيتين المهملتين، وتتعيّنان في القدر المتيقَّن من كلّ منهما، ونتيجة ذلك هي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كون مرجع الوجوب التخييري إلى وجوبين مقيّدين، وهو غير تام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البناء، وذلك لأنّ التعارض هنا ليس بين الإطلاقين ليُدّعى تساقطهما وبقاء الوجوبين على سبيل القضيتين المهملتين، بل التعارض بين كلّ من الإطلاقين وبين أصل الوجوب في الطرف الآخر؛ إذ المفروض العلم بعدم وجوب </w:t>
      </w:r>
    </w:p>
    <w:p>
      <w:pPr>
        <w:pStyle w:val="BookText"/>
        <w:rPr/>
      </w:pPr>
      <w:r>
        <w:rPr>
          <w:rFonts w:ascii="Amiri" w:hAnsi="Amiri" w:eastAsia="Amiri" w:cs="Amiri"/>
          <w:color w:val="111111"/>
          <w:sz w:val="28"/>
          <w:sz w:val="28"/>
          <w:szCs w:val="28"/>
          <w:rtl w:val="true"/>
          <w:lang w:bidi="ar-SA"/>
        </w:rPr>
        <w:t>التمام والقصر معاً في حال من الأحوال، فما يدلّ على وجوب التمام في الجملة على سبيل القضية المهملة معارَض مع إطلاق ما دلّ على ثبوت التقصير، أي سواء على مَن أتمّ وعلى مَن لم يتمّ، أي هما يتكاذبان؛ إذ مقتضى وجوب التمام في الجملة عدم إطلاق وجوب التقصير، ومقتضى إطلاق وجوب التقصير هو عدم ثبوت وجوب التمام ولو في الجملة، فالتعارض ليس بين الإطلاقين ليقال إنّهما يتساقطان ويبقى دلالتهما على أصل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رُفعت اليد عن الإطلاقين فلا تعارض بين الدليلين، ولكن هذا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الروحاني</w:t>
      </w:r>
      <w:r>
        <w:rPr>
          <w:rStyle w:val="FootnoteAnchor"/>
          <w:rtl w:val="true"/>
        </w:rPr>
        <w:footnoteReference w:id="64"/>
      </w:r>
      <w:r>
        <w:rPr>
          <w:rFonts w:ascii="Amiri" w:hAnsi="Amiri" w:eastAsia="Amiri" w:cs="Amiri"/>
          <w:color w:val="111111"/>
          <w:sz w:val="28"/>
          <w:sz w:val="28"/>
          <w:szCs w:val="28"/>
          <w:rtl w:val="true"/>
          <w:lang w:bidi="ar-SA"/>
        </w:rPr>
        <w:t>بأن يُجعل المورد من موارد تقديم النصّ على الظاهر؛ لأنّ كلّا ً منهما نصّ في الوجوب ظاهر في التعيين بواسطة الإطلاق، فظاهر كلّ منهما ينافي نص الآخر ويكون أحدهما قرينة على التصرف في الآخر، وهذا يؤدّي إلى إثبات الوجوب التخييري ولكن على أساس الجمع العرفي، وليس على ما ذُكر في 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أصل الوجوب مدلول وضعي لصيغة الأمر، وأمّا كون الوجوب تعيينياً فهو مدلول بالإطلاق بمقتضى مقدّمات الحكمة، وحينئذ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الوضعية أقوى من الدلالة الإطلاقية، فلا بدّ من رفع اليد عن ظهور كلٍّ منهما في الإطلاق بالظهور الوضعي للآخر، ونتيجته هي الوجوب التخييري، وهذا ضرب من الجمع العرفي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العرفي بين </w:t>
      </w:r>
    </w:p>
    <w:p>
      <w:pPr>
        <w:pStyle w:val="BookText"/>
        <w:rPr/>
      </w:pPr>
      <w:r>
        <w:rPr>
          <w:rFonts w:ascii="Amiri" w:hAnsi="Amiri" w:eastAsia="Amiri" w:cs="Amiri"/>
          <w:color w:val="111111"/>
          <w:sz w:val="28"/>
          <w:sz w:val="28"/>
          <w:szCs w:val="28"/>
          <w:rtl w:val="true"/>
          <w:lang w:bidi="ar-SA"/>
        </w:rPr>
        <w:t>الدليلين المنفصلين لا يكون إلّا بملاك القرينية، والقرينية فرع ظهور ما يراد جعله قرينة في المعنى الذي يكون به قرينة على المراد بالدليل الآخر، فيجب أن يكون ظاهراً في هذا المعنى حتى يُجعل هذا الدليل قرينة على التصرف في الدليل الآخر كما إذا ورد في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دليل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الترخيص وإن كان يُحتمل أن يكون المراد به الإباحة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تساوي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معارضاً لأصل النهي في الدليل الأول، إلّا أنّ ظاهره هو الإباحة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يتعيّن في القرينية على دليل النهي، وحمله على 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ظاهراً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قرينة على التصرّف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ما يراد جعله قرينة ظاهراً في خلاف المعنى الذي يكون به صالحاً للقرينية على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فيه أن يكون المراد به المعنى الصالح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مجال لحمله على ما ليس ظاهراً فيه ثُمَّ جعله قرينة لرفع اليد عن ظاهر الدليل الآخر، كما إذا ورد في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دليل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الثاني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بمقتضى الإطلاق ومقدمات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العذرة وإن كانت نجسة فيكون معارضاً للدليل الأول، ولا محلّ لحمله على جواز بيع العذرة في الجملة ليصلح قرينة على رفع اليد عن إطلاق ما ورد في الدليل الأول، وإنّما يصلح لذلك إذا حُمل على أنّ المراد جواز بيع العذرة في الجملة فحينئذ يكون قرينة، ولكن هذا ليس هو المعنى الذي هو ظاهر فيه، فإنّه ظاهر في عدم جواز بيع العذرة مطلقاً وإن كانت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مجال للجمع العرفي في المورد الثاني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أنّ مجرّد وجود دليلين لواجبين يعلم عدم لزوم الجمع بينهما لا يوجب استفادة التخيير بينهما بالنظر إلى المجموع، بل مقتضى القاعدة 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w:t>
      </w:r>
    </w:p>
    <w:p>
      <w:pPr>
        <w:pStyle w:val="BookText"/>
        <w:rPr/>
      </w:pPr>
      <w:r>
        <w:rPr>
          <w:rFonts w:ascii="Amiri" w:hAnsi="Amiri" w:eastAsia="Amiri" w:cs="Amiri"/>
          <w:color w:val="111111"/>
          <w:sz w:val="28"/>
          <w:sz w:val="28"/>
          <w:szCs w:val="28"/>
          <w:rtl w:val="true"/>
          <w:lang w:bidi="ar-SA"/>
        </w:rPr>
        <w:t>إجمالاً بوجوب أحدهما وجب الإتيان به عملاً بالعلم الإجمالي، ولكن يجب الإتيان بالآخر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سيأتي من إباء الأخبار الآمرة بالقصر عن 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الطائفتين الآمرتين بالقصر والتمام على التخيير بقرينة خاصة، وهي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 بما أشار إليه غير واحد</w:t>
      </w:r>
      <w:r>
        <w:rPr>
          <w:rStyle w:val="FootnoteAnchor"/>
          <w:rtl w:val="true"/>
        </w:rPr>
        <w:footnoteReference w:id="66"/>
      </w:r>
      <w:r>
        <w:rPr>
          <w:rFonts w:ascii="Amiri" w:hAnsi="Amiri" w:eastAsia="Amiri" w:cs="Amiri"/>
          <w:color w:val="111111"/>
          <w:sz w:val="28"/>
          <w:sz w:val="28"/>
          <w:szCs w:val="28"/>
          <w:rtl w:val="true"/>
          <w:lang w:bidi="ar-SA"/>
        </w:rPr>
        <w:t>من إباء الطائفة الآمرة بالقصر عن إرادة التخيير لشدّة مخالفتها للظاهر، ولاسيّما كونه المفضول من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روايات تحتّمُ القصر في هذه المواطن يكون وفق الحكم العام لتعيّن القصر في السفر، لا سيّما مع سؤال السائل فيها عن وجوب القصر أو الإتمام إمّا تصريحاً أو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 المتكلّف حمل الدليل على أنّ المنظور به الاجتزاء بالقصر في أداء التكليف، ومثل هذا المعنى يمكن أن يجري في روايات التمام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الدليل الذاكر لإحدى الخصلتين على ذكر ما يجتزئ به إنَّما يحسن فيما لو كان المذكور أفضل الخصلتين، أو كانت الخصلتان متساويتين في الفضل، وأمّا إذا كان المذكور الخصلة الأقل فضلاً فإنّ هذا الحمل بعيد لما فيه من تفويت الفضيلة على المخاطب من دون مبرر، وما نحن فيه من هذا القبيل؛ فإنّ مقتضى روايات الإتمام أنّ الإتمام أفضل من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غير واحد منهم المحقّق الأردبيلي</w:t>
      </w:r>
      <w:r>
        <w:rPr>
          <w:rStyle w:val="FootnoteAnchor"/>
          <w:rtl w:val="true"/>
        </w:rPr>
        <w:footnoteReference w:id="67"/>
      </w:r>
      <w:r>
        <w:rPr>
          <w:rFonts w:ascii="Amiri" w:hAnsi="Amiri" w:eastAsia="Amiri" w:cs="Amiri"/>
          <w:color w:val="111111"/>
          <w:sz w:val="28"/>
          <w:sz w:val="28"/>
          <w:szCs w:val="28"/>
          <w:rtl w:val="true"/>
          <w:lang w:bidi="ar-SA"/>
        </w:rPr>
        <w:t>وكذلك السيد الخوئي</w:t>
      </w:r>
      <w:r>
        <w:rPr>
          <w:rStyle w:val="FootnoteAnchor"/>
          <w:rtl w:val="true"/>
        </w:rPr>
        <w:footnoteReference w:id="68"/>
      </w:r>
      <w:r>
        <w:rPr>
          <w:rFonts w:ascii="Amiri" w:hAnsi="Amiri" w:eastAsia="Amiri" w:cs="Amiri"/>
          <w:color w:val="111111"/>
          <w:sz w:val="28"/>
          <w:sz w:val="28"/>
          <w:szCs w:val="28"/>
          <w:rtl w:val="true"/>
          <w:lang w:bidi="ar-SA"/>
        </w:rPr>
        <w:t>من الجمع بين روايات الطائفة الأولى الدالة على التخيير، المؤيدة بفتوى المشهور وروايات الطائفة الثانية الظاهرة في تعيّن التمام، بأنّ المراد هو التخيير مع أفضلية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تعيّن القصر فتحمل على التقية وشبهها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تقريره على أساس حمل الطائفتين الأخريين على التقية؛ لأنّ العامّة كانوا يقولون بالتخيير أو تعيّن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ويساعد على ذلك ما في بعض روايات الإتمام من الإشارة إلى أنّه من مخزون علم الله، كما في صحيحة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الدلالي العرفي بين أخبار التخيير وأخبار التمام متحقّق، ومعه لا تصل النوبة إلى الجمع الجهتي بحمل أخبار التخيير على التقية، وقد تقرّر في محله تقدّم الجمع الدلالي على الجمع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في جملة من أخبار التخيير الترغيب إلى التمام بما لا يناسب المذهب المشهور لدى العامة آنذاك، وهو أنّ القصر إمّا فرض واجب، وإمّا سُنّة راجحة كما هو رأي مالك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القول بتعيّن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الحاصل بين أخبار القصر وأخبار التخيير </w:t>
      </w:r>
    </w:p>
    <w:p>
      <w:pPr>
        <w:pStyle w:val="BookText"/>
        <w:rPr/>
      </w:pPr>
      <w:r>
        <w:rPr>
          <w:rFonts w:ascii="Amiri" w:hAnsi="Amiri" w:eastAsia="Amiri" w:cs="Amiri"/>
          <w:color w:val="111111"/>
          <w:sz w:val="28"/>
          <w:sz w:val="28"/>
          <w:szCs w:val="28"/>
          <w:rtl w:val="true"/>
          <w:lang w:bidi="ar-SA"/>
        </w:rPr>
        <w:t>وأخبار التمام مستقر وليس هناك جمع دلالي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أخبار القصر مع الشهرة عند القدماء، فتحمل أخبار التخيير وأخبار التمام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ذكر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التعارض بين الطوائف الثلاثة من الأخبار وانتفاء الجمع الدلالي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التقصير بين أصحابنا القدماء المعاصرين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 عن السيد بحر العلوم، وهو ما يظهر من بعض الأخبار، كما ورد في صحيحة علي ابن مهزيار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الرواية قد اختلفت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الإتمام والتقصير للصلاة في الحرمين،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تتمم الصلاة 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تقصر الصلاة ما لم ينوِ مقام عشرة أيام، ولم أزل على الإتمام فيهما إلى أنْ صدرنا في حجّنا في عامنا هذا، فإنّ فقهاء أصحابنا أشاروا عليّ بالتقصير إذا كنت لا أنوي مقام عشرة وقد ضقت بذلك حتى أعرف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0"/>
      </w:r>
      <w:r>
        <w:rPr>
          <w:rFonts w:ascii="IRNazanin" w:hAnsi="IRNazanin" w:eastAsia="IRNazanin"/>
          <w:color w:val="111111"/>
          <w:sz w:val="28"/>
          <w:sz w:val="28"/>
          <w:szCs w:val="28"/>
          <w:rtl w:val="true"/>
          <w:lang w:bidi="fa-IR"/>
        </w:rPr>
        <w:t>ويظهر منها أنّ الفقهاء كانوا لا يقبلون الإتمام ولذلك أرشدوه إلى التقصير، وكذلك يظهر من الصحيح المروي في كامل الزيارات عن سعد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أيوب بن نوح عن تقصير الصلاة في هذه المشاهد مكة والمدينة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والذي روي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أقصّر وكان صفوان يقصّر وابن أبي عمير وجميع أصحابنا يقصّرون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الثانية الاتفاق، ولكن ورد في خبر علي بن حديد الخلاف بين </w:t>
      </w:r>
    </w:p>
    <w:p>
      <w:pPr>
        <w:pStyle w:val="BookText"/>
        <w:rPr/>
      </w:pPr>
      <w:r>
        <w:rPr>
          <w:rFonts w:ascii="IRNazanin" w:hAnsi="IRNazanin" w:eastAsia="IRNazanin"/>
          <w:color w:val="111111"/>
          <w:sz w:val="28"/>
          <w:sz w:val="28"/>
          <w:szCs w:val="28"/>
          <w:rtl w:val="true"/>
          <w:lang w:bidi="fa-IR"/>
        </w:rPr>
        <w:t>أصحابنا المتقدّمين،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اختلفوا في الحرمين فبعضهم يقصّر وبعضهم يتم، وأنا ممّن يتم على رواية قد رواها أصحابنا في التمام وذكرت عبد الله بن جندب أنّه كان يتم</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ممّا يدل على أنّ المراد بصحيح أيوب بن نوح ليس الإيجاب الكلي بل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هذه الشهرة بمرتبة من الأهمية عند الشيعة حيث كانوا يطرحون لأجلها الأخبار المخالفة ويحملونها على التقية أو على محامل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اشتهار الفتوى بين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وبطانتهم المطلعين على مذاقهم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قطعياً عن مرادهم الجدّي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المقام موهِنة لأخبار التمام والتخيير، وإن كانت مستفيضة أو متواترة إجمالاً فيجب حملها على التقية أو على ما حملها عليه الصدوق من نيّة إقامة عشرة أيام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على هذا الاستدلال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يخدش في الشهرة المدعاة من وجهين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المذكور في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عمل الأصحاب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كونه من باب الأخذ بأخبار القصر وترجيحها على أخبار التخيير والتمام فمن الممكن أنْ يكون من باب الاحتياط؛ لأنّهم كانوا يرون أنّ من غير المحتمل أفضليته، وعليه فالأمر دائر بين التخيير وتعيّن القصر، ومقتضى القاعدة فيه تعيّن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معارضة الشهرة القديمة بالشهرة الحديثة بين فقهائنا المتأخرين بعد الشيخ الصدوق إلى زماننا هذا حيث إنّهم بين قائل بالتخيير، وقائل بتعيّن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السيد المرتضى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المقدّم من بين هاتين الشهرتين؟</w:t>
      </w:r>
    </w:p>
    <w:p>
      <w:pPr>
        <w:pStyle w:val="BookText"/>
        <w:rPr/>
      </w:pPr>
      <w:r>
        <w:rPr>
          <w:rFonts w:ascii="Amiri" w:hAnsi="Amiri" w:eastAsia="Amiri" w:cs="Amiri"/>
          <w:color w:val="111111"/>
          <w:sz w:val="28"/>
          <w:sz w:val="28"/>
          <w:szCs w:val="28"/>
          <w:rtl w:val="true"/>
          <w:lang w:bidi="ar-SA"/>
        </w:rPr>
        <w:t>وفي تقديم أيٍّ من الشهرتين إذا تعارضتا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الشهرة بين المتقدمين؛ لأنّها أقوى من جهة أقربيّة العهد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الشهرة بين المتأخرين؛ لأنّهم أدق نظراً وتأملاً وأكثر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وعدولهم عن شهرة المتقدمين يكشف عن الخلل في دليل الأولين، كما يظهر ذلك من الوحيد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ترجيح الأولى إذا كان المستند هو محض النقل، وترجيح الثانية إذا كان المستند العقل والتعمق في دليل النقل كما يظهر من السيد المجاهد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 لا حجة في الشهرة المتأخّرة من جهة وضوح مدركها، إلّا أنْ يزداد وثوق النفس بموافقة المشهور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بين المتقدمين فإن تبيّن مدركها فالعبرة به، وإلّا أخذنا بها إذا حصل الوثوق بالاعتماد على وجه إجمالي لا نعلمه، ولكن الظاهر عدمه في المقام؛ نظراً إلى أخبار الباب، كما سيتضح فيما يأتي في الجواب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أن تكون منبّهاً أو موجباً لسلب الوثوق عن الطائفة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صدوراً أو جهةً أو دلالةً، وما نحن فيه ليس كذلك؛ لأنّ أخبار التمام والتخيير سليمة من الجهات المذكورة جميعاً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الصدور فلأنّ هذه الأخبار متواترة في مجموعها، فلا يصحّ التشكيك </w:t>
      </w:r>
    </w:p>
    <w:p>
      <w:pPr>
        <w:pStyle w:val="BookText"/>
        <w:rPr/>
      </w:pPr>
      <w:r>
        <w:rPr>
          <w:rFonts w:ascii="Amiri" w:hAnsi="Amiri" w:eastAsia="Amiri" w:cs="Amiri"/>
          <w:color w:val="111111"/>
          <w:sz w:val="28"/>
          <w:sz w:val="28"/>
          <w:szCs w:val="28"/>
          <w:rtl w:val="true"/>
          <w:lang w:bidi="ar-SA"/>
        </w:rPr>
        <w:t>في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سلامتها من حيث الجهة فلأنّ حمل الأخبار الكثيرة على التقية غير ممكن، كما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للتقية لا تكثر روايته عنهم كما تكثر رواية المعمول به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إثباتها من حيث الدلالة فلأنّ حمل هذه الأخبار على الإقامة عشراً مع ظهور بعضها في تعيّن التمام، بعيد جداً، ولاسيّما مع 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ماراً، ولو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الظاهرة في تعيّن القصر ففيها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جهتي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بالنظر إلى ورود التقصير في الكتاب العزيز، وشهرته بين العامّة في أصل المسألة مع عدم خصوصية المواطن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إيقاع الخلاف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الشيعة في الأحكام الموسعة، كما أشار إلى ذلك بعض مراجع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يظهر من بعض الروايات أنّ أحد أسباب اختلاف الأخبار هو وجود الرقابة الشديدة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في تلك الفترات فأوجب إيقاع بعض الاختلافات الشكلية والصورية في الأحكام التي لم تكن بتلك الدرجة من الأهمية، كما في الموسعات مثل موردنا أو في المستحبات، مع الاتفاق في الأحكام المهمة فيما بينهم؛ لأنّ اتفاق كلمتهم على الحكم يؤدي إلى كشف انتسابهم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أشير إلى ذلك في جملة من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في الصحيح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بن عبد الرحمن، عن عبد الله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قولويه والحسين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 حدثني هارون ابن الحسن بن محبوب، عن محمد بن عبد الله بن زرارة وابنيه الحسن والحسين، 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اقرأ منّي على والدك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إنّما أعيبك دفاعاً منّي عنك، فإنّ الناس والعدو يسارعون إلى كل من قربناه وحمدنا مكانه لإدخال الأذى في مَن نحبّه ونقرّبه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بالصلاة الستة والأربعين، وعليك بالحجّ أن تهلّ بالإفراد، وتنوي الفسخ إذا قدمت مكّة فطفت وسعيت فسخت ما أهللت به، وقلبت الحج عمرة، أحللت إلى يوم التروية، ثم استأنف الإهلال بالحجّ مفرداً إلى منى، وتشهد المنافع بعرفات والمزدلفة، فكذلك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أمر أصحابه أن يفعلوا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يفسخوا ما أهلوا به ويقلبوا الحج عمرة، وإنّما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إحرامه لسوق الذي ساق معه، فإنّ السائق قارن، والقارن لا يحل حتى يبلغ الهدي محلّه، ومحلّه النحر بمنى، فإذا بلغ أحلّ، فهذا الذي أمرناك به حجّ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ذلك ولا يضيقن صدرك، والذي أتاك به أبو بصير من صلاة إحدى وخمسين، والإهلال بالتمتع بالعمرة إلى الحج، وما أمرنا به من أن يهلّ بالتمتع فلذلك عندنا معان وتصاريف كذلك ما يسعنا ويسعكم ولا يخالف شيء من ذلك الحقّ ولا يضادّه، والحمد لله ربّ العالمين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تأويل دلالي لها كما سعى إليه جمع من الأعلام، إلّا أنّ عامّة الوجوه المذكورة لا تخلو من تكلّف، ممّا يوجب تعيّن الاتّجاه الأوَّل وهو الجمع الجهتي </w:t>
      </w:r>
    </w:p>
    <w:p>
      <w:pPr>
        <w:pStyle w:val="BookText"/>
        <w:rPr/>
      </w:pPr>
      <w:r>
        <w:rPr>
          <w:rFonts w:ascii="Amiri" w:hAnsi="Amiri" w:eastAsia="Amiri" w:cs="Amiri"/>
          <w:color w:val="111111"/>
          <w:sz w:val="28"/>
          <w:sz w:val="28"/>
          <w:szCs w:val="28"/>
          <w:rtl w:val="true"/>
          <w:lang w:bidi="ar-SA"/>
        </w:rPr>
        <w:t>بطبيعة الحال، وهذا المعنى يتضح بملاحظة الأخبار الثمانية المتقدمة في الطائفة الثالثة، وما ذكر من التوجيه الدلالي لها لتنسجم مع ما هو المشهور من التخيير بمناقشة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حسنة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دلالتها 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مفهوم الشرط انتفاء وجوب التمام وتعيّن القصر في حال عدم نية البقاء عشرة أيام في مكة والمدينة نافياً الفرق بينهما وبين غيرهما من باقي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أُوّلت بوجهين لتناسب القول المشهور من التخيير</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الجواهر من حملها على إرادة الإتمام في منى وعرفات بناءً على عدم قدح ما دون المسافة في نية الإقامة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لا شاهد عليه بل يمكن القول بأنّ الظاهر منها كون محمد بن إبراهيم الحضيني عالماً ببقائه أقل من عشرة أيام في المشاعر؛ لأنّه يحضر قبل التروية بيومين أو ثلاثة ويرحل بعد أيام التشريق فتكون مدّة إقامته في مكّة ومنى وعرفات أقلّ من عشرة أيام، ومن ثَمَّ أعاد سؤاله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ثانية وبيّن أنّه غير قاصد للإقامة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من الحمل على أفضلية نيّة الإقامة والإتمام وإنْ علم أنّه لا يقيم،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المعتمد عندي، وهو أنّ من حصل بالحرمين ينبغي له أن يعزم على مقام عشرة أيام ويتمّ الصلاة فيهما وإن كان يعلم أنّه لا يقيم أو يكون في عزمه الخروج من الغد، ويكون هذا ممّا يختصّ به هذان الموضعان ويتميزان به من سائر البلاد؛ لأنّ سائر المواضع متى عزم الإنسان فيها على المقام عشرة أيام وجب عليه الإتمام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 الالتزام بثبوت الأفضلية مع نية الإقامة مع علمه بخروجه غير ظاهر، مع مخالفته لإجماع فقهاء الإمامية من الالتزام بالتمام من دون العزم على البقاء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في هذا الخبر هو صدقه على وجه التقية؛ لأنّ المفهوم الذي تدل عليه ممّا يتناسب مع مشهور العامة، 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بتقييد التمام بنية الإقامة لوجود من يتّقى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يشترطوا نية العشرة أيام في إتمام المسافر لصلاته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اعتماداً على ما رووه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الصلاة الذي يقيم عشراً، وهو قول نسب لمحمد بن علي وابنه والحسن بن صالح</w:t>
      </w:r>
      <w:r>
        <w:rPr>
          <w:rStyle w:val="FootnoteAnchor"/>
          <w:rtl w:val="true"/>
        </w:rPr>
        <w:footnoteReference w:id="81"/>
      </w:r>
      <w:r>
        <w:rPr>
          <w:rFonts w:ascii="IRNazanin" w:hAnsi="IRNazanin" w:eastAsia="IRNazanin"/>
          <w:color w:val="111111"/>
          <w:sz w:val="28"/>
          <w:sz w:val="28"/>
          <w:szCs w:val="28"/>
          <w:rtl w:val="true"/>
          <w:lang w:bidi="fa-IR"/>
        </w:rPr>
        <w:t xml:space="preserve">، وهذا كافٍ في دفع ما يحذر، أو يقال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يلقي الخلاف بين الشيعة وقاية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صحيحة ابن بزيع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بها على التقصير فيهما، كما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أن يعزم على مقام عشرة أيام في هذه المواطن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ما رواه محمد بن إسماعيل بن بزيع</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دلالة هذه الرواية على تعيّن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يحتمل بدواً من حمل الأمر بالقصر على جوازه فحسب من جهة كونه من قبيل الأمر بعد ما هو في مظنّة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ليس مظنة لحظر القصر فإنّ ابن بزيع سأل عن حكم الصلاة في مكّة حال السفر وردد فيه بين التمام والقصر، مع وضوح وجوب القصر على المسافر عند الطائفة، ويظهر من السائل التفاته إلى خصوصية المكان مرتكزاً في ذهنه احتمال التمام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وحملت هذه الصحيحة على محامل عدّة كي تنسجم مع قول المشهور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الجواهر من احتمال إرادة البلدين أو نواحيها بناءً على قصر الرخصة على المسجدين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لعدم القرينة على إرادة ماعدا المسجدين منهما، بل لا يبعد إرادة المسجدين بقرينة أنّ اقتران مكة والمدينة في كلام السائل يكشف عن أنّ المراد هو المسجدان؛ بالنظر إلى أنّهما مقصد الزائرين أصالة، لا المدينتان أو نواحيها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هذه الصحيحة أنّ السؤال كان عن حكم المسافر إلى حرم مكة والمدينة في الصلاة، ويظهر أن السائل كان في ذهنه عدم تعيّن القصر للمسافر، وكون هذين المكانين خارجين عن القاعدة؛ ولذلك استعلم عن الحكم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 الجواب على النظر إلى غير ما هو محلّ نظر السائل أمر غير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حملها على إرادة نفي وجوب التمام لا نفي مشروعيته إذا لم ينوِ الإقامة عشراً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بشهادة أنّ السائل ردّد في السؤال بين التقصير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سأل عن حكم التمام كما في بعض الأخبار</w:t>
      </w:r>
      <w:r>
        <w:rPr>
          <w:rStyle w:val="FootnoteAnchor"/>
          <w:rtl w:val="true"/>
        </w:rPr>
        <w:footnoteReference w:id="85"/>
      </w:r>
      <w:r>
        <w:rPr>
          <w:rFonts w:ascii="IRNazanin" w:hAnsi="IRNazanin" w:eastAsia="IRNazanin"/>
          <w:color w:val="111111"/>
          <w:sz w:val="28"/>
          <w:sz w:val="28"/>
          <w:szCs w:val="28"/>
          <w:rtl w:val="true"/>
          <w:lang w:bidi="fa-IR"/>
        </w:rPr>
        <w:t>لأمكن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السؤال عن تعيّنه ووجوبه،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نفي الوجوب، فالظاهر أنّ السائل كان يعلم بوجوب القصر في السفر، ولكنّه استعلم عن حكم الصلاة في مكة والمدينة، فكان الجواب تعيّن القصر فيهما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التقية</w:t>
      </w:r>
      <w:r>
        <w:rPr>
          <w:rStyle w:val="FootnoteAnchor"/>
          <w:rtl w:val="true"/>
        </w:rPr>
        <w:footnoteReference w:id="86"/>
      </w:r>
      <w:r>
        <w:rPr>
          <w:rFonts w:ascii="Amiri" w:hAnsi="Amiri" w:eastAsia="Amiri" w:cs="Amiri"/>
          <w:color w:val="111111"/>
          <w:sz w:val="28"/>
          <w:sz w:val="28"/>
          <w:szCs w:val="28"/>
          <w:rtl w:val="true"/>
          <w:lang w:bidi="ar-SA"/>
        </w:rPr>
        <w:t xml:space="preserve">، ولعلّ هذا يمكن أن </w:t>
      </w:r>
    </w:p>
    <w:p>
      <w:pPr>
        <w:pStyle w:val="BookText"/>
        <w:rPr/>
      </w:pPr>
      <w:r>
        <w:rPr>
          <w:rFonts w:ascii="Amiri" w:hAnsi="Amiri" w:eastAsia="Amiri" w:cs="Amiri"/>
          <w:color w:val="111111"/>
          <w:sz w:val="28"/>
          <w:sz w:val="28"/>
          <w:szCs w:val="28"/>
          <w:rtl w:val="true"/>
          <w:lang w:bidi="ar-SA"/>
        </w:rPr>
        <w:t>يستظهر إذا عرف أنّ مشهورهم العمل على التقصير، ومشهورنا خلافه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حمل الروايات الدالة على تعيّن القصر إلّا إذا أقام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الصحيحة والخبر الآتي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غير صحيح بقرينة القيد المذكور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تعزم على مقام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الحكم وهو أنّ وجوب التمام مقيّد بالعزم على الإقامة عشرة أيام مختص بنا دون غيرنا من المسلمين؛ فإنّ بعضهم أوجب الإتمام دون أربعة أيام، أو الإحدى والعشرين صلاة، ولو كان المراد منها التقية لما احتيج إلى القيد، بل إنّ هذا يوقع المكلّف بما يخالف التقية؛ لأنّه لو نوى المقام تسعة أيام يجب عليه البقاء على القصر عندنا مع أنّ المخالفين يتمون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في التعليق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تحمل على النحو الثاني من أنحاء الجمع الجهتي من الحمل على إيقاع الخلاف بين الشيعة في الأحكام الموسعة كما في مثل المقام الذي يحكم فيه بالتوسعة على المكلف والتخيير بين القصر والتمام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خبر علي بن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فالمناقشة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ينقل الخلاف في هذه المسألة بين الشيعة، وحاول أن ينصر أحد هذين القولين بسلوك عبد 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وصفه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المخبتين</w:t>
      </w:r>
      <w:r>
        <w:rPr>
          <w:rStyle w:val="FootnoteAnchor"/>
          <w:rtl w:val="true"/>
        </w:rPr>
        <w:footnoteReference w:id="88"/>
      </w:r>
      <w:r>
        <w:rPr>
          <w:rFonts w:ascii="Amiri" w:hAnsi="Amiri" w:eastAsia="Amiri" w:cs="Amiri"/>
          <w:color w:val="111111"/>
          <w:sz w:val="28"/>
          <w:sz w:val="28"/>
          <w:szCs w:val="28"/>
          <w:rtl w:val="true"/>
          <w:lang w:bidi="ar-SA"/>
        </w:rPr>
        <w:t>وهو لا يقاس بغيره</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الخلاف هو الذي أوجب التشكيك لابن حديد في الحكم وإلّا فإنّه كان يبني على التمام، فأراد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له الحكم، فأجابه الإمام بتعيّن القصر على المسافر إلى الحرمين ما لم ينوِ المقام عشرة أيام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ترحّم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الله بن جندب ولم ينكر فعله لو كان الحكم هو التقصير واقعاً؟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ينكر فعله لأنّه حمله على مَن عمل بوظيفته حيث اعتقد وجوب التمام عليه وإن كان هذا الاعتقاد غير صائب؛ لكونه معتمّداً على العمل بأخبار التمام الصادرة على وجه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صحّة التمام في مواضع القصر، كما ورد في روايات أخرى فتكون صلواته محكومة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يجاب عن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يحتمل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نفي الإلزام، ويشهد 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أنّه كان قد سأل عن تعيّن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الإنصاف أنّ قول ابن حديد هذا لا يفيد أكثر من الرغبة في موافقة فعله لأمر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سؤاله عن تعيّن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الإتمام إلّا أن يقيم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حيث إنّ الإمام بيّن في جوابه أنّ وجوب التمام وتعيّنه إنّما يكون بعد الإقامة، وهذا كاشف عن أنّ السؤال كان عن تعيّن التمام، ولكنّ المذكور فيه أنّ التمام لا يكون إلّا بعد الإقامة لا وجوبه وتعيّنه، فلاحظ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حمزة بن عبد الله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توجّه دلالتها للانسجام مع قول المشهور بالتخيير؛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الجواب إنَّما هو الأمر بالتقصير بعد السفر والخروج، فهو كناية عن الأمر بالسفر بمعنى سافِر وقصِّر؛ إذ الظاهر أنّ مراد السائل إنَّما هو الاستفهام عمّن نوى الإقامة، هل يجوز له إبطالها والخروج والقصر فيه أم لا بُدَّ </w:t>
      </w:r>
    </w:p>
    <w:p>
      <w:pPr>
        <w:pStyle w:val="BookText"/>
        <w:rPr/>
      </w:pPr>
      <w:r>
        <w:rPr>
          <w:rFonts w:ascii="Amiri" w:hAnsi="Amiri" w:eastAsia="Amiri" w:cs="Amiri"/>
          <w:color w:val="111111"/>
          <w:sz w:val="28"/>
          <w:sz w:val="28"/>
          <w:szCs w:val="28"/>
          <w:rtl w:val="true"/>
          <w:lang w:bidi="ar-SA"/>
        </w:rPr>
        <w:t>من الإتمام ولو في الطريق إلى أن يتمّ أيام الإقامة كما يتوهمه كثير ممّن لم يقف على حكم المسألة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مخالف للظاهر، ولا شاهد على إرادته من اللفظ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يستظهر أنّ الحكم في هذا الخبر محمول على التقية لمخالفته لما أجمع عليه أصحابنا من تعيّن التمام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قلت فلماذا أتمّ في صلاته الأولى؟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ناوي الإقامة يتمّ ولو كان لأربعة أيام أو عشرين صلاة أو كليهما عندهم، وهو المنسوب إلى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نوى الإقامة المجوزة عندهم للتمام وعندما عدل عن نيته لما جاءه من خبر وأراد السفر لا يستطيع أن يتمّ في ما بقي بعد عدم إمكان بقائه للمدّة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هذه الرواية وردت في سياق النحو الثاني من موارد الحمل الجهتي، وهو إلقاء الخلاف بين الشيعة وقد عُبّر عنها بالتقية على ما في كلمات صاحب الحدائق من أنّ التقية قد تتحقق بإلقاء الخلاف بين الشيعة وإن لم يكن القول متبنىً من بعض المخالفين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من ردّ علمها إلى أهلها، وقد أعرض الأصحاب عنها لمخالفتها لما قام الإجماع عليه من أنّ وظيفة مَن عدل عن نية الإقامة بعد إتيانه بفريضةٍ تماماً هي البقاء على التمام بالإضافة إلى معارضتها لصحيحة أبي ولّاد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الحنّاط المتقدّمة وتقريب دلالتها على تعيّن القصر</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 السؤال والجواب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سؤال السائل حيث سأل عن وظيفته حال العدول عن نية الإقامة ممّا يقتضي فراغه عن أنّه لو لم ينوِ الإقامة ابتداءً كانت وظيفته شرعاً القصر، لكن حيث إنّه نوى الإقامة أولاً، ثم عدل عنها شك في أنّ الواجب عليه القصر أو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يدل على إقرار السائل على ذلك حين تضمّن إيجاب القصر عليه إذا لم يكن أتى بفريضة واحدة وعدل عن نية الإقامة، إلّا أن يبقى مدة شهر مردداً فيتم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بالقصر في الشق الثاني ظاهر في تعيّن القصر، كما أنّ الأمر بالتمام في الشق الأول ظاهر في تعيّن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العلّامة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من حمل الأمر بالقصرفي الشق الثاني على الجواز، والأمر بالتمام في الشق الأول على الاستحباب، بمعنى أنّه إذا لم يكن أتى بالفريضة في حال نية الإقامة استحب له أنْ ينوي عشراً ويتمّ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سأل عن وظيفته من القصر والتمام، فأمره بالقصر ظاهرٌ بوضوح في تعيّن القصر كما ذكرنا أولاً، وليس الأمر في مقام توهم الحظر بشيء معين حتى يحمل على مجرد الجواز، وتجريد دلالة الأمر على الرجحان والطلب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صحيح أبي ولّاد فلتوقف الاستدلال به على كون التخيير بين القصر والتمام عاماً لجميع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اختصّ بالمسجد 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كون السؤال عن حكم الإقامة في مطلق البلد، ولأجل ذلك استفيد منه الحكم الكلي، وإن كان للمدينة خصوصية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تخصيص المورد لا مانع منه في مقام الجمع بين الأدلة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 الأول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اختصاص التخيير بالمسجد، ولكن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عام لجميع المدينتين ولا يختصّ بالمسجدين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يبعد القول بأنّ القدر المتيقّن من سؤال السائل عن حكم الصلاة في المدينتين هو الحكم في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الثاني فظاهره أنّ السائل وإن سأل عن حكم المدينة، ولكنّ المراد الأعمّ منها وهو مطلق البلد، وأمّا حكم المدينة التي كانت مورداً للسؤال فلا مانع من استثنائها من هذا الحكم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استثناء المورد من حكم العام في بعض الروايات وقعت محلاً للخلاف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اختار فيها كون العام فيها كالخاص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اختار بقاءه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الأول منهما من الأعلام سيد المدارك والمحقق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أول من اختار الثاني هو الوحيد، وذكر ذلك في حاشيته</w:t>
      </w:r>
      <w:r>
        <w:rPr>
          <w:rStyle w:val="FootnoteAnchor"/>
          <w:rtl w:val="true"/>
        </w:rPr>
        <w:footnoteReference w:id="95"/>
      </w:r>
      <w:r>
        <w:rPr>
          <w:rFonts w:ascii="Amiri" w:hAnsi="Amiri" w:eastAsia="Amiri" w:cs="Amiri"/>
          <w:color w:val="111111"/>
          <w:sz w:val="28"/>
          <w:sz w:val="28"/>
          <w:szCs w:val="28"/>
          <w:rtl w:val="true"/>
          <w:lang w:bidi="ar-SA"/>
        </w:rPr>
        <w:t>وتبعه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الأوَّل الذي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من التفصيل بين كون </w:t>
      </w:r>
    </w:p>
    <w:p>
      <w:p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معقوداً على السؤال وناظراً إليه فيكون نصّاً في الخاص، وبين صورة كون المجيب إنَّما تعرض لحكم كلي، وما ذكر في السؤال إنَّما كان من باب المثال، فيبقى على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والمقام يظهر منه 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ناظراً إلى السؤال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دخلت المدينة، حين دخلتها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نصّاً في المورد، ومنه يظهر دلالة الصحيحة على تعيّن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الشيخ أن يحملها على الجواز ولكنّه بعيد؛ لظهور الأمر في تعيّن التمام، وصرفه عن الرجحان في غاية البعد عن ظهور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الإحلال والإحرام في التقصير والتمام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تحمل على ما ذكر من إيقاع الخلاف بين المؤمنين لتجنب المسيئين والمتربصين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الحمل على التقية بعيدة؛ لعدم قائل من العامة بالتفصيل المذكور بين الإحلال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السابعة والثامنة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معتبرتا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رجوعهما إلى 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حملهما على التقية؛ لما يظهر منهما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أمرهم بالتمام لخمس خوفاً عليهم من مخالفة الناس، وكذلك أمر السائل بالتقصير لما في التقصير من الموافقة للكتاب ولبعض علمائهم لهذا الحكم، فكلّ من عنوان التمام والقصر راجع للتقية، ولكن مع اختلاف الجهة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ذكرنا أنّ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الدلالي لأخبار تعيّن القصر بما لا ينافي </w:t>
      </w:r>
    </w:p>
    <w:p>
      <w:pPr>
        <w:pStyle w:val="BookText"/>
        <w:rPr/>
      </w:pPr>
      <w:r>
        <w:rPr>
          <w:rFonts w:ascii="Amiri" w:hAnsi="Amiri" w:eastAsia="Amiri" w:cs="Amiri"/>
          <w:color w:val="111111"/>
          <w:sz w:val="28"/>
          <w:sz w:val="28"/>
          <w:szCs w:val="28"/>
          <w:rtl w:val="true"/>
          <w:lang w:bidi="ar-SA"/>
        </w:rPr>
        <w:t xml:space="preserve">جواز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وجيهاً، فالمتعيّن في معالجة هذه الأخبار هو الاتّجاه الأوَّل وهو الحمل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استعراض ما تقدّم من المواقف يظهر أنّ الصحيح هو التخيير بين الإتمام والقصر وأفضلية التمام، ومتانة الوجه الثاني في معالجة الأخبار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عن المقام الأوَّل، ويليه الكلام في المقام الثاني في الحلقة القادمة إن شاء الله تعالى</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131_75807"/>
      <w:bookmarkStart w:id="60" w:name="pg9131_75807"/>
      <w:bookmarkEnd w:id="60"/>
    </w:p>
    <w:p>
      <w:pPr>
        <w:pStyle w:val="Heading2"/>
        <w:numPr>
          <w:ilvl w:val="1"/>
          <w:numId w:val="1"/>
        </w:numPr>
        <w:rPr/>
      </w:pPr>
      <w:bookmarkStart w:id="61" w:name="pg9131_75807"/>
      <w:bookmarkStart w:id="62" w:name="__RefHeading___Toc2991652_2870459653"/>
      <w:bookmarkStart w:id="63" w:name="_Toc22"/>
      <w:bookmarkEnd w:id="61"/>
      <w:bookmarkEnd w:id="62"/>
      <w:r>
        <w:rPr>
          <w:rtl w:val="true"/>
        </w:rPr>
        <w:t xml:space="preserve">شرطيّة الاجتهاد في القضاء بين النّفي والإثبات </w:t>
      </w:r>
      <w:r>
        <w:rPr>
          <w:rtl w:val="true"/>
        </w:rPr>
        <w:t xml:space="preserve">- </w:t>
      </w:r>
      <w:r>
        <w:rPr>
          <w:rtl w:val="true"/>
        </w:rPr>
        <w:t xml:space="preserve">الشَّيخ مشتاق الساعدي </w:t>
      </w:r>
      <w:r>
        <w:rPr>
          <w:rtl w:val="true"/>
        </w:rPr>
        <w:t>(</w:t>
      </w:r>
      <w:r>
        <w:rPr>
          <w:rtl w:val="true"/>
        </w:rPr>
        <w:t>دام عزه</w:t>
      </w:r>
      <w:r>
        <w:rPr>
          <w:rtl w:val="true"/>
        </w:rPr>
        <w:t>)</w:t>
      </w:r>
      <w:bookmarkEnd w:id="63"/>
    </w:p>
    <w:p>
      <w:pPr>
        <w:pStyle w:val="Heading3"/>
        <w:numPr>
          <w:ilvl w:val="2"/>
          <w:numId w:val="1"/>
        </w:numPr>
        <w:rPr/>
      </w:pPr>
      <w:bookmarkStart w:id="64" w:name="__RefHeading___Toc2991654_2870459653"/>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من المسائل التي وقع اجماع الفقهاء عليها مسألة اشتراط الاجتهاد في القاضي، ولكنها وقعت محلاً للخلاف عند بعض متأخّري المتأخّرين، ونتج عن ذلك عدّة أقوال، وقد اختار بعضهم عدم شرطيته مطلقاً أو على تفصيل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أهمّية هذه المسألة في الواقع العمليّ والعلميّ كان من المناسب بحثها، وسبر الأقوال فيها، وبيان الراجح منها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131_75809"/>
      <w:bookmarkStart w:id="67" w:name="pg9131_75809"/>
      <w:bookmarkEnd w:id="67"/>
    </w:p>
    <w:p>
      <w:pPr>
        <w:pStyle w:val="Heading3"/>
        <w:numPr>
          <w:ilvl w:val="2"/>
          <w:numId w:val="1"/>
        </w:numPr>
        <w:rPr/>
      </w:pPr>
      <w:bookmarkStart w:id="68" w:name="pg9131_75809"/>
      <w:bookmarkStart w:id="69" w:name="__RefHeading___Toc2991656_2870459653"/>
      <w:bookmarkStart w:id="70" w:name="_Toc24"/>
      <w:bookmarkEnd w:id="68"/>
      <w:bookmarkEnd w:id="69"/>
      <w:r>
        <w:rPr>
          <w:rtl w:val="true"/>
        </w:rPr>
        <w:t>مقدّمة البحث</w:t>
      </w:r>
      <w:bookmarkEnd w:id="70"/>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1" w:name="__RefHeading___Toc2991658_2870459653"/>
      <w:bookmarkStart w:id="72" w:name="_Toc25"/>
      <w:bookmarkEnd w:id="71"/>
      <w:r>
        <w:rPr>
          <w:rtl w:val="true"/>
        </w:rPr>
        <w:t>أهمّية القضاء الشرعي</w:t>
      </w:r>
      <w:bookmarkEnd w:id="72"/>
    </w:p>
    <w:p>
      <w:pPr>
        <w:pStyle w:val="Heading4"/>
        <w:numPr>
          <w:ilvl w:val="3"/>
          <w:numId w:val="1"/>
        </w:numPr>
        <w:rPr/>
      </w:pPr>
      <w:bookmarkStart w:id="73" w:name="__RefHeading___Toc2991660_2870459653"/>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لا يخفى ما للتشريعات الإلهية من أهمية واضحة في تنظيم الحياة الفردية والجماعية وكفالة السعادة الحقيقية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النظام الإلهي قد تكفّل إيجاد المواقف الشرعية في كلّ نواحي الحياة، فما من واقعة إلّا ولها حكم كما دلّ الدليل المتصيَّد من الروايات الشريفة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هذه الأحكام التي لها مدخلية كبيرة في تنظيم الحياة العامّة، وحفظ المجتمع من الانحراف، وإيجاد الحلول للمشاكل، وإنصاف المظلوم ورد الظالم، هو النظام القضائي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سبل إقامة العدل والقسط بين الناس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سمات المجتمع الصالح أن تكتنفه قوانين يُنتصف فيها للمظلوم من الظالم ويؤخذ حقه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للنبوي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يقدّس أُمَّة ليس فيهم من يأخذ للضعيف حقّه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75" w:name="pg9131_75810"/>
    </w:p>
    <w:p>
      <w:pPr>
        <w:pStyle w:val="BookText"/>
        <w:rPr/>
      </w:pPr>
      <w:bookmarkEnd w:id="75"/>
      <w:r>
        <w:rPr>
          <w:rFonts w:ascii="Amiri" w:hAnsi="Amiri" w:eastAsia="Amiri" w:cs="Amiri"/>
          <w:color w:val="111111"/>
          <w:sz w:val="28"/>
          <w:sz w:val="28"/>
          <w:szCs w:val="28"/>
          <w:rtl w:val="true"/>
          <w:lang w:bidi="ar-SA"/>
        </w:rPr>
        <w:t>وهذا الأمر يدعونا جميعاً إلى إحياء هذا الواجب في كلّ مستوياته سواء على المستوى التنظيري والعلمي من خلال إثراء هذا الباب الفقهيّ بالبحوث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المستوى العملي من خلال إعداد أشخاص مؤهّلين لممارسة القضاء الشرعي وإنشاء معاهد ومؤسّسات قضائية ومحاكم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أهمّ عوائق التصدّي للقضاء اليوم هو شرطیة الاجتهاد في القاضي، الأمر الذي منع الكثير من الفضلاء والعلماء غير المجتهدين من التصدي لهذا التكليف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من خلال البحث نحاول أنْ نعالج هذه الإشكالية على أحد مستويين يكفينا إثبات أحدهما للخروج من إشكالية امتناع التصدّي لهذا التكليف الإلهي البالغ الأهميّة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991662_2870459653"/>
      <w:bookmarkStart w:id="77" w:name="_Toc27"/>
      <w:bookmarkEnd w:id="76"/>
      <w:r>
        <w:rPr>
          <w:rtl w:val="true"/>
        </w:rPr>
        <w:t>المستوى الأوَّل</w:t>
      </w:r>
      <w:bookmarkEnd w:id="77"/>
    </w:p>
    <w:p>
      <w:pPr>
        <w:pStyle w:val="BookText"/>
        <w:rPr/>
      </w:pPr>
      <w:r>
        <w:rPr>
          <w:rFonts w:ascii="Amiri" w:hAnsi="Amiri" w:eastAsia="Amiri" w:cs="Amiri"/>
          <w:color w:val="111111"/>
          <w:sz w:val="28"/>
          <w:sz w:val="28"/>
          <w:szCs w:val="28"/>
          <w:rtl w:val="true"/>
          <w:lang w:bidi="ar-SA"/>
        </w:rPr>
        <w:t>تبني أحد الأقوال التي لا تشترط الاجتهاد المطلق أو المتجزئ في القاضي، كما هو مختار جملة من الأعلام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991664_2870459653"/>
      <w:bookmarkStart w:id="79" w:name="_Toc28"/>
      <w:bookmarkEnd w:id="78"/>
      <w:r>
        <w:rPr>
          <w:rtl w:val="true"/>
        </w:rPr>
        <w:t>المستوى الثاني</w:t>
      </w:r>
      <w:bookmarkEnd w:id="79"/>
    </w:p>
    <w:p>
      <w:pPr>
        <w:pStyle w:val="BookText"/>
        <w:rPr/>
      </w:pPr>
      <w:r>
        <w:rPr>
          <w:rFonts w:ascii="Amiri" w:hAnsi="Amiri" w:eastAsia="Amiri" w:cs="Amiri"/>
          <w:color w:val="111111"/>
          <w:sz w:val="28"/>
          <w:sz w:val="28"/>
          <w:szCs w:val="28"/>
          <w:rtl w:val="true"/>
          <w:lang w:bidi="ar-SA"/>
        </w:rPr>
        <w:t xml:space="preserve">البناء على شرطية الاجتهاد المطلق أو المتجزىء 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الأعلام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فتح التصدّي للقضاء من خلال إيجاد تخريجات فقهية تسوّغ لغير المجتهد التصدّي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التوكيل بالقضاء أو نصب الحاكم الشرعي أو بقاعدة دفع الأفسد بالفاسد أو بقاعدة الميسور أو بولاية عدول المؤمنين أو غيرها من طرق التفصّي من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ينفتح باب القضاء الشرعي عمليّاً ويكثر القضاة الشّرعيّون في بقاع المعمورة لينشروا العدل في البلاد والعباد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البحث نسلط الضوء على المستوى الأوَّل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ونرجئ المستوى الثاني إلى دراسة مستقلّة لعلّنا نوفّق لها إنْ شاء الباري تعالى</w:t>
      </w:r>
      <w:r>
        <w:rPr>
          <w:rFonts w:eastAsia="Amiri" w:cs="Amiri" w:ascii="Amiri" w:hAnsi="Amiri"/>
          <w:color w:val="111111"/>
          <w:sz w:val="28"/>
          <w:szCs w:val="28"/>
          <w:rtl w:val="true"/>
          <w:lang w:bidi="ar-SA"/>
        </w:rPr>
        <w:t xml:space="preserve">. </w:t>
      </w:r>
      <w:bookmarkStart w:id="80" w:name="pg9131_75811"/>
    </w:p>
    <w:p>
      <w:pPr>
        <w:pStyle w:val="BookText"/>
        <w:rPr/>
      </w:pPr>
      <w:bookmarkEnd w:id="80"/>
      <w:r>
        <w:rPr>
          <w:rFonts w:ascii="IRNazanin" w:hAnsi="IRNazanin" w:eastAsia="IRNazanin"/>
          <w:color w:val="111111"/>
          <w:sz w:val="28"/>
          <w:sz w:val="28"/>
          <w:szCs w:val="28"/>
          <w:rtl w:val="true"/>
          <w:lang w:bidi="fa-IR"/>
        </w:rPr>
        <w:t>عرض البحث</w:t>
      </w:r>
      <w:r>
        <w:rPr>
          <w:rFonts w:eastAsia="IRNazanin" w:cs="IRNazanin"/>
          <w:color w:val="111111"/>
          <w:sz w:val="28"/>
          <w:szCs w:val="28"/>
          <w:rtl w:val="true"/>
          <w:lang w:bidi="fa-IR"/>
        </w:rPr>
        <w:t>:</w:t>
      </w:r>
    </w:p>
    <w:p>
      <w:pPr>
        <w:pStyle w:val="Heading3"/>
        <w:numPr>
          <w:ilvl w:val="2"/>
          <w:numId w:val="1"/>
        </w:numPr>
        <w:rPr/>
      </w:pPr>
      <w:bookmarkStart w:id="81" w:name="__RefHeading___Toc2991666_2870459653"/>
      <w:bookmarkStart w:id="82" w:name="_Toc29"/>
      <w:bookmarkEnd w:id="81"/>
      <w:r>
        <w:rPr>
          <w:rtl w:val="true"/>
        </w:rPr>
        <w:t>الأقوال في المسألة</w:t>
      </w:r>
      <w:bookmarkEnd w:id="82"/>
    </w:p>
    <w:p>
      <w:pPr>
        <w:pStyle w:val="Heading4"/>
        <w:numPr>
          <w:ilvl w:val="3"/>
          <w:numId w:val="1"/>
        </w:numPr>
        <w:rPr/>
      </w:pPr>
      <w:bookmarkStart w:id="83" w:name="__RefHeading___Toc2991668_2870459653"/>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وقع الكلام والخلاف في شرطية الاجتهاد في القاضي الشرعي، بعد الفراغ من اشتراط أصل العلم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اشتراط العلم الخاص وهو الاجتهاد، وقد نتج عن ذلك أقوال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تفصيلها وبيان المختار منها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991670_2870459653"/>
      <w:bookmarkStart w:id="86" w:name="_Toc31"/>
      <w:bookmarkEnd w:id="85"/>
      <w:r>
        <w:rPr>
          <w:rtl w:val="true"/>
        </w:rPr>
        <w:t>القول الأوَّل</w:t>
      </w:r>
      <w:r>
        <w:rPr>
          <w:rtl w:val="true"/>
        </w:rPr>
        <w:t xml:space="preserve">: </w:t>
      </w:r>
      <w:r>
        <w:rPr>
          <w:rtl w:val="true"/>
        </w:rPr>
        <w:t>اشتراط الأعلمية</w:t>
      </w:r>
      <w:bookmarkEnd w:id="86"/>
    </w:p>
    <w:p>
      <w:pPr>
        <w:pStyle w:val="Heading5"/>
        <w:numPr>
          <w:ilvl w:val="4"/>
          <w:numId w:val="1"/>
        </w:numPr>
        <w:rPr/>
      </w:pPr>
      <w:bookmarkStart w:id="87" w:name="__RefHeading___Toc2991672_2870459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ذهب إلى اشتراط الأعلمية صريحاً في القاضي المنصوب بعضُ الفقهاء، منهم أُستاذنا سماحة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بذلك في رسالته العملية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القاضي المنصوب شرعاً، فيعتبر فيه الاجتهاد بل الأعلمية على الأظهر، إلّا المنصوب من قبل الإمام عليه السَّلام أو نائبه كما مرّ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الاستدلال له لابدّ من تحديد محلّ النزاع، وما المراد من الأعلم؟ فهل المراد به الأعلم مطلقاً أو في خصوص بلد القضاء؟</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مراده اعتبار الأعلمية في البلد أو اعتبارها مطلقاً في كل بقاع الأرض فينحصر القاضي المنصوب بالأعلم في الكرة الأرضية کما هو الحال فی تقلید الأعلم؟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عبارته الثاني أي الأعلم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جداً لاستلزامه انحصار القاضي المنصوب 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روح تشريع القضاء مع سعة البلاد وكثرة العباد ونزاعاتهم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استبعد هذا القول جملة من الأعلام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ممّن اشترطها عدم إرادة الأعلمية مطلقاً، وإنّما المراد أعلم من في البلد كما هو واضح في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مباني تكملة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هل تعتبر الأعلميّة في القاضي المنصوب؟ لا ريب ولا إشكال في عدم اعتبار الأعلميّة المطلقة، فإنّ الأعلم في كلّ عصر منحصر بشخص واحد، ولا يمكن تصدّيه للقضاء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اعتبار الأعلميّة في البلد، فقيل باعتبارها، وهو غير بعيد، وذلك لما عرفت من أنّه لا دليل في المسألة إلّا الأصل، ومقتضاه عدم نفوذ حكم من كان الأعلم منه موجوداً في البلد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الشبهات الموضوعية، كما إذا كان الترافع في أداء الدين وعدمه أو في زوجية امرأة وعدمها أو نحوه، فاعتبار الأعلمية المطلقة في باب القضاء مقطوع العدم لاستحالة الرجوع في المرافعات الواقعة في أرجاء العالم ونقاطه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 وتباعدها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شخص واحد وهو الأعلم، كما أنّ التصدّي للقضاء في تلك المرافعات الكثيرة أمر خارج عن طوق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الكلام والنزاع إنّما هو اعتبار الأعلمية الإضافية كاعتبار أنْ يكون القاضي أعلم مَنْ في البلد وما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الشبهات الحكمية، كما إذا كان منشأ النزاع هو الاختلاف في الحكم الشرعي كالخلاف في أنّ الحبوة للولد الأكبر أو أنّها مشتركة بين الورّاث بأجمعهم أو اختلفا في ملكية ما يشترى بالمعاطاة نظراً إلى أنّها مفيدة للملكية أو للإباحة أو أنّها مفيدة للملك اللازم أو الجائز فيما إذا رجع عن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أي مانع وقتئذ من الرجوع إلى غير الأعلم، لإطلاق صحيحة أبي خديجة المتقدّمة لصدق أنّه ممّن يعلم شيئاً من </w:t>
      </w:r>
      <w:bookmarkStart w:id="89" w:name="pg9131_75813"/>
    </w:p>
    <w:p>
      <w:pPr>
        <w:pStyle w:val="BookText"/>
        <w:rPr/>
      </w:pPr>
      <w:bookmarkEnd w:id="89"/>
      <w:r>
        <w:rPr>
          <w:rFonts w:ascii="IRNazanin" w:hAnsi="IRNazanin" w:eastAsia="IRNazanin"/>
          <w:color w:val="111111"/>
          <w:sz w:val="28"/>
          <w:sz w:val="28"/>
          <w:szCs w:val="28"/>
          <w:rtl w:val="true"/>
          <w:lang w:bidi="fa-IR"/>
        </w:rPr>
        <w:t xml:space="preserve">قضاياهم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أحدهما مجتهداً ورأى أنّ الحبوة للولد الأكبر، والآخر قد قلّد مجتهداً يرى أنّها مشتركة، أو كانا مقلّدين وقد قلّد أحدهما من يفتي بالاختصاص والآخر قلّد من يفتي باشتراكها، ففي جميع هذه الموارد لا تنحل الخصومة إلّا بالرجوع إلى حاكم آخر ومقتضى إطلاق الصحيحة عدم اشتراط الأعلمية فيه كما مّر</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أدلّة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991674_2870459653"/>
      <w:bookmarkStart w:id="91" w:name="_Toc33"/>
      <w:bookmarkEnd w:id="90"/>
      <w:r>
        <w:rPr>
          <w:rtl w:val="true"/>
        </w:rPr>
        <w:t>الدليل الأوّل</w:t>
      </w:r>
      <w:bookmarkEnd w:id="91"/>
    </w:p>
    <w:p>
      <w:pPr>
        <w:pStyle w:val="BookText"/>
        <w:rPr/>
      </w:pPr>
      <w:r>
        <w:rPr>
          <w:rFonts w:ascii="IRNazanin" w:hAnsi="IRNazanin" w:eastAsia="IRNazanin"/>
          <w:color w:val="111111"/>
          <w:sz w:val="28"/>
          <w:sz w:val="28"/>
          <w:szCs w:val="28"/>
          <w:rtl w:val="true"/>
          <w:lang w:bidi="fa-IR"/>
        </w:rPr>
        <w:t xml:space="preserve">ما ورد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تدل على إرادة أعلم القضاة للحكم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سند 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القول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لسند عهد الأشتر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بالعهد ابن أبي جيد، عن محمّد بن الحسن، عن الحميري، عن هارون بن مسلم والحسن بن ظريف جميعاً، عن الحسين بن علوان الكلبي، عن سعد بن طريف، عن الأصبغ بن نباتة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عليه بعدّة إشكالات سنديّة،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جمع من الرواة غير المعتمدين أو المجاهيل،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والحسين بن علوان الكلبي وسعد بن طريف والأصبغ ابن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الطريق معتبر على الأصحّ لاعتبار كلٍّ من ابن أبي جيد؛ لأنَّه من مشايخ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علوان الكلبي وإنْ كان عامياً إلّا أنَّه مقبول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طريف لا إشكال فيه بعد كلام الشيخ الطوسي فيه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النجاشي فيه أنّه يعرف وينكر</w:t>
      </w:r>
      <w:r>
        <w:rPr>
          <w:rStyle w:val="FootnoteAnchor"/>
          <w:rtl w:val="true"/>
        </w:rPr>
        <w:footnoteReference w:id="104"/>
      </w:r>
      <w:r>
        <w:rPr>
          <w:rFonts w:ascii="Amiri" w:hAnsi="Amiri" w:eastAsia="Amiri" w:cs="Amiri"/>
          <w:color w:val="111111"/>
          <w:sz w:val="28"/>
          <w:sz w:val="28"/>
          <w:szCs w:val="28"/>
          <w:rtl w:val="true"/>
          <w:lang w:bidi="ar-SA"/>
        </w:rPr>
        <w:t>لا يدل على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الأصبغ بن نباتة فهو من خاصّة أمير المؤمنين، وهذا يكفي في الوثاقة والجلالة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الطريق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ابن الجندي، عن علي بن همام، عن الحميري، عن هارون بن مسلم، عن الحسين بن علوان، عن سعد بن طريف، عن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الطريق معتبر أيضاً وإنْ كان النقاش في ابني همام والجندي إلّا أنّه مدفوع بأنَّ ابن الجندي من مشايخ النجاشي</w:t>
      </w:r>
      <w:r>
        <w:rPr>
          <w:rStyle w:val="FootnoteAnchor"/>
          <w:rtl w:val="true"/>
        </w:rPr>
        <w:footnoteReference w:id="105"/>
      </w:r>
      <w:r>
        <w:rPr>
          <w:rFonts w:ascii="Amiri" w:hAnsi="Amiri" w:eastAsia="Amiri" w:cs="Amiri"/>
          <w:color w:val="111111"/>
          <w:sz w:val="28"/>
          <w:sz w:val="28"/>
          <w:szCs w:val="28"/>
          <w:rtl w:val="true"/>
          <w:lang w:bidi="ar-SA"/>
        </w:rPr>
        <w:t>، وأمّا الثاني فلعلّه محرّف عن أبي علي بن همام الثقة كما استظهره الشيخ التستري في قاموسه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كونه محرّفاً عن أبي علي بن همام، وهو محمّد بن همام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الأرجح فيكون ثقة</w:t>
      </w:r>
      <w:r>
        <w:rPr>
          <w:rFonts w:eastAsia="Amiri" w:cs="Amiri" w:ascii="Amiri" w:hAnsi="Amiri"/>
          <w:color w:val="111111"/>
          <w:sz w:val="28"/>
          <w:szCs w:val="28"/>
          <w:rtl w:val="true"/>
          <w:lang w:bidi="ar-SA"/>
        </w:rPr>
        <w:t xml:space="preserve">. </w:t>
      </w:r>
      <w:bookmarkStart w:id="92" w:name="pg9131_75815"/>
    </w:p>
    <w:p>
      <w:pPr>
        <w:pStyle w:val="BookText"/>
        <w:rPr/>
      </w:pPr>
      <w:bookmarkEnd w:id="92"/>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سند عهد مالك الأشتر ولو بطريق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العهد لا تفيد كلمة أعلم كي يتمّ الاستدلال، وإذا نظرنا إلى سياق الرواية نراها تفسّر الأفضل بشيء آخر ليست الأعلمية مأخوذة فيه، بل أمور أخرى كما هو ظاهر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أنّنا لو سلّمنا اشتراط الأعلم من هذا النصّ فإنَّه الأعلم في البلد، وليس الأعلم مطلقاً كما هو ظاهر هذا القول، على أنّ اشتراط الأعلمية ممّا لا يمكن المساعدة عليه كما سيتّضح</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991676_2870459653"/>
      <w:bookmarkStart w:id="94" w:name="_Toc34"/>
      <w:bookmarkEnd w:id="93"/>
      <w:r>
        <w:rPr>
          <w:rtl w:val="true"/>
        </w:rPr>
        <w:t>الدليل الثاني</w:t>
      </w:r>
      <w:bookmarkEnd w:id="94"/>
    </w:p>
    <w:p>
      <w:pPr>
        <w:pStyle w:val="BookText"/>
        <w:rPr/>
      </w:pPr>
      <w:r>
        <w:rPr>
          <w:rFonts w:ascii="Amiri" w:hAnsi="Amiri" w:eastAsia="Amiri" w:cs="Amiri"/>
          <w:color w:val="111111"/>
          <w:sz w:val="28"/>
          <w:sz w:val="28"/>
          <w:szCs w:val="28"/>
          <w:rtl w:val="true"/>
          <w:lang w:bidi="ar-SA"/>
        </w:rPr>
        <w:t xml:space="preserve">التمسّك بفكرة القدر المتيقّن التي تمسّك بها بعض الأعلام كأستاذ أساتذتنا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الاجتهاد في القاضي</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بسريانها إلى اشتراط الأعلمية في القاضي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تصل النوبة إلى التمسّك بالقدر المتيقّن مع وجود دليل على نفي الأعلمية أو الاجتهاد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يتبيّن من مجموع الأقوال والأدلّة والنقوض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من وجود ما يدل على نفي الأعلمية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نرجع إلى </w:t>
      </w:r>
      <w:bookmarkStart w:id="95" w:name="pg9131_75816"/>
    </w:p>
    <w:p>
      <w:pPr>
        <w:pStyle w:val="BookText"/>
        <w:rPr/>
      </w:pPr>
      <w:bookmarkEnd w:id="95"/>
      <w:r>
        <w:rPr>
          <w:rFonts w:ascii="Amiri" w:hAnsi="Amiri" w:eastAsia="Amiri" w:cs="Amiri"/>
          <w:color w:val="111111"/>
          <w:sz w:val="28"/>
          <w:sz w:val="28"/>
          <w:szCs w:val="28"/>
          <w:rtl w:val="true"/>
          <w:lang w:bidi="ar-SA"/>
        </w:rPr>
        <w:t>القدر المتيقّن إلّا بعد فقدان الدليل النافي لها كالأدلة الخاصّة أو الإطلاقات أو العمومات</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991678_2870459653"/>
      <w:bookmarkStart w:id="97" w:name="_Toc35"/>
      <w:bookmarkEnd w:id="96"/>
      <w:r>
        <w:rPr>
          <w:rtl w:val="true"/>
        </w:rPr>
        <w:t>الدليل الثالث</w:t>
      </w:r>
      <w:bookmarkEnd w:id="97"/>
    </w:p>
    <w:p>
      <w:pPr>
        <w:pStyle w:val="BookText"/>
        <w:rPr/>
      </w:pPr>
      <w:r>
        <w:rPr>
          <w:rFonts w:ascii="Amiri" w:hAnsi="Amiri" w:eastAsia="Amiri" w:cs="Amiri"/>
          <w:color w:val="111111"/>
          <w:sz w:val="28"/>
          <w:sz w:val="28"/>
          <w:szCs w:val="28"/>
          <w:rtl w:val="true"/>
          <w:lang w:bidi="ar-SA"/>
        </w:rPr>
        <w:t>مقبولة عمر بن حنظلة،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الرواية صرّحت بأنّ المعتبر هو ما 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يرد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لو تمّت سنداً ودلالة فلا تدلّ على اشتراط الأعلم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الأعلمية في البلد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ضعيفة السند فلا يتمّ الاستدلال بها، لعدم ثبوت وثاقة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المناقشة مبنائية فإنّ هناك من يرى حجّية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الشبهات الحكمية التي يكون المرجع فيها مع التشاح والاختلاف هو الأفقه، فلا تعمّ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وردت في مقام التشاح بين حكم حاكمين لا أنّ الذهاب الابتدائي كان إلى أحدهما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هذا الدليل أيضاً</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991680_2870459653"/>
      <w:bookmarkStart w:id="99" w:name="_Toc36"/>
      <w:bookmarkEnd w:id="98"/>
      <w:r>
        <w:rPr>
          <w:rtl w:val="true"/>
        </w:rPr>
        <w:t>الدليل الرابع</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اتّفقا على عدلين جعلاهما بينهما في حكم وقع بينهما فيه خلاف، فرضيا بالعدلين، فاختلف </w:t>
      </w:r>
    </w:p>
    <w:p>
      <w:pPr>
        <w:pStyle w:val="BookText"/>
        <w:rPr/>
      </w:pPr>
      <w:r>
        <w:rPr>
          <w:rFonts w:ascii="Amiri" w:hAnsi="Amiri" w:eastAsia="Amiri" w:cs="Amiri"/>
          <w:color w:val="111111"/>
          <w:sz w:val="28"/>
          <w:sz w:val="28"/>
          <w:szCs w:val="28"/>
          <w:rtl w:val="true"/>
          <w:lang w:bidi="ar-SA"/>
        </w:rPr>
        <w:t>العدلان بينهما، عن قول أيّهما يمضي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يرد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الرواية وإنْ أمكن سلامتها من الإشكال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الإيرادات الدلالية الأُخرى في الرواية السابقة واردة عليها، فلا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داود بن الحصين الواقفي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يضرّ بعد أنْ ثبتت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حصين الأسدي مولاهم، كوفي،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زوج خالة علي بن الحسن بن فضال، كان يصحب أبا العباس البقباق</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لرواية الأجلّاء عنه الذين لا يروون إلّا عن ثقة كصفوان بن يحيى</w:t>
      </w:r>
      <w:r>
        <w:rPr>
          <w:rStyle w:val="FootnoteAnchor"/>
          <w:rtl w:val="true"/>
        </w:rPr>
        <w:footnoteReference w:id="113"/>
      </w:r>
      <w:r>
        <w:rPr>
          <w:rFonts w:ascii="Amiri" w:hAnsi="Amiri" w:eastAsia="Amiri" w:cs="Amiri"/>
          <w:color w:val="111111"/>
          <w:sz w:val="28"/>
          <w:sz w:val="28"/>
          <w:szCs w:val="28"/>
          <w:rtl w:val="true"/>
          <w:lang w:bidi="ar-SA"/>
        </w:rPr>
        <w:t>وأحمد بن محمد بن أبي نصر</w:t>
      </w:r>
      <w:r>
        <w:rPr>
          <w:rStyle w:val="FootnoteAnchor"/>
          <w:rtl w:val="true"/>
        </w:rPr>
        <w:footnoteReference w:id="11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قبول روايته لثناء الشيخ النجاشي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أصحابنا، مشهور، كثير العلم والحديث</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رواية الأجلّاء عنه كعلي بن إبراهيم وسعد بن عبد الله والصفّار وغيرهم</w:t>
      </w:r>
      <w:r>
        <w:rPr>
          <w:rFonts w:eastAsia="Amiri" w:cs="Amiri" w:ascii="Amiri" w:hAnsi="Amiri"/>
          <w:color w:val="111111"/>
          <w:sz w:val="28"/>
          <w:szCs w:val="28"/>
          <w:rtl w:val="true"/>
          <w:lang w:bidi="ar-SA"/>
        </w:rPr>
        <w:t xml:space="preserve">. </w:t>
      </w:r>
      <w:bookmarkStart w:id="100" w:name="pg9131_75818"/>
    </w:p>
    <w:p>
      <w:pPr>
        <w:pStyle w:val="Heading5"/>
        <w:numPr>
          <w:ilvl w:val="4"/>
          <w:numId w:val="1"/>
        </w:numPr>
        <w:rPr/>
      </w:pPr>
      <w:bookmarkStart w:id="101" w:name="__RefHeading___Toc2991682_2870459653"/>
      <w:bookmarkStart w:id="102" w:name="_Toc37"/>
      <w:bookmarkEnd w:id="100"/>
      <w:bookmarkEnd w:id="101"/>
      <w:r>
        <w:rPr>
          <w:rtl w:val="true"/>
        </w:rPr>
        <w:t>الدليل الخامس</w:t>
      </w:r>
      <w:bookmarkEnd w:id="102"/>
    </w:p>
    <w:p>
      <w:pPr>
        <w:pStyle w:val="BookText"/>
        <w:rPr/>
      </w:pPr>
      <w:r>
        <w:rPr>
          <w:rFonts w:ascii="IRNazanin" w:hAnsi="IRNazanin" w:eastAsia="IRNazanin"/>
          <w:color w:val="111111"/>
          <w:sz w:val="28"/>
          <w:sz w:val="28"/>
          <w:szCs w:val="28"/>
          <w:rtl w:val="true"/>
          <w:lang w:bidi="fa-IR"/>
        </w:rPr>
        <w:t xml:space="preserve">حسنة موسى بن أكيل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يكون بينه وبين أخٍ له منازعة في حقّ، فيتّفقان على رجلين يكونان بينهما، فحكما، فاختلفا فيما حكما،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يختلفان؟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كلُّ واحدٍ منهما للذي اختاره الخصمان،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أعدلهما وأفقههما في دين الله فيمضي حكمه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دلالةً فیرد عليها ما أُورد على الدليل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سنداً فلا إشكال فيها إلّا بذبيان بن حكيم، حيث لم يرد فيه تضعيف ولا توثيق، وقد ذهب المشهور إلى ضعفه إلّا أنَّ الأقوى حسنه؛ لأنّه من المعاريف والرواة المشهورين کما استظهره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النجاشي</w:t>
      </w:r>
      <w:r>
        <w:rPr>
          <w:rStyle w:val="FootnoteAnchor"/>
          <w:rtl w:val="true"/>
        </w:rPr>
        <w:footnoteReference w:id="117"/>
      </w:r>
      <w:r>
        <w:rPr>
          <w:rFonts w:ascii="IRNazanin" w:hAnsi="IRNazanin" w:eastAsia="IRNazanin"/>
          <w:color w:val="111111"/>
          <w:sz w:val="28"/>
          <w:sz w:val="28"/>
          <w:szCs w:val="28"/>
          <w:rtl w:val="true"/>
          <w:lang w:bidi="fa-IR"/>
        </w:rPr>
        <w:t>، إضافة إلى رواية بعض الأجلّاء عنه كمحمّد بن الحسين بن أبي الخطّاب والحسن بن علي بن فضّال، فیورث ذلك الاطمئنان بقبول 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اتّضح ممّا تقدَّم عدم اعتبار ما يدلّ على شرطية الأعلمية في القضاء مطلقاً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991684_2870459653"/>
      <w:bookmarkStart w:id="104" w:name="_Toc38"/>
      <w:bookmarkEnd w:id="103"/>
      <w:r>
        <w:rPr>
          <w:rtl w:val="true"/>
        </w:rPr>
        <w:t>القول الثاني</w:t>
      </w:r>
      <w:bookmarkEnd w:id="104"/>
    </w:p>
    <w:p>
      <w:pPr>
        <w:pStyle w:val="Heading5"/>
        <w:numPr>
          <w:ilvl w:val="4"/>
          <w:numId w:val="1"/>
        </w:numPr>
        <w:rPr/>
      </w:pPr>
      <w:bookmarkStart w:id="105" w:name="__RefHeading___Toc2991686_2870459653"/>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اشتراط الاجتهاد إمّا بنحو الإطلاق كما هو صريح بعضهم كالمسالك</w:t>
      </w:r>
      <w:r>
        <w:rPr>
          <w:rStyle w:val="FootnoteAnchor"/>
          <w:rtl w:val="true"/>
        </w:rPr>
        <w:footnoteReference w:id="118"/>
      </w:r>
      <w:r>
        <w:rPr>
          <w:rFonts w:ascii="Amiri" w:hAnsi="Amiri" w:eastAsia="Amiri" w:cs="Amiri"/>
          <w:color w:val="111111"/>
          <w:sz w:val="28"/>
          <w:sz w:val="28"/>
          <w:szCs w:val="28"/>
          <w:rtl w:val="true"/>
          <w:lang w:bidi="ar-SA"/>
        </w:rPr>
        <w:t>وغيره، أو بنحو التجزئ كما عن بعضٍ آخر كالمحقق الأردبيلي وغيره كما سيأتي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باشتراط الاجتهاد هو ما ذهب إليه مشهور الفقهاء قديماً وحديثاً بل ادُّعي </w:t>
      </w:r>
    </w:p>
    <w:p>
      <w:pPr>
        <w:pStyle w:val="BookText"/>
        <w:rPr/>
      </w:pPr>
      <w:r>
        <w:rPr>
          <w:rFonts w:ascii="Amiri" w:hAnsi="Amiri" w:eastAsia="Amiri" w:cs="Amiri"/>
          <w:color w:val="111111"/>
          <w:sz w:val="28"/>
          <w:sz w:val="28"/>
          <w:szCs w:val="28"/>
          <w:rtl w:val="true"/>
          <w:lang w:bidi="ar-SA"/>
        </w:rPr>
        <w:t>في بعض كلماتهم الإجماع والتسالم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جملةً من كلمات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يتولّى القضاء إلّا من كان عارفاً بجميع ما ولي، ولا يجوز أن يشذّ عنه شي‌ء من ذلك، ولا يجوز أن يقلّد غيره ثمّ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من أهل الاجتهاد ولا يكون عامياً، ولا يجب أن يكون عالماً بجميع ما وليه، وقال في القديم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جاهلاً بجميع ما وليه إذا كان ثقة ويستفتي الفقهاء ويحكم به، ووافقنا في العامي أنّه لا يجوز أن يفتي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يثق أحد بذلك من نفسه حتّى يكون عاقلاً، كاملاً، عالماً بالكتاب وناسخه ومنسوخه، وعامِّه وخاصِّه وإيجابه، ومحكمِه ومتشابهه، عارفاً بالسنّة وناسخها ومنسوخها، عالماً باللّغة مضطلعاً بمعاني كلام العرب، بصيراً بوجوه الإعراب</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بالحقّ في الحكم المردود إليه، والتمكّن من إمضائه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واعتبرنا العلم بالحكم لما بيّناه من وقوف صحّة الحكم على العلم، لكون الحاكم مخبراً بالحكم عن الله سبحانه، نائباً في إلزامه عن رسول الله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والقضاء لا ينعقد للقاضي إلّا بأن يكون من أهل العلم والعدالة والكمال، وكونه عالماً بأنْ يكون عارفاً بالكتاب والسنّة والإجماع والاختلاف </w:t>
      </w:r>
    </w:p>
    <w:p>
      <w:pPr>
        <w:pStyle w:val="BookText"/>
        <w:rPr/>
      </w:pPr>
      <w:r>
        <w:rPr>
          <w:rFonts w:ascii="IRNazanin" w:hAnsi="IRNazanin" w:eastAsia="IRNazanin"/>
          <w:color w:val="111111"/>
          <w:sz w:val="28"/>
          <w:sz w:val="28"/>
          <w:szCs w:val="28"/>
          <w:rtl w:val="true"/>
          <w:lang w:bidi="fa-IR"/>
        </w:rPr>
        <w:t>ولسان العرب</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يثق أحد بذلك من نفسه حتّى يكون عاقلاً، عالماً بالكتاب وناسخه ومنسوخه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ينعقد لغير العالم المستقل بأهلية الفتوى، ولا يكفيه فتوى العلماء، ولا بد أن يكون عالماً بجميع ما وليه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لغير العالم المستقلّ بأهليّة الفتوى البالغ رتبة الاجتهاد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الشهید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على عبارة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بالعالم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في الأحكام الشرعيّة، وعلى اشتراط ذلك في القاضي إجماع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بين حالة الاختيار والاضطرار، ولافرق فيمن نقص عن مرتبته بين المطّلع على فتوى الفقهاء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بكونه عالماً بجميع ما وليه كونه مجتهداً مطلقاً، فلا يكفي اجتهاده في بعض الأحكام دون بعض على القول بتجزّي الاجتهاد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ناقلاً لا متبنّیاً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 لا ينعقد لغير العالم المستقل بأهلية الفتوى، ولايكفيه فتوى العلماء بلا خلاف أجده فيه، بل في المسالك وغيرها الإجماع عليه من غير فرق بين حالتي الاختيار والاضطرار، بل لا بدَّ أنه يكون عالماً بجميع ما وليه أي مجتهداً مطلقاً كما في المسالك، فلا يكفي اجتهاده في بعض الأحكام </w:t>
      </w:r>
      <w:bookmarkStart w:id="107" w:name="pg9131_75821"/>
    </w:p>
    <w:p>
      <w:pPr>
        <w:pStyle w:val="BookText"/>
        <w:rPr/>
      </w:pPr>
      <w:bookmarkEnd w:id="107"/>
      <w:r>
        <w:rPr>
          <w:rFonts w:ascii="Amiri" w:hAnsi="Amiri" w:eastAsia="Amiri" w:cs="Amiri"/>
          <w:color w:val="111111"/>
          <w:sz w:val="28"/>
          <w:sz w:val="28"/>
          <w:szCs w:val="28"/>
          <w:rtl w:val="true"/>
          <w:lang w:bidi="ar-SA"/>
        </w:rPr>
        <w:t>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بتجزي الاجتهاد</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الیزدي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فلا ينفذ قضاء غير المجتهد، وإن بلغ من العلم والفضل ما بلغ، للإجماع كما عن جماعة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تشترط الاجتهاد في القاضي، فلا يكتفى لممارسة القضاء بالعلم لا عن اجتهاد واستنباط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الاشتراط إمّا بنحو الاجتهاد المطلق، أو بنحو المتجزئ فيكون القضاء بخصوص ما اجتهد فيه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991688_2870459653"/>
      <w:bookmarkStart w:id="109" w:name="_Toc40"/>
      <w:bookmarkEnd w:id="108"/>
      <w:r>
        <w:rPr>
          <w:rtl w:val="true"/>
        </w:rPr>
        <w:t>أ</w:t>
      </w:r>
      <w:r>
        <w:rPr>
          <w:rtl w:val="true"/>
        </w:rPr>
        <w:t xml:space="preserve">- </w:t>
      </w:r>
      <w:r>
        <w:rPr>
          <w:rtl w:val="true"/>
        </w:rPr>
        <w:t>اشتراط الاجتهاد المطلق في القاضي</w:t>
      </w:r>
      <w:bookmarkEnd w:id="109"/>
    </w:p>
    <w:p>
      <w:pPr>
        <w:pStyle w:val="Heading6"/>
        <w:numPr>
          <w:ilvl w:val="5"/>
          <w:numId w:val="1"/>
        </w:numPr>
        <w:rPr/>
      </w:pPr>
      <w:bookmarkStart w:id="110" w:name="__RefHeading___Toc2991690_2870459653"/>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ما استدلّ به لهذا القول ومناقشته</w:t>
      </w:r>
      <w:r>
        <w:rPr>
          <w:rFonts w:eastAsia="IRNazanin" w:cs="IRNazanin"/>
          <w:color w:val="111111"/>
          <w:sz w:val="28"/>
          <w:szCs w:val="28"/>
          <w:rtl w:val="true"/>
          <w:lang w:bidi="fa-IR"/>
        </w:rPr>
        <w:t>:</w:t>
      </w:r>
    </w:p>
    <w:p>
      <w:pPr>
        <w:pStyle w:val="Heading6"/>
        <w:numPr>
          <w:ilvl w:val="5"/>
          <w:numId w:val="1"/>
        </w:numPr>
        <w:rPr/>
      </w:pPr>
      <w:bookmarkStart w:id="112" w:name="__RefHeading___Toc2991692_2870459653"/>
      <w:bookmarkStart w:id="113" w:name="_Toc42"/>
      <w:bookmarkEnd w:id="112"/>
      <w:r>
        <w:rPr>
          <w:rtl w:val="true"/>
        </w:rPr>
        <w:t>الدليل الأوَّل</w:t>
      </w:r>
      <w:bookmarkEnd w:id="113"/>
    </w:p>
    <w:p>
      <w:pPr>
        <w:pStyle w:val="BookText"/>
        <w:rPr/>
      </w:pPr>
      <w:r>
        <w:rPr>
          <w:rFonts w:ascii="Amiri" w:hAnsi="Amiri" w:eastAsia="Amiri" w:cs="Amiri"/>
          <w:color w:val="111111"/>
          <w:sz w:val="28"/>
          <w:sz w:val="28"/>
          <w:szCs w:val="28"/>
          <w:rtl w:val="true"/>
          <w:lang w:bidi="ar-SA"/>
        </w:rPr>
        <w:t>الإجماع على شرطية الاجتهاد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حكاه غير واحد من الأعلام المتقدّمين آنفاً، كما هو واضح من كلام صاحب المسالك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الإجماع غير تامٍ؛ لذهاب بعض المتقدّمين إلى عدم شرطية الاجتهاد، بل كفاية الحكم ولو عن تقليد ما دام نابعاً من فقه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دعوى الإجماع التي قد سمعتها فلم أتحقّقها، بل لعل المحقَّق عندنا خلافها، خصوصا بعد أن حكى في التنقيح عن المبسوط في المسألة أقوالاً ثلاثة أوّلها جواز كونه عامياً ويستفتي العلماء ويقضي بفتواهم ولم يرجح، ولعلّ مختاره الأوَّل مع أنّه أسوأ حالاً ممّا </w:t>
      </w:r>
      <w:bookmarkStart w:id="114" w:name="pg9131_75822"/>
    </w:p>
    <w:p>
      <w:pPr>
        <w:pStyle w:val="BookText"/>
        <w:rPr/>
      </w:pPr>
      <w:bookmarkEnd w:id="114"/>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نسبه بعض إلى صاحب المسالك، من دعواه الإجماع في المقام على اعتبار كون القاضي مجتهداً مطلقاً محلّ نظر يظهر لمن لاحظ عبارة المسالك، كما أنّ ما فهمه صاحب المسالك من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أن يكون عارفاً بجميع ما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الاجتهاد المطلق في القاضي أيضاً محلّ تأمّل، ولذا عبّر بهذه العبارة المصنّف في القواعد والتحرير مع قوله بالتجزّي مع أنّ المعرفة الفعليّة بجميع المسائل غير ميسّر غالباً وإرادة العلم بالقوّة لعلّه خلاف الظاهر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لتصريح الشهيد في المسالك بشرطية الاجتهاد المطلق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ظاهر الشرائع اشتراط ذلك كما مرّ عند ذكر عبارتيهما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مدركي أو محتمل المدركيّة فلا 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الحجّيّة في مدركه كالروايات وغيرها، وسيأتي التعرّض لها تفصيلاً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991694_2870459653"/>
      <w:bookmarkStart w:id="116" w:name="_Toc43"/>
      <w:bookmarkEnd w:id="115"/>
      <w:r>
        <w:rPr>
          <w:rtl w:val="true"/>
        </w:rPr>
        <w:t>الدليل الثاني</w:t>
      </w:r>
      <w:r>
        <w:rPr>
          <w:rtl w:val="true"/>
        </w:rPr>
        <w:t xml:space="preserve">: </w:t>
      </w:r>
      <w:r>
        <w:rPr>
          <w:rtl w:val="true"/>
        </w:rPr>
        <w:t>الروايات</w:t>
      </w:r>
      <w:bookmarkEnd w:id="116"/>
    </w:p>
    <w:p>
      <w:pPr>
        <w:pStyle w:val="Heading6"/>
        <w:numPr>
          <w:ilvl w:val="5"/>
          <w:numId w:val="1"/>
        </w:numPr>
        <w:rPr/>
      </w:pPr>
      <w:bookmarkStart w:id="117" w:name="__RefHeading___Toc2991696_2870459653"/>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استدلّ على شرطية الاجتهاد في القاضي بعدّة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991698_2870459653"/>
      <w:bookmarkStart w:id="120" w:name="_Toc45"/>
      <w:bookmarkEnd w:id="119"/>
      <w:r>
        <w:rPr>
          <w:rtl w:val="true"/>
        </w:rPr>
        <w:t>الرواية الأُولى</w:t>
      </w:r>
      <w:bookmarkEnd w:id="1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أنْ يحاكم بعضكم بعضاً إلى أهل الجور، ولكن انظروا إلى رجلٍ منكم يعلم شيئاً من قضايانا فاجعلوه بينكم، فإنّي قد جعلته قاضياً، </w:t>
      </w:r>
    </w:p>
    <w:p>
      <w:pPr>
        <w:pStyle w:val="BookText"/>
        <w:rPr/>
      </w:pPr>
      <w:r>
        <w:rPr>
          <w:rFonts w:ascii="Amiri" w:hAnsi="Amiri" w:eastAsia="Amiri" w:cs="Amiri"/>
          <w:color w:val="111111"/>
          <w:sz w:val="28"/>
          <w:sz w:val="28"/>
          <w:szCs w:val="28"/>
          <w:rtl w:val="true"/>
          <w:lang w:bidi="ar-SA"/>
        </w:rPr>
        <w:t>فتحاكموا إليه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لدلالتها على أن جواز القضاوة ومشروعيتها تحتاج إلى جعلهم وإذنهم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المتيقّن هو الإذن لمن له أهليّة القضاء</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یرد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هذه الرواية دليل على عدم اشتراط الاجتهاد، لا أنّها دليل على شرطية الاجتهاد؛ لأنَّها ذكرت كفاية العلم ببعض القضايا للتصدّي للقضاء، ولم تشترط العلم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كفاية العلم ببعض قضاياهم، وإنْ كانت من الرواة الذين لم يكونوا مجتهدين بالمعنى المتعارف اليوم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ببعض قضاياهم أو قضائهم لا ينحصر بالعلم الاجتهادي بل يشمل العلم عن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الخبروية الموضوعية لها أهمّية في التقاضي، فرُبَّ شخص ليس مجتهداً ولكن لديه ذكاء في تشخيص الموضوعات وتمييز الصادق من الكاذب وأخذ الإقرارات وغيرها، ويقلّد في الحكم، ويقضي بين الناس، يكون أبرع من مجتهد ليس لديه خبرة 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فالعلم بشيء من قضاياهم لا ينحصر بمن وصل إلى مرتبة الاجتهاد، بل إنّ إطلاق الرواية شامل لمطلق العلم بقضاياهم، سواء عن اجتهاد أو تقليد ما دام نابعاً من فقه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لما ذكرناه ما قاله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لا ريب في اندراج من سمع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فيها بين الناس وإنْ لم يكن له مرتبة الاجتهاد والتصرّف</w:t>
      </w:r>
      <w:r>
        <w:rPr>
          <w:rFonts w:eastAsia="IRNazanin" w:cs="IRNazanin"/>
          <w:color w:val="111111"/>
          <w:sz w:val="28"/>
          <w:szCs w:val="28"/>
          <w:rtl w:val="true"/>
          <w:lang w:bidi="fa-IR"/>
        </w:rPr>
        <w:t xml:space="preserve">. </w:t>
      </w:r>
      <w:bookmarkStart w:id="121" w:name="pg9131_75824"/>
    </w:p>
    <w:p>
      <w:pPr>
        <w:pStyle w:val="BookText"/>
        <w:rPr/>
      </w:pPr>
      <w:bookmarkEnd w:id="121"/>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إرادة الأعم من المجتهد منه، بل لعلّ ذلك أولى من الأحكام الاجتهادية الظنّية، بل قد يُقال باندراج مَنْ كان عنده أحكامهم بالاجتهاد الصحيح أو التقليد الصحيح وحكم بها بين الناس كان حكماً بالحق والقسط والعدل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أُستاذ أساتذتنا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الرواية غير ناظرة إلى نصب القاضي ابتداءً، وذلك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القاضي المجعول من قبل المتخاصمين، 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منها أنّ من جعله المتخاصمان بينهما حَكَماً هو الذي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 فلا دلالة فيها على نصب القاضي ابتداءً</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عليه، إذ إنّ ظاهر الرواية لا يتلاءم مع جعل قاضي التحكيم، لأنّ ظاهر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النصب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بين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وعبارته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حمل العبارة الأُولى على قاضي التحكيم والثانية على القاضي المنصوب؟</w:t>
      </w:r>
    </w:p>
    <w:p>
      <w:pPr>
        <w:pStyle w:val="Heading6"/>
        <w:numPr>
          <w:ilvl w:val="5"/>
          <w:numId w:val="1"/>
        </w:numPr>
        <w:rPr/>
      </w:pPr>
      <w:bookmarkStart w:id="122" w:name="__RefHeading___Toc2991700_2870459653"/>
      <w:bookmarkStart w:id="123" w:name="_Toc46"/>
      <w:bookmarkEnd w:id="122"/>
      <w:r>
        <w:rPr>
          <w:rtl w:val="true"/>
        </w:rPr>
        <w:t>الرواية الثانية</w:t>
      </w:r>
      <w:bookmarkEnd w:id="123"/>
    </w:p>
    <w:p>
      <w:pPr>
        <w:pStyle w:val="Heading6"/>
        <w:numPr>
          <w:ilvl w:val="5"/>
          <w:numId w:val="1"/>
        </w:numPr>
        <w:rPr/>
      </w:pPr>
      <w:bookmarkStart w:id="124" w:name="__RefHeading___Toc2991702_2870459653"/>
      <w:bookmarkStart w:id="125" w:name="_Toc47"/>
      <w:bookmarkEnd w:id="124"/>
      <w:r>
        <w:rPr>
          <w:rtl w:val="true"/>
        </w:rPr>
        <w:t>اشارة</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عُمر بن حَنظلة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منازعة في دين أو ميراث فتحاكما إلى السلطان وإلى القُضاة أيحلّ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تحاكم إليهم في حقّ أو باطل فإنَّما تحاكم إلى الطاغوت، وما يَحكم له فإنَّما يأخُذ سُحتاً وإنْ كان حقّاً ثابتاً؛ لأنّه أَخذه بحكم الطاغوت وقد أمر الله أنْ يُكفر به، قال الله </w:t>
      </w:r>
      <w:bookmarkStart w:id="126" w:name="pg9131_75825"/>
    </w:p>
    <w:p>
      <w:pPr>
        <w:pStyle w:val="BookText"/>
        <w:rPr/>
      </w:pPr>
      <w:bookmarkEnd w:id="126"/>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بها على شرطية الاجتهاد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2991704_2870459653"/>
      <w:bookmarkStart w:id="128" w:name="_Toc48"/>
      <w:bookmarkEnd w:id="127"/>
      <w:r>
        <w:rPr>
          <w:rtl w:val="true"/>
        </w:rPr>
        <w:t>الجهة الأولى</w:t>
      </w:r>
      <w:r>
        <w:rPr>
          <w:rtl w:val="true"/>
        </w:rPr>
        <w:t xml:space="preserve">: </w:t>
      </w:r>
      <w:r>
        <w:rPr>
          <w:rtl w:val="true"/>
        </w:rPr>
        <w:t>سند الرواية</w:t>
      </w:r>
      <w:bookmarkEnd w:id="128"/>
    </w:p>
    <w:p>
      <w:pPr>
        <w:pStyle w:val="Heading6"/>
        <w:numPr>
          <w:ilvl w:val="5"/>
          <w:numId w:val="1"/>
        </w:numPr>
        <w:rPr/>
      </w:pPr>
      <w:bookmarkStart w:id="129" w:name="__RefHeading___Toc2991706_2870459653"/>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أمّا 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رجال السند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داود بن الحصين واقفياً لا يضر بعد التوثيق الصادر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حنظلة فلم يرد فيه توثيق ولا تضعيف من الرجاليين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ذهب بعض الأعلام إلى تضعیفه کالسيد الخوئي في رجاله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آخر إلى وثاقته كالشهيد الثاني</w:t>
      </w:r>
      <w:r>
        <w:rPr>
          <w:rStyle w:val="FootnoteAnchor"/>
          <w:rtl w:val="true"/>
        </w:rPr>
        <w:footnoteReference w:id="137"/>
      </w:r>
      <w:r>
        <w:rPr>
          <w:rFonts w:ascii="IRNazanin" w:hAnsi="IRNazanin" w:eastAsia="IRNazanin"/>
          <w:color w:val="111111"/>
          <w:sz w:val="28"/>
          <w:sz w:val="28"/>
          <w:szCs w:val="28"/>
          <w:rtl w:val="true"/>
          <w:lang w:bidi="fa-IR"/>
        </w:rPr>
        <w:t>وابنه</w:t>
      </w:r>
      <w:r>
        <w:rPr>
          <w:rStyle w:val="FootnoteAnchor"/>
          <w:rtl w:val="true"/>
        </w:rPr>
        <w:footnoteReference w:id="13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البناء على وثاقته لوجوه تشكّل مجتمعةً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991708_2870459653"/>
      <w:bookmarkStart w:id="132" w:name="_Toc50"/>
      <w:bookmarkEnd w:id="131"/>
      <w:r>
        <w:rPr>
          <w:rtl w:val="true"/>
        </w:rPr>
        <w:t>الوجه الأوَّل</w:t>
      </w:r>
      <w:bookmarkEnd w:id="132"/>
    </w:p>
    <w:p>
      <w:pPr>
        <w:pStyle w:val="BookText"/>
        <w:rPr/>
      </w:pPr>
      <w:r>
        <w:rPr>
          <w:rFonts w:ascii="IRNazanin" w:hAnsi="IRNazanin" w:eastAsia="IRNazanin"/>
          <w:color w:val="111111"/>
          <w:sz w:val="28"/>
          <w:sz w:val="28"/>
          <w:szCs w:val="28"/>
          <w:rtl w:val="true"/>
          <w:lang w:bidi="fa-IR"/>
        </w:rPr>
        <w:t xml:space="preserve">إنّه من وجوه الطائفة وفقهائها، فهو على وزان محمّد بن مسلم وزرارة، كما تشهد بذلك عدّة روايات مهمّة يرويها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شتى مع كثرة عددها ودقة مضامينها</w:t>
      </w:r>
      <w:r>
        <w:rPr>
          <w:rFonts w:eastAsia="IRNazanin" w:cs="IRNazanin"/>
          <w:color w:val="111111"/>
          <w:sz w:val="28"/>
          <w:szCs w:val="28"/>
          <w:rtl w:val="true"/>
          <w:lang w:bidi="fa-IR"/>
        </w:rPr>
        <w:t>.</w:t>
      </w:r>
    </w:p>
    <w:p>
      <w:pPr>
        <w:pStyle w:val="Heading6"/>
        <w:numPr>
          <w:ilvl w:val="5"/>
          <w:numId w:val="1"/>
        </w:numPr>
        <w:rPr/>
      </w:pPr>
      <w:bookmarkStart w:id="133" w:name="__RefHeading___Toc2991710_2870459653"/>
      <w:bookmarkStart w:id="134" w:name="_Toc51"/>
      <w:bookmarkEnd w:id="133"/>
      <w:r>
        <w:rPr>
          <w:rtl w:val="true"/>
        </w:rPr>
        <w:t>الوجه الثاني</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روايات عديدة تمدحه وتبيّن جلالته</w:t>
      </w:r>
      <w:r>
        <w:rPr>
          <w:rFonts w:eastAsia="Amiri" w:cs="Amiri" w:ascii="Amiri" w:hAnsi="Amiri"/>
          <w:color w:val="111111"/>
          <w:sz w:val="28"/>
          <w:szCs w:val="28"/>
          <w:rtl w:val="true"/>
          <w:lang w:bidi="ar-SA"/>
        </w:rPr>
        <w:t xml:space="preserve">: </w:t>
      </w:r>
      <w:bookmarkStart w:id="135" w:name="pg9131_75826"/>
    </w:p>
    <w:p>
      <w:pPr>
        <w:pStyle w:val="BookText"/>
        <w:rPr/>
      </w:pPr>
      <w:bookmarkEnd w:id="13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العوالم نقلاً عن أعلام الدين من كتاب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صخر، أنتم والله على ديني ودين آبائي، وقال والله لنشفعن، والله لنشفعن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ولا صديق حميم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بصائر الدرجات للصفار بسنده عن داود بن أبي يزيد عن بعض أصحابنا عن عمر بن حنظلة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فعلّمني الاسم الأعظم،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2991712_2870459653"/>
      <w:bookmarkStart w:id="137" w:name="_Toc52"/>
      <w:bookmarkEnd w:id="136"/>
      <w:r>
        <w:rPr>
          <w:rtl w:val="true"/>
        </w:rPr>
        <w:t>الوجه الثالث</w:t>
      </w:r>
      <w:bookmarkEnd w:id="137"/>
    </w:p>
    <w:p>
      <w:pPr>
        <w:pStyle w:val="BookText"/>
        <w:rPr/>
      </w:pPr>
      <w:r>
        <w:rPr>
          <w:rFonts w:ascii="IRNazanin" w:hAnsi="IRNazanin" w:eastAsia="IRNazanin"/>
          <w:color w:val="111111"/>
          <w:sz w:val="28"/>
          <w:sz w:val="28"/>
          <w:szCs w:val="28"/>
          <w:rtl w:val="true"/>
          <w:lang w:bidi="fa-IR"/>
        </w:rPr>
        <w:t>رواية الوقت الدالة على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بن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الرواية تام، وكون يزيد بن خليفة الواقفي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طريقها لا يضرّ؛ لرواية ثلاثة من أصحاب الإجماع عنه، وبعض الأجلّة كيونس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روايات قد يظهر منها اهتمام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منها ما عن النضر بن سويد،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يقال له يزيد بن خليفة،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بلحارث بن كعب،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أهل بيت إِلَّا وفيهم نجيب أو نجيبان، وأنت نجيب بلحارث بن كعب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38" w:name="pg9131_75827"/>
    </w:p>
    <w:p>
      <w:pPr>
        <w:pStyle w:val="BookText"/>
        <w:rPr/>
      </w:pPr>
      <w:bookmarkEnd w:id="138"/>
      <w:r>
        <w:rPr>
          <w:rFonts w:ascii="Amiri" w:hAnsi="Amiri" w:eastAsia="Amiri" w:cs="Amiri"/>
          <w:color w:val="111111"/>
          <w:sz w:val="28"/>
          <w:sz w:val="28"/>
          <w:szCs w:val="28"/>
          <w:rtl w:val="true"/>
          <w:lang w:bidi="ar-SA"/>
        </w:rPr>
        <w:t>وهذه القرائن ممّا تفيد الاطمئنان بحسن حاله على أقل التقادير</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991714_2870459653"/>
      <w:bookmarkStart w:id="140" w:name="_Toc53"/>
      <w:bookmarkEnd w:id="139"/>
      <w:r>
        <w:rPr>
          <w:rtl w:val="true"/>
        </w:rPr>
        <w:t>الوجه الرابع</w:t>
      </w:r>
      <w:bookmarkEnd w:id="140"/>
    </w:p>
    <w:p>
      <w:pPr>
        <w:pStyle w:val="BookText"/>
        <w:rPr/>
      </w:pPr>
      <w:r>
        <w:rPr>
          <w:rFonts w:ascii="Amiri" w:hAnsi="Amiri" w:eastAsia="Amiri" w:cs="Amiri"/>
          <w:color w:val="111111"/>
          <w:sz w:val="28"/>
          <w:sz w:val="28"/>
          <w:szCs w:val="28"/>
          <w:rtl w:val="true"/>
          <w:lang w:bidi="ar-SA"/>
        </w:rPr>
        <w:t>رواية جماعة كثيرة عنه من الأجلّاء وأصحاب الإجماع ممّن أجمعت العصابة على تصديقهم والانقياد لهم بالفقه وتصحيح ما يصحّ عنهم،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ومحمّد بن مسلم وعبد الله بن مسكان وعبد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جماعة من الأصحاب عن شخصٍ أو رواية كتابه من أمارات الاعتماد عليه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2991716_2870459653"/>
      <w:bookmarkStart w:id="142" w:name="_Toc54"/>
      <w:bookmarkEnd w:id="141"/>
      <w:r>
        <w:rPr>
          <w:rtl w:val="true"/>
        </w:rPr>
        <w:t>الوجه الخامس</w:t>
      </w:r>
      <w:bookmarkEnd w:id="142"/>
    </w:p>
    <w:p>
      <w:pPr>
        <w:pStyle w:val="BookText"/>
        <w:rPr/>
      </w:pPr>
      <w:r>
        <w:rPr>
          <w:rFonts w:ascii="Amiri" w:hAnsi="Amiri" w:eastAsia="Amiri" w:cs="Amiri"/>
          <w:color w:val="111111"/>
          <w:sz w:val="28"/>
          <w:sz w:val="28"/>
          <w:szCs w:val="28"/>
          <w:rtl w:val="true"/>
          <w:lang w:bidi="ar-SA"/>
        </w:rPr>
        <w:t>عمل الأصحاب برواياته وتلقّيها بالقبول خصوصاً المقبولة التي نحن بصددها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991718_2870459653"/>
      <w:bookmarkStart w:id="144" w:name="_Toc55"/>
      <w:bookmarkEnd w:id="143"/>
      <w:r>
        <w:rPr>
          <w:rtl w:val="true"/>
        </w:rPr>
        <w:t>الوجه السادس</w:t>
      </w:r>
      <w:bookmarkEnd w:id="144"/>
    </w:p>
    <w:p>
      <w:pPr>
        <w:pStyle w:val="BookText"/>
        <w:rPr/>
      </w:pPr>
      <w:r>
        <w:rPr>
          <w:rFonts w:ascii="Amiri" w:hAnsi="Amiri" w:eastAsia="Amiri" w:cs="Amiri"/>
          <w:color w:val="111111"/>
          <w:sz w:val="28"/>
          <w:sz w:val="28"/>
          <w:szCs w:val="28"/>
          <w:rtl w:val="true"/>
          <w:lang w:bidi="ar-SA"/>
        </w:rPr>
        <w:t>رواية ابن أبي عمير</w:t>
      </w:r>
      <w:r>
        <w:rPr>
          <w:rStyle w:val="FootnoteAnchor"/>
          <w:rtl w:val="true"/>
        </w:rPr>
        <w:footnoteReference w:id="144"/>
      </w:r>
      <w:r>
        <w:rPr>
          <w:rFonts w:ascii="Amiri" w:hAnsi="Amiri" w:eastAsia="Amiri" w:cs="Amiri"/>
          <w:color w:val="111111"/>
          <w:sz w:val="28"/>
          <w:sz w:val="28"/>
          <w:szCs w:val="28"/>
          <w:rtl w:val="true"/>
          <w:lang w:bidi="ar-SA"/>
        </w:rPr>
        <w:t xml:space="preserve">وصفوان بن يحيى عنه </w:t>
      </w:r>
      <w:r>
        <w:rPr>
          <w:rStyle w:val="FootnoteAnchor"/>
          <w:rtl w:val="true"/>
        </w:rPr>
        <w:footnoteReference w:id="145"/>
      </w:r>
      <w:r>
        <w:rPr>
          <w:rFonts w:ascii="Amiri" w:hAnsi="Amiri" w:eastAsia="Amiri" w:cs="Amiri"/>
          <w:color w:val="111111"/>
          <w:sz w:val="28"/>
          <w:sz w:val="28"/>
          <w:szCs w:val="28"/>
          <w:rtl w:val="true"/>
          <w:lang w:bidi="ar-SA"/>
        </w:rPr>
        <w:t>، وهما لا يرويان إلّا عن ثقة كما في تقريرات بعض الأعلام</w:t>
      </w:r>
      <w:r>
        <w:rPr>
          <w:rStyle w:val="FootnoteAnchor"/>
          <w:rtl w:val="true"/>
        </w:rPr>
        <w:footnoteReference w:id="146"/>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النظر فيما ذكره بعض الباحثين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الاعتماد على رواية ابن حنظلة وفاقاً لجملة من الأعلام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قبول روايته يمكن التعويل على هذه الرواية من جهة جبرها بعمل </w:t>
      </w:r>
      <w:bookmarkStart w:id="145" w:name="pg9131_75828"/>
    </w:p>
    <w:p>
      <w:pPr>
        <w:pStyle w:val="BookText"/>
        <w:rPr/>
      </w:pPr>
      <w:bookmarkEnd w:id="145"/>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وتلقّيهم لها بالقبول والتسالم إذ جعلوها من أهم روايات القضاء</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991720_2870459653"/>
      <w:bookmarkStart w:id="147" w:name="_Toc56"/>
      <w:bookmarkEnd w:id="146"/>
      <w:r>
        <w:rPr>
          <w:rtl w:val="true"/>
        </w:rPr>
        <w:t>الجهة الأخرى</w:t>
      </w:r>
      <w:r>
        <w:rPr>
          <w:rtl w:val="true"/>
        </w:rPr>
        <w:t xml:space="preserve">: </w:t>
      </w:r>
      <w:r>
        <w:rPr>
          <w:rtl w:val="true"/>
        </w:rPr>
        <w:t>النقاش في دلالة الرواية</w:t>
      </w:r>
      <w:bookmarkEnd w:id="14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المأخوذ في الرواية ليس المراد به العلم الاجتهادي بل مطلق العلم المأخوذ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مستنبطاً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الاجتهاد شرطاً لا يتمّ؛ لأنّ العام لا يدلّ على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وقرينة ذلك أنَّ الذين أرسلهم الإمام إلى البلدان لم يكونوا مجتهدين بالاجتهاد المتعارف اليوم، بل كانوا قد سألوا الإمام وعرفوا الأحكام من جوابه بلا اجتهاد واستنباط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فمعتبرة ابن حنظلة لا دلالة فيها على الاجتهاد، بل لعلّ دلالتها على عدم الاشتراط أوضح،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معتبرة ابن حنظلة مقيّدة بصحيحة أبي خديجة المتقدّمة؛ لأنَّها ذكرت كفاية العلم ببعض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شيئاً من قضايانا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للتصدّي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تشترط العلم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اكتفت بالعلم ببعض قضاياهم وإنْ كان الحكم صادراً من الرواة الذين لم يكونوا مجتهدين بالمعنى المتعارف اليوم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ببعض قضاياهم أو قضائهم لا ينحصر بالعلم الاجتهادي بل يشمل العلم عن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الأولي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شرطية العلم فحسب، لا العلم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مألوفاً لديهم كما 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ليس له موضوعية وإنّما هو مأخوذ بنحو الطريقية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وفاقاً للمحقّق الأردبيلي والشيخ صاحب الجواهر عدم شرطية الاجتهاد المطلق</w:t>
      </w:r>
      <w:r>
        <w:rPr>
          <w:rFonts w:eastAsia="Amiri" w:cs="Amiri" w:ascii="Amiri" w:hAnsi="Amiri"/>
          <w:color w:val="111111"/>
          <w:sz w:val="28"/>
          <w:szCs w:val="28"/>
          <w:rtl w:val="true"/>
          <w:lang w:bidi="ar-SA"/>
        </w:rPr>
        <w:t xml:space="preserve">. </w:t>
      </w:r>
      <w:bookmarkStart w:id="148" w:name="pg9131_75829"/>
    </w:p>
    <w:p>
      <w:pPr>
        <w:pStyle w:val="Heading5"/>
        <w:numPr>
          <w:ilvl w:val="4"/>
          <w:numId w:val="1"/>
        </w:numPr>
        <w:rPr/>
      </w:pPr>
      <w:bookmarkStart w:id="149" w:name="__RefHeading___Toc2991722_2870459653"/>
      <w:bookmarkStart w:id="150" w:name="_Toc57"/>
      <w:bookmarkEnd w:id="148"/>
      <w:bookmarkEnd w:id="149"/>
      <w:r>
        <w:rPr>
          <w:rtl w:val="true"/>
        </w:rPr>
        <w:t>ب</w:t>
      </w:r>
      <w:r>
        <w:rPr>
          <w:rtl w:val="true"/>
        </w:rPr>
        <w:t xml:space="preserve">- </w:t>
      </w:r>
      <w:r>
        <w:rPr>
          <w:rtl w:val="true"/>
        </w:rPr>
        <w:t>اشتراط الاجتهاد المتجزئ في القاضي</w:t>
      </w:r>
      <w:bookmarkEnd w:id="150"/>
    </w:p>
    <w:p>
      <w:pPr>
        <w:pStyle w:val="BookText"/>
        <w:rPr/>
      </w:pPr>
      <w:r>
        <w:rPr>
          <w:rFonts w:ascii="Amiri" w:hAnsi="Amiri" w:eastAsia="Amiri" w:cs="Amiri"/>
          <w:color w:val="111111"/>
          <w:sz w:val="28"/>
          <w:sz w:val="28"/>
          <w:szCs w:val="28"/>
          <w:rtl w:val="true"/>
          <w:lang w:bidi="ar-SA"/>
        </w:rPr>
        <w:t xml:space="preserve">صرّح بجواز التجزّي جماعةٌ، منهم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جواز ما يجوز للمجتهد الكلّ للجزء إذ الظاهر جواز التجزّي كما هو مذهب المصنّف وبعض المحقّقين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فلا يبعد استظهار صحّة التجزّي من هذا الكلام مع اعتبار المعرفة الفعليّة وعدم كفاية القوّة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ما ذهبوا إليه لا يمكن المساعدة عليه؛ لعدم دلالة الأدلة التي ذكروها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إنَّها أدلّة اشتراط الاجتهاد المطلق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المناقشة في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بيان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أنّ الظاهر منها هو نفي الاجتهاد مطلقاً، وكفاية العلم بالحكم وأنْ يكون القضاء بالحق والعدل، لا بالباطل والجور، بشرط أنْ يکون عن معرفة بالأحکام الشرعية ولو تقليداً مع قدرته على التطبيق</w:t>
      </w:r>
      <w:r>
        <w:rPr>
          <w:rFonts w:eastAsia="IRNazanin" w:cs="IRNazanin"/>
          <w:color w:val="111111"/>
          <w:sz w:val="28"/>
          <w:szCs w:val="28"/>
          <w:rtl w:val="true"/>
          <w:lang w:bidi="fa-IR"/>
        </w:rPr>
        <w:t>.</w:t>
      </w:r>
    </w:p>
    <w:p>
      <w:pPr>
        <w:pStyle w:val="Heading4"/>
        <w:numPr>
          <w:ilvl w:val="3"/>
          <w:numId w:val="1"/>
        </w:numPr>
        <w:rPr/>
      </w:pPr>
      <w:bookmarkStart w:id="151" w:name="__RefHeading___Toc2991724_2870459653"/>
      <w:bookmarkStart w:id="152" w:name="_Toc58"/>
      <w:bookmarkEnd w:id="151"/>
      <w:r>
        <w:rPr>
          <w:rtl w:val="true"/>
        </w:rPr>
        <w:t>القول الثالث</w:t>
      </w:r>
      <w:bookmarkEnd w:id="152"/>
    </w:p>
    <w:p>
      <w:pPr>
        <w:pStyle w:val="BookText"/>
        <w:rPr/>
      </w:pPr>
      <w:r>
        <w:rPr>
          <w:rFonts w:ascii="Amiri" w:hAnsi="Amiri" w:eastAsia="Amiri" w:cs="Amiri"/>
          <w:color w:val="111111"/>
          <w:sz w:val="28"/>
          <w:sz w:val="28"/>
          <w:szCs w:val="28"/>
          <w:rtl w:val="true"/>
          <w:lang w:bidi="ar-SA"/>
        </w:rPr>
        <w:t>اشتراط مطلق العلم وإنْ لم يكن عن اجتهاد كما لو كان عن تقليد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991726_2870459653"/>
      <w:bookmarkStart w:id="154" w:name="_Toc59"/>
      <w:bookmarkEnd w:id="153"/>
      <w:r>
        <w:rPr>
          <w:rtl w:val="true"/>
        </w:rPr>
        <w:t>القول الرابع</w:t>
      </w:r>
      <w:bookmarkEnd w:id="154"/>
    </w:p>
    <w:p>
      <w:pPr>
        <w:pStyle w:val="BookText"/>
        <w:rPr/>
      </w:pPr>
      <w:r>
        <w:rPr>
          <w:rFonts w:ascii="Amiri" w:hAnsi="Amiri" w:eastAsia="Amiri" w:cs="Amiri"/>
          <w:color w:val="111111"/>
          <w:sz w:val="28"/>
          <w:sz w:val="28"/>
          <w:szCs w:val="28"/>
          <w:rtl w:val="true"/>
          <w:lang w:bidi="ar-SA"/>
        </w:rPr>
        <w:t>التفصيل بين منصب القضاء فيشترط الاجتهاد وفعل القضاء فلا يشترط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فصّل الكلام في القولين الشيخ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كلا القولين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وانتصر لهما وإنْ كان آخر كلامه ترجيح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الفائدة من جواهر الجواهر ننقل أكثر عبارته فی المقام حيث ردّ على من اشترطَ الاجتهاد في </w:t>
      </w:r>
    </w:p>
    <w:p>
      <w:pPr>
        <w:pStyle w:val="BookText"/>
        <w:rPr/>
      </w:pPr>
      <w:r>
        <w:rPr>
          <w:rFonts w:ascii="IRNazanin" w:hAnsi="IRNazanin" w:eastAsia="IRNazanin"/>
          <w:color w:val="111111"/>
          <w:sz w:val="28"/>
          <w:sz w:val="28"/>
          <w:szCs w:val="28"/>
          <w:rtl w:val="true"/>
          <w:lang w:bidi="fa-IR"/>
        </w:rPr>
        <w:t>القاضي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الكتاب والسنة صحّة الحكم بالحق والعدل والقسط من كلّ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مجموعة من الآيات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النصوص البالغة بالتعاضد أعلى مراتب القطع الدالّة على أنّ المدار الحكم بالحق الذي هو عند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ريب في اندراج من سمع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أحكاماً خاصّة مثلاً وحكم فيها بين الناس وإنْ لم يكن له مرتبة الاجتهاد والتصرّف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قيّد هذا الإطلاق في الآيات والروايات،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بتوقّف صحّة ذلك على الإذن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سليمان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إنّما هي للإمام العالم بالقضاء العادل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أو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يقتضي توقّف صحّة الحكم وترتّب أثره عليه على الإذن والنصب، فتُقّيد تلك الآيات والنصوص بذلك أو تحمل على إرادة الأمر بالمعروف ونحوه ممّا ليس فيه قضاء وفصل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إلّا أنْ يقال بأنّ النصوص دالّة على الإذن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المتمسّكين بحبلهم، الحافظين لأحكامهم في الحكم بين الناس بأحكامهم الواصلة إليهم بقطع أو اجتهاد صحيح أو تقليد كذلك، فإنّهم العلماء وشيعتهم المتعلّمون وباقي الناس غثاء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ترقّى في عدم ما يدلّ على الشرطية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قد يدّعى أنّ الموجودين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أُمر بالترافع إليهم قاصرون عن مرتبة الاجتهاد وإنّما يقضون بين الناس بما سمعوه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فدعوى قصور من علم جملة من الأحكام مشافهة أو بتقليد لمجتهد عن منصب القضاء بما علمه خالية عن الدليل، بل ظاهر الأدلّة خلافها، بل يمكن دعوى القطع بخلافها، ونصب خصوص المجتهد في زمان الغيبة بناء على ظهور النصوص فيه لا يقتضي عدم جواز نصب الغير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وحينئذ تظهر ثمرة ذلك بناء على عموم هذه الرئاسة أنّ للمجتهد نصب مقلّده للقضاء بين الناس بفتاواه التي هي حلالهم وحرامهم، فيكون حكمه حكم مجتهده وحكم مجتهده حكمهم، وحكمهم حكم الله تعالى شأنه، والرادّ عليه رادّ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دعوى الإجماع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دعوى الإجماع التي قد سمعتها فلم أتحقّقها، بل لعلّ المحقَّق عندنا خلافها، خصوصاً بعد أن حكى في التنقيح عن المبسوط في المسألة أقوالاً ثلاثة أوّلها جواز كونه عامياً ويستفتي العلماء ويقضي بفتواهم ولم يرجّح، ولعل مختاره الأوَّل مع أنّه أسوأ حالاً ممّا ذكرناه، ضرورة فرضه عامياً حين نصبه ثُمَّ يستفتي بعد ذلك، مع ظهور الأدلّة في اعتبار كونه عالماً بما وليه حين التولية ولو بالتقليد بناءً على ما ذكرناه من كون فتاوى المجتهد أحكامهم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التّفصيل بين القضاء كمنصب والقضاء كفعل وبيان للفتوى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فالقضاء حينئذ بها خصوصاً إذا قلنا إنّ القضاء في زمن الغيبة من باب الأحكام الشرعية لا النصب القضائي وإنّ ذلك هو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قاضياً وحاكماً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الفصل بها حينئذ من المقلّد كالفصل بها من المجتهد، إذ الجميع مرجعه إلى القضاء بين الناس بحكم أهل البيت،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الجواهر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الجواهر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الاجتهاد بالمعنى المتعارف اليوم في القاضي خصوصاً في القاضي الذي هو مبيّن للفتاوى فحسب، فهو والمجتهد سواء من هذه الناحية، خصوصاً إذا توفّرت الخبرة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كمنصب فلا يسوغ للمقلّد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ترجيح هذا القول مع مزيد بيان في المختار</w:t>
      </w:r>
      <w:r>
        <w:rPr>
          <w:rFonts w:eastAsia="Amiri" w:cs="Amiri" w:ascii="Amiri" w:hAnsi="Amiri"/>
          <w:color w:val="111111"/>
          <w:sz w:val="28"/>
          <w:szCs w:val="28"/>
          <w:rtl w:val="true"/>
          <w:lang w:bidi="ar-SA"/>
        </w:rPr>
        <w:t xml:space="preserve">. </w:t>
      </w:r>
      <w:bookmarkStart w:id="155" w:name="pg9131_75832"/>
    </w:p>
    <w:p>
      <w:pPr>
        <w:pStyle w:val="Heading4"/>
        <w:numPr>
          <w:ilvl w:val="3"/>
          <w:numId w:val="1"/>
        </w:numPr>
        <w:rPr/>
      </w:pPr>
      <w:bookmarkStart w:id="156" w:name="__RefHeading___Toc2991728_2870459653"/>
      <w:bookmarkStart w:id="157" w:name="_Toc60"/>
      <w:bookmarkEnd w:id="155"/>
      <w:bookmarkEnd w:id="156"/>
      <w:r>
        <w:rPr>
          <w:rtl w:val="true"/>
        </w:rPr>
        <w:t>القول الخامس</w:t>
      </w:r>
      <w:bookmarkEnd w:id="157"/>
    </w:p>
    <w:p>
      <w:pPr>
        <w:pStyle w:val="BookText"/>
        <w:rPr/>
      </w:pPr>
      <w:r>
        <w:rPr>
          <w:rFonts w:ascii="Amiri" w:hAnsi="Amiri" w:eastAsia="Amiri" w:cs="Amiri"/>
          <w:color w:val="111111"/>
          <w:sz w:val="28"/>
          <w:sz w:val="28"/>
          <w:szCs w:val="28"/>
          <w:rtl w:val="true"/>
          <w:lang w:bidi="ar-SA"/>
        </w:rPr>
        <w:t>التفصيل بين قاضي التحكيم فلا يشترط فيه الاجتهاد وبين القاضي المنصوب فيشترط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ذهب إليه جمعٌ من الفقهاء منهم أستاذ أساتذتنا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مفصّلاً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القاضي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الاجتهاد بلا خلاف ولا إشكال بين الأصحاب، وذلك لأنّ القضاء كما عرفت واجب كفائي، لتوقّف حفظ النظام عليه، ولاشكّ في أنّ نفوذ حكم أحد على غيره إنّما هو على خلاف الأصل، والقدر المتيقّن من ذلك هو نفوذ حكم المجتهد، فيكفي في عدم نفوذ حكم غيره الأصل، بعد عدم وجود دليل لفظي يدلّ على نصب القاضي ابتداءً ليتمسّك بإطلاقه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الاشتراط وقد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لا يعتبر فيه الاجتهاد خلافاً للمشهور، وذلك لإطلاق عدّة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ولإطلاق الصحيحة المتقدّمة، وإطلاق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كان بين الرجلين من أصحابنا المنازعة في الشي‌ء فيتراضيان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ذاك، إنّما هو الذي يجبر الناس على حكمه بالسيف والسوط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الروايات</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واضح على اشتراط الاجتهاد في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قاضي التنصيب فتبيّن ممّا مرّ نفي ما يدل على شرطيته، وفكرة القدر المتيقّن التي 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الأعلام منهم صاحب الجواهر والنراقي والقمّي وبعض المعاصرين</w:t>
      </w:r>
      <w:r>
        <w:rPr>
          <w:rStyle w:val="FootnoteAnchor"/>
          <w:rtl w:val="true"/>
        </w:rPr>
        <w:footnoteReference w:id="154"/>
      </w:r>
      <w:r>
        <w:rPr>
          <w:rFonts w:ascii="Amiri" w:hAnsi="Amiri" w:eastAsia="Amiri" w:cs="Amiri"/>
          <w:color w:val="111111"/>
          <w:sz w:val="28"/>
          <w:sz w:val="28"/>
          <w:szCs w:val="28"/>
          <w:rtl w:val="true"/>
          <w:lang w:bidi="ar-SA"/>
        </w:rPr>
        <w:t>من عدم شرطية الاجتهاد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أدلّة المختار إجمالاً في ضمن نقاط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وعمومات أدلّة الحكم والقضاء، سواء من الآيات والروايات الجاعلة لمناط الحكم، والتقاضي هو معرفة الأحكام وتطبيقها كفعل على أرض الواقع لا بعنوان النصب بشرط تحقيق العدل والحكم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ومفهوماً کما فی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فَأُولَئِكَ هُمُ الْفَاسِقُونَ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كصحيح أبي خديجة، ومعتبر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لعلّهما قد دلّا على عدم شرطية الاجتهاد كما قرّبنا ذلك بأنّه العلم بشيء من قضاياهم التي لا يفهم منها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المأخوذ في الروايات ليس المراد به العلم الاجتهادي بل مطلق العلم المأخوذ عن الأئمّة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مستنبطاً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 الاجتهاد شرطاً لا يتمّ؛ لأنّ </w:t>
      </w:r>
    </w:p>
    <w:p>
      <w:pPr>
        <w:pStyle w:val="BookText"/>
        <w:rPr/>
      </w:pPr>
      <w:r>
        <w:rPr>
          <w:rFonts w:ascii="Amiri" w:hAnsi="Amiri" w:eastAsia="Amiri" w:cs="Amiri"/>
          <w:color w:val="111111"/>
          <w:sz w:val="28"/>
          <w:sz w:val="28"/>
          <w:szCs w:val="28"/>
          <w:rtl w:val="true"/>
          <w:lang w:bidi="ar-SA"/>
        </w:rPr>
        <w:t>العام لا يدلّ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ذلك أنّ الذين أرسلهم الإمام إلى البلدان لم يكونوا مجتهدين بالاجتهاد المتعارف اليوم بل كانوا قد سألوا الإمام وعرفوا الأحكام من جوابه بلا اجتهاد واستنباط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الاجتهاد بالمعنى المعروف بيننا لم يكن معروفاً في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الاجتهاد بهذه الخصوصيّة قد حدث في زمن الغيبة لدواعٍ مختلفة، فكيف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الأحاديث ناظرة إلى ذلك الاجتهاد وهو غير معروف عند المخاطبين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عليه نصبهم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كبيراً من القضاة خصوصاً في زمن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يكونوا مجتهدين ولا متجزّئين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الأدلة الثلاثة ظاهر بعض الروايات كرواية عبد الله بن طلحة وغيره من إمضاء الحكم القضائي الصادر منهم لغير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عبد اللّه بن طلحة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سارق دخل على امرأة ليسرق متاعها فلمّا جمع الثياب تابعته نفسه فكابرها على نفسها فواقعها، فتحرّك ابنها فقام فقتله بفأس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على هذا كما وصفت لك</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كان بين الرجلين من أصحابنا المنازعة في الشي‌ء فيتراضيان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ذاك، إنّما هو الذي يجبر الناس على حكمه بالسيف والسوط</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جعلنا هذه النقطة الرابعة مؤيّداً لما اخترناه وليس دليلاً لضعف الروايتين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جميع ما تقدّم عدم نهوض دليل واضح من الكتاب أو السنّة أو الإجماع </w:t>
      </w:r>
    </w:p>
    <w:p>
      <w:pPr>
        <w:pStyle w:val="BookText"/>
        <w:rPr/>
      </w:pPr>
      <w:r>
        <w:rPr>
          <w:rFonts w:ascii="Amiri" w:hAnsi="Amiri" w:eastAsia="Amiri" w:cs="Amiri"/>
          <w:color w:val="111111"/>
          <w:sz w:val="28"/>
          <w:sz w:val="28"/>
          <w:szCs w:val="28"/>
          <w:rtl w:val="true"/>
          <w:lang w:bidi="ar-SA"/>
        </w:rPr>
        <w:t xml:space="preserve">على شرطية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المتعارف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ولا متجزئاً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في القاضي من العلم بالحكم الشرعي تفصيلاً والإحاطة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بالأبواب الفقهية التي لها مدخلية في القضاء كباب الديات والحدود والشهادات والقصاص، وإن كان اشتراط الاجتهاد أحوط من باب الخبروية العلمية للوصول إلى الواقع أكثر من غير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هو عدم اشتراط الاجتهاد في فعل القضاء بتطبيق الفتوى، أمّا المنصب فمقتضى الاحتياط اشتراط الاجتهاد فيه لعنوان النَصب الوارد في الروايات الظاهر باعتبار الاجتهاد فيه، كما في اعتباره في منصب الإفتاء والولاية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bookmarkStart w:id="158" w:name="pg9131_75836"/>
    </w:p>
    <w:p>
      <w:pPr>
        <w:pStyle w:val="Heading3"/>
        <w:numPr>
          <w:ilvl w:val="2"/>
          <w:numId w:val="1"/>
        </w:numPr>
        <w:rPr/>
      </w:pPr>
      <w:bookmarkStart w:id="159" w:name="__RefHeading___Toc2991730_2870459653"/>
      <w:bookmarkStart w:id="160" w:name="_Toc61"/>
      <w:bookmarkEnd w:id="158"/>
      <w:bookmarkEnd w:id="159"/>
      <w:r>
        <w:rPr>
          <w:rtl w:val="true"/>
        </w:rPr>
        <w:t>المصادر</w:t>
      </w:r>
      <w:bookmarkEnd w:id="16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 الأسترابادي،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خورشيد، سنة الطبع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الشيخ مسلم الداوري،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المعلم،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IRNazanin" w:hAnsi="IRNazanin" w:eastAsia="IRNazanin"/>
          <w:color w:val="111111"/>
          <w:sz w:val="28"/>
          <w:sz w:val="28"/>
          <w:szCs w:val="28"/>
          <w:rtl w:val="true"/>
          <w:lang w:bidi="fa-IR"/>
        </w:rPr>
        <w:t>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حاج نايب،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الموسوي الأردبيلي،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لجامعة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الرجالية من تنقيح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التستري،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الذكرى المئوية </w:t>
      </w:r>
    </w:p>
    <w:p>
      <w:pPr>
        <w:pStyle w:val="BookText"/>
        <w:rPr/>
      </w:pPr>
      <w:r>
        <w:rPr>
          <w:rFonts w:ascii="Amiri" w:hAnsi="Amiri" w:eastAsia="Amiri" w:cs="Amiri"/>
          <w:color w:val="111111"/>
          <w:sz w:val="28"/>
          <w:sz w:val="28"/>
          <w:szCs w:val="28"/>
          <w:rtl w:val="true"/>
          <w:lang w:bidi="ar-SA"/>
        </w:rPr>
        <w:t>الثانية لميلاد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الصلاح تقي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تصحيح الشيخ علي أكبر غفاري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بهلوان، على أكبر 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جاپ ونشر دار الحديث،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المؤمن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آثار 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آغا مجتبى العراقي، الشيخ علي بناه الاشتهاردي، الحاج </w:t>
      </w:r>
    </w:p>
    <w:p>
      <w:pPr>
        <w:pStyle w:val="BookText"/>
        <w:rPr/>
      </w:pPr>
      <w:r>
        <w:rPr>
          <w:rFonts w:ascii="Amiri" w:hAnsi="Amiri" w:eastAsia="Amiri" w:cs="Amiri"/>
          <w:color w:val="111111"/>
          <w:sz w:val="28"/>
          <w:sz w:val="28"/>
          <w:szCs w:val="28"/>
          <w:rtl w:val="true"/>
          <w:lang w:bidi="ar-SA"/>
        </w:rPr>
        <w:t>آغا حسين اليزدي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مطبعة خورشيد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سماحة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الرازي،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الحسن الشعراني،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131_75843"/>
      <w:bookmarkStart w:id="162" w:name="pg9131_75843"/>
      <w:bookmarkEnd w:id="162"/>
    </w:p>
    <w:p>
      <w:pPr>
        <w:pStyle w:val="Heading2"/>
        <w:numPr>
          <w:ilvl w:val="1"/>
          <w:numId w:val="1"/>
        </w:numPr>
        <w:rPr/>
      </w:pPr>
      <w:bookmarkStart w:id="163" w:name="pg9131_75843"/>
      <w:bookmarkStart w:id="164" w:name="__RefHeading___Toc2991732_2870459653"/>
      <w:bookmarkStart w:id="165" w:name="_Toc62"/>
      <w:bookmarkEnd w:id="163"/>
      <w:bookmarkEnd w:id="164"/>
      <w:r>
        <w:rPr>
          <w:rtl w:val="true"/>
        </w:rPr>
        <w:t>دراسات فقهيّة مقارنة بين قانون الأحوال الشّخصيّة العراقيّ ومشروع قانون الأحوال الشّخصيّة الجعفريّ</w:t>
      </w:r>
      <w:r>
        <w:rPr>
          <w:rtl w:val="true"/>
        </w:rPr>
        <w:t>: (</w:t>
      </w:r>
      <w:r>
        <w:rPr>
          <w:rtl w:val="true"/>
        </w:rPr>
        <w:t>الأحكام العامّة والزّواج أنموذجا</w:t>
      </w:r>
      <w:r>
        <w:rPr>
          <w:rtl w:val="true"/>
        </w:rPr>
        <w:t>) (</w:t>
      </w:r>
      <w:r>
        <w:rPr>
          <w:rtl w:val="true"/>
        </w:rPr>
        <w:t>الحلقة الأولى</w:t>
      </w:r>
      <w:r>
        <w:rPr>
          <w:rtl w:val="true"/>
        </w:rPr>
        <w:t xml:space="preserve">) - </w:t>
      </w:r>
      <w:r>
        <w:rPr>
          <w:rtl w:val="true"/>
        </w:rPr>
        <w:t xml:space="preserve">الشيخ يحيى السعداوي </w:t>
      </w:r>
      <w:r>
        <w:rPr>
          <w:rtl w:val="true"/>
        </w:rPr>
        <w:t>(</w:t>
      </w:r>
      <w:r>
        <w:rPr>
          <w:rtl w:val="true"/>
        </w:rPr>
        <w:t>دام عزه</w:t>
      </w:r>
      <w:r>
        <w:rPr>
          <w:rtl w:val="true"/>
        </w:rPr>
        <w:t>)</w:t>
      </w:r>
      <w:bookmarkEnd w:id="165"/>
    </w:p>
    <w:p>
      <w:pPr>
        <w:pStyle w:val="Heading3"/>
        <w:numPr>
          <w:ilvl w:val="2"/>
          <w:numId w:val="1"/>
        </w:numPr>
        <w:rPr/>
      </w:pPr>
      <w:bookmarkStart w:id="166" w:name="__RefHeading___Toc2991734_2870459653"/>
      <w:bookmarkStart w:id="167" w:name="_Toc63"/>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دراسات فقهيّة تتناول قانون الأحوال الشخصيّة العراقي ومدى مطابقته للشريعة الإسلامية، ومدى الاحتياج إلى تعديله، كما تتناول الموانع الفقهيّة عن تقنين الأحكام الشرعية ووضعها في قوالب ذات صياغة 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تسلّط الضوء على القانون الجعفري للأحوال الشخصيّة وإمكان جعله بديلاً عن قانون الأحوال الشخصيّة العراقي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تحاول إيجاد حلول لهذه التساؤلات بالمقارنة بين المذاهب الإسلامية، ومنها إلى القانونين المُشار إليهما</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131_75845"/>
      <w:bookmarkStart w:id="169" w:name="pg9131_75845"/>
      <w:bookmarkEnd w:id="169"/>
    </w:p>
    <w:p>
      <w:pPr>
        <w:pStyle w:val="Heading3"/>
        <w:numPr>
          <w:ilvl w:val="2"/>
          <w:numId w:val="1"/>
        </w:numPr>
        <w:rPr/>
      </w:pPr>
      <w:bookmarkStart w:id="170" w:name="pg9131_75845"/>
      <w:bookmarkStart w:id="171" w:name="__RefHeading___Toc2991736_2870459653"/>
      <w:bookmarkStart w:id="172" w:name="_Toc64"/>
      <w:bookmarkEnd w:id="170"/>
      <w:bookmarkEnd w:id="171"/>
      <w:r>
        <w:rPr>
          <w:rtl w:val="true"/>
        </w:rPr>
        <w:t>المقدّمة</w:t>
      </w:r>
      <w:bookmarkEnd w:id="1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خلق الإنسان، علّمه البيان، والصّلاة والسّلام على خير الأنام، محمّد وعترته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سبحانه وتعالى آدم وقرنه بحواء كأسرة أولى لنشوء البشرية، وأقرّها سبحانه وتعالى في جميع الأديان والتشريعات؛ لما فيها من سعادة البشرية وتنظيمها وتكاثرها وديمومتها؛ لذا بذلت المجتمعات الإنسانية سعيها الحثيث في تنظيم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صور السعي وطرقه ومقاديره بين المجتمعات والقوانين والتشريعات الدينية والمدنية، فالكنيسة جمعت شؤون الأسرة من النكاح والطلاق وتقييد المواليد والوراثة وغيرها بدعوى أنَّ السيّد المسيح هو الذي منحها سلطة التشريع والتحليل والتحريم، وأمّا الإسلام فقد وضع أحكام تنظيم الأسرة في فقه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الدول المدنية الحديثة فقد نظمته بما يسمى قانون الأحوال الشخصية، الذي ابتدعه الفقه الإيطالي لتنظيم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هذا المصطلح في البلدان الإسلامية في أواخر القرن التاسع عشر على يد الفقيه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قدري باشا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العراق كانت المحاكم المدنية تعطي حقّ النظر بقضاء الأحوال الشخصية على وفق المذهب الجعفري والسُنّي، وأجريت محاولات لتوحيد قانون الأحوال الشخصية </w:t>
      </w:r>
    </w:p>
    <w:p>
      <w:pPr>
        <w:pStyle w:val="BookText"/>
        <w:rPr/>
      </w:pPr>
      <w:r>
        <w:rPr>
          <w:rFonts w:ascii="Amiri" w:hAnsi="Amiri" w:eastAsia="Amiri" w:cs="Amiri"/>
          <w:color w:val="111111"/>
          <w:sz w:val="28"/>
          <w:sz w:val="28"/>
          <w:szCs w:val="28"/>
          <w:rtl w:val="true"/>
          <w:lang w:bidi="ar-SA"/>
        </w:rPr>
        <w:t xml:space="preserve">بين الطائفتين، ولكنها لم تفلح حتى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بعد الانقلاب على الحكم الملكي إذ نجح مشروع توحيده بقانون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المرجعية الدينية المتمثلة بالسيد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أبدت رأيها فيه وطالبت بإلغائه؛ لمخالفته الشريعة الإسلامية، وأيضاً طالبت بإلغائه بعد انقلاب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رمضان، وطالب الشيخ محمد رضا المظفر عميد كلية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القانون من أساسه، ورأى أنّه لا يقبل التعديل بالمذكرة التي رفعها إلى حكومة انقلاب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رمضان، مبيّناً مبرراته وآثار مخالفة الشريعة على المجتمع، ولكن الحكومة اكتفت بتعديل القانون في المادة الخاصة بالإرث، وأصبح بعد ذلك منهجاً يدرّس في كليات القانون في الجامعات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طلب منّي أحد الإخوة المشايخ الذين يدرّسون قانون الأحوال الشخصية في إحدى الجامعات العراقية أن نشترك في شرح قانون الأحوال الشخصية العراقي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وبدأنا المشروع في الأحكام العامة والزواج ونتيجة لانشغاله توقف المشروع وبقي أوراقاً مبعثرة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الإعلان عن تقديم مشروع قانون الأحوال الشخصية الجعفري إلى الحكومة وما أثاره من كلام بين مؤيدين ومعارضين، بدت لي فكرة لدراسة القانونين دراسة فقهية بين المذاهب الإسلامية؛ ليتّضح أنّ قانون الأحوال الشخصية العراقي هل هو مخالف للشريعة الإسلامية أم لا؟</w:t>
      </w:r>
    </w:p>
    <w:p>
      <w:pPr>
        <w:pStyle w:val="BookText"/>
        <w:rPr/>
      </w:pPr>
      <w:r>
        <w:rPr>
          <w:rFonts w:ascii="Amiri" w:hAnsi="Amiri" w:eastAsia="Amiri" w:cs="Amiri"/>
          <w:color w:val="111111"/>
          <w:sz w:val="28"/>
          <w:sz w:val="28"/>
          <w:szCs w:val="28"/>
          <w:rtl w:val="true"/>
          <w:lang w:bidi="ar-SA"/>
        </w:rPr>
        <w:t>وهل مشروع قانون الأحوال الشخصية الجعفري يصح أنْ يكون بديلاً عنه، أو يمكن أن نجمع عدّة قوانين كلّ واحد منها يستند إلى مذهب من المذاهب الإسلامية لتوحيد الأحكام القضائية في الدولة العراقية؟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هو المفهوم من تطبيق المادة الدستورية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الدائم التي </w:t>
      </w:r>
    </w:p>
    <w:p>
      <w:pPr>
        <w:pStyle w:val="BookText"/>
        <w:rPr/>
      </w:pPr>
      <w:r>
        <w:rPr>
          <w:rFonts w:ascii="Amiri" w:hAnsi="Amiri" w:eastAsia="Amiri" w:cs="Amiri"/>
          <w:color w:val="111111"/>
          <w:sz w:val="28"/>
          <w:sz w:val="28"/>
          <w:szCs w:val="28"/>
          <w:rtl w:val="true"/>
          <w:lang w:bidi="ar-SA"/>
        </w:rPr>
        <w:t>تدعو إلى حرية الالتزام بالأحوال الشخصية؟</w:t>
      </w:r>
    </w:p>
    <w:p>
      <w:pPr>
        <w:pStyle w:val="BookText"/>
        <w:rPr/>
      </w:pPr>
      <w:r>
        <w:rPr>
          <w:rFonts w:ascii="Amiri" w:hAnsi="Amiri" w:eastAsia="Amiri" w:cs="Amiri"/>
          <w:color w:val="111111"/>
          <w:sz w:val="28"/>
          <w:sz w:val="28"/>
          <w:szCs w:val="28"/>
          <w:rtl w:val="true"/>
          <w:lang w:bidi="ar-SA"/>
        </w:rPr>
        <w:t>أو نحتاج فقط إلى تعديل قانون الأحوال الشخصية العراقي بما يتوافق مع الدستور الدائم الحالي وموافقة الشريعة الإسلامية، وأسس الديمقراطية؟</w:t>
      </w:r>
    </w:p>
    <w:p>
      <w:pPr>
        <w:pStyle w:val="BookText"/>
        <w:rPr/>
      </w:pPr>
      <w:r>
        <w:rPr>
          <w:rFonts w:ascii="Amiri" w:hAnsi="Amiri" w:eastAsia="Amiri" w:cs="Amiri"/>
          <w:color w:val="111111"/>
          <w:sz w:val="28"/>
          <w:sz w:val="28"/>
          <w:szCs w:val="28"/>
          <w:rtl w:val="true"/>
          <w:lang w:bidi="ar-SA"/>
        </w:rPr>
        <w:t>وما المانع الفقهي والشرعي من تقنين وتدوين الأحكام الشرعية الإسلامية وصياغتها في قوانين؟</w:t>
      </w:r>
    </w:p>
    <w:p>
      <w:pPr>
        <w:pStyle w:val="BookText"/>
        <w:rPr/>
      </w:pPr>
      <w:r>
        <w:rPr>
          <w:rFonts w:ascii="Amiri" w:hAnsi="Amiri" w:eastAsia="Amiri" w:cs="Amiri"/>
          <w:color w:val="111111"/>
          <w:sz w:val="28"/>
          <w:sz w:val="28"/>
          <w:szCs w:val="28"/>
          <w:rtl w:val="true"/>
          <w:lang w:bidi="ar-SA"/>
        </w:rPr>
        <w:t>وهل يمكن معالجته، وولادة قانون أحوال شخصية إسلامي جديد يوحّد المسلمين في الأحوال الشخصية، ويكون بديلاً للقانون النافذ، ويتلاءم مع مقتضيات العصر، ويحلّ مشاكل المسلمين بالشكل الذي ينسجم وحياتهم العصرية، ويعالج المستحدثات الخاصة بشؤون الأشخاص؟</w:t>
      </w:r>
    </w:p>
    <w:p>
      <w:pPr>
        <w:pStyle w:val="BookText"/>
        <w:rPr/>
      </w:pPr>
      <w:r>
        <w:rPr>
          <w:rFonts w:ascii="Amiri" w:hAnsi="Amiri" w:eastAsia="Amiri" w:cs="Amiri"/>
          <w:color w:val="111111"/>
          <w:sz w:val="28"/>
          <w:sz w:val="28"/>
          <w:szCs w:val="28"/>
          <w:rtl w:val="true"/>
          <w:lang w:bidi="ar-SA"/>
        </w:rPr>
        <w:t>ولذا شرعت بهذا البحث وأسميته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دراسات فقهية مقارنة بين قانون الأحوال الشخصية العراقي ومشروع قانون الأحوال الشخصية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العامّة والزواج أنموذجاً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عدد الصفحات المسموح به للبحوث المنشورة في مجلّة دراسات علميّة محدّد فقد اختصرت البحث بفقرةٍ من الأحكام العامّة وفقرتين من كتاب الزواج كأنموذج من قانوني الأحوال الشخصية العراقي والجعفري، ورتبته في مبحثين وخاتمة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قانون الأحوال الشخصية العراقي وأسباب نشوئه وتعريفه لغةً واصطلاحاً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الأسس والمباني العامة لقانوني الأحوال الشخصية العراقي وقانون الأحوال الشخصية الجعفري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وفقهية لعنوان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عنوان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وفقهية للمادة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الزوجات، وما يقابلها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النتائج والمقترحات التي توصّلنا إليها من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بذلت غاية الوسع فيه، لإيجاد الفكرة وإخراجها من القوّة إلى الفعل، هذا والله أسأل أنْ يكون نافعاً ولا سيّما مع ما تضمّنه من الآراء المباركة للمجتهدين والمراجع العظام حفظ الله الباقين منهم ورحم الماضين، سائلين المولى عزّ وجلّ السداد والتوفيق وقبول الأعمال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يحيى السعداوي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ﻫ </w:t>
      </w:r>
      <w:bookmarkStart w:id="173" w:name="pg9131_75849"/>
    </w:p>
    <w:p>
      <w:pPr>
        <w:pStyle w:val="Heading3"/>
        <w:numPr>
          <w:ilvl w:val="2"/>
          <w:numId w:val="1"/>
        </w:numPr>
        <w:rPr/>
      </w:pPr>
      <w:bookmarkStart w:id="174" w:name="__RefHeading___Toc2991738_2870459653"/>
      <w:bookmarkStart w:id="175" w:name="_Toc65"/>
      <w:bookmarkEnd w:id="173"/>
      <w:bookmarkEnd w:id="174"/>
      <w:r>
        <w:rPr>
          <w:rtl w:val="true"/>
        </w:rPr>
        <w:t>المبحث الأوّل</w:t>
      </w:r>
      <w:bookmarkEnd w:id="175"/>
    </w:p>
    <w:p>
      <w:pPr>
        <w:pStyle w:val="Heading4"/>
        <w:numPr>
          <w:ilvl w:val="3"/>
          <w:numId w:val="1"/>
        </w:numPr>
        <w:rPr/>
      </w:pPr>
      <w:bookmarkStart w:id="176" w:name="__RefHeading___Toc2991740_2870459653"/>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تأريخ قانون الأحوال الشخصية العراقي وأسباب نشوئه وتعريفه لغةً واصطلاحاً ودراسة فقهية للمادة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الأحوال الشخصية الجعفري، وفيه مطلبان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991742_2870459653"/>
      <w:bookmarkStart w:id="179" w:name="_Toc67"/>
      <w:bookmarkEnd w:id="178"/>
      <w:r>
        <w:rPr>
          <w:rtl w:val="true"/>
        </w:rPr>
        <w:t>المطلب الأوّل</w:t>
      </w:r>
      <w:r>
        <w:rPr>
          <w:rtl w:val="true"/>
        </w:rPr>
        <w:t xml:space="preserve">: </w:t>
      </w:r>
      <w:r>
        <w:rPr>
          <w:rtl w:val="true"/>
        </w:rPr>
        <w:t>تأريخ قانون الأحوال الشخصية العراقي وأسباب نشوئه وتعريفه لغةً واصطلاحاً</w:t>
      </w:r>
      <w:bookmarkEnd w:id="179"/>
    </w:p>
    <w:p>
      <w:pPr>
        <w:pStyle w:val="Heading5"/>
        <w:numPr>
          <w:ilvl w:val="4"/>
          <w:numId w:val="1"/>
        </w:numPr>
        <w:rPr/>
      </w:pPr>
      <w:bookmarkStart w:id="180" w:name="__RefHeading___Toc2991744_2870459653"/>
      <w:bookmarkStart w:id="181" w:name="_Toc68"/>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وفيه مقصدان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991746_2870459653"/>
      <w:bookmarkStart w:id="183" w:name="_Toc69"/>
      <w:bookmarkEnd w:id="182"/>
      <w:r>
        <w:rPr>
          <w:rtl w:val="true"/>
        </w:rPr>
        <w:t>المقصد الأوّل</w:t>
      </w:r>
      <w:r>
        <w:rPr>
          <w:rtl w:val="true"/>
        </w:rPr>
        <w:t xml:space="preserve">: </w:t>
      </w:r>
      <w:r>
        <w:rPr>
          <w:rtl w:val="true"/>
        </w:rPr>
        <w:t>تأريخ قانون الأحوال الشخصية في العراق وأسباب نشوئه</w:t>
      </w:r>
      <w:bookmarkEnd w:id="183"/>
    </w:p>
    <w:p>
      <w:pPr>
        <w:pStyle w:val="BookText"/>
        <w:rPr/>
      </w:pP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قانوني ابتدعه الفقه الإيطالي في القرن الثاني عشر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ابتدأت حركة التقنين بالمعنى المعاصر في الدول الإسلامية في أواخر العهد العثماني في مجال القانون المدني، بيد أنّ حركة التقنين لم تبدأ بعد في مجال الأحوال الشخصية، إلّا أنّ جملة من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بشكل أو بآخر مجال الأنكحة والمواريث</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إلى نشوئه فظهر في أواخر القرن التاسع عشر على يد الفقيه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قدري باشا المتوفى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الذي قام بوضع مجموعة فقهيّة خاصّة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في الأحوال الشخصية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صدر القانون الوقتي للمرافعات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حقوق العائلة العثماني عام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أحكام الزواج والطلاق</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للسلطان بصفته خليفة للمسلمين حقّ الفرض على الأمة</w:t>
      </w:r>
      <w:r>
        <w:rPr>
          <w:rStyle w:val="FootnoteAnchor"/>
          <w:rtl w:val="true"/>
        </w:rPr>
        <w:footnoteReference w:id="163"/>
      </w:r>
      <w:r>
        <w:rPr>
          <w:rFonts w:ascii="Amiri" w:hAnsi="Amiri" w:eastAsia="Amiri" w:cs="Amiri"/>
          <w:color w:val="111111"/>
          <w:sz w:val="28"/>
          <w:sz w:val="28"/>
          <w:szCs w:val="28"/>
          <w:rtl w:val="true"/>
          <w:lang w:bidi="ar-SA"/>
        </w:rPr>
        <w:t>ولذا تصدّى المرجع الديني محمّد حسين آل كاشف الغطاء لشرح رأي الإمامية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والحاكمية عند الإمامية منصب إلهي لا دخل له بالسلطان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بعض مؤلّفي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كتب الفقه الإمامي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نراه في كتاب الأحكام الجعفرية في الأحوال الشخصية الذي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الكريم الحلي</w:t>
      </w:r>
      <w:r>
        <w:rPr>
          <w:rStyle w:val="FootnoteAnchor"/>
          <w:rtl w:val="true"/>
        </w:rPr>
        <w:footnoteReference w:id="165"/>
      </w:r>
      <w:r>
        <w:rPr>
          <w:rFonts w:ascii="Amiri" w:hAnsi="Amiri" w:eastAsia="Amiri" w:cs="Amiri"/>
          <w:color w:val="111111"/>
          <w:sz w:val="28"/>
          <w:sz w:val="28"/>
          <w:szCs w:val="28"/>
          <w:rtl w:val="true"/>
          <w:lang w:bidi="ar-SA"/>
        </w:rPr>
        <w:t xml:space="preserve">، والسيد أمير علي المتوفى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Style w:val="FootnoteAnchor"/>
          <w:rtl w:val="true"/>
        </w:rPr>
        <w:footnoteReference w:id="166"/>
      </w:r>
      <w:r>
        <w:rPr>
          <w:rFonts w:ascii="Amiri" w:hAnsi="Amiri" w:eastAsia="Amiri" w:cs="Amiri"/>
          <w:color w:val="111111"/>
          <w:sz w:val="28"/>
          <w:sz w:val="28"/>
          <w:szCs w:val="28"/>
          <w:rtl w:val="true"/>
          <w:lang w:bidi="ar-SA"/>
        </w:rPr>
        <w:t>، ويوسف بن علي الفقيه العاملي الحاريصي، الذي كان فقيهاً إمامياً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العراق ظهرت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المحاكم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تنصّ على تطبيق الأحكام الفقهية الخاصّة بتلك الطوائف على المنازعات المتعلّقة بأحوالهم الشخصيّة من قبل محاكم المواد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محاكم المواد الشخصية تعنى بالأحوال الشخصية لغير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تعديل بيان المحاكم عام</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ثمّ في قانون المحاكم الشرعية الصادر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وترسخت هذه العبارة بتشريع قانون الأحوال الشخصية للأجانب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p>
    <w:p>
      <w:pPr>
        <w:pStyle w:val="BookText"/>
        <w:rPr/>
      </w:pP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ديوان التدوين القانوني في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بمحاولة لإصدار قانون للأحوال الشخصية لتوحيد المسلمين، ووضعت لائحة لهذا المشروع لكنها تعثّرت كثيراً، ثمّ وضعت وزارة العدل في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مشروع قانون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لائحة قانون 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قانوناً متمّماً لمشروع القانون المدني، وقد تضمّن قانون الأحوال الشخصية للمذهبين الحنفي والجعفري كلّا ً على حدة، ولكنه لم يرَ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انقلاب الرابع عشر من تموز</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شكّل مجلس السيادة برئاسة نجيب الربيعي، وألّفت وزارة العدل العراقية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لجنة لوضع لائحة الأحوال الشخصية بدعوى تعزيز التوازن السياسي وتكفّل الحريات، واستطاعت اللجنة صياغة مشروع قانون للأحوال الشخصية، والذي عرف بقانون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Style w:val="FootnoteAnchor"/>
          <w:rtl w:val="true"/>
        </w:rPr>
        <w:footnoteReference w:id="169"/>
      </w:r>
      <w:r>
        <w:rPr>
          <w:rFonts w:ascii="Amiri" w:hAnsi="Amiri" w:eastAsia="Amiri" w:cs="Amiri"/>
          <w:color w:val="111111"/>
          <w:sz w:val="28"/>
          <w:sz w:val="28"/>
          <w:szCs w:val="28"/>
          <w:rtl w:val="true"/>
          <w:lang w:bidi="ar-SA"/>
        </w:rPr>
        <w:t>، وقد قال القاضي خروفة حول بعض 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راعت اللجنة أيضاً الانسجام بين أحكام القانون المدني في الوصية وبين ما ورد في هذه اللائحة من أحكام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عبد اللطيف الشوّاف أحد المكلفين بصياغة الدستور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 عبد الكريم القانون المدني، واطّلع على القسم الخاص بانتقال حقوق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 وطلب إضافة المواد كما وضعها السنهوري في القانون المدني إلى قانون الأحوال الشخصية، لتطبّق على المواريث كلّها، وبذلك نكون قد أكملنا نقص عدم وجود قسم للميراث في المشروع، بالإضافة إلى توحيد أحكام المذهبين </w:t>
      </w:r>
    </w:p>
    <w:p>
      <w:pPr>
        <w:pStyle w:val="BookText"/>
        <w:rPr/>
      </w:pPr>
      <w:r>
        <w:rPr>
          <w:rFonts w:ascii="Amiri" w:hAnsi="Amiri" w:eastAsia="Amiri" w:cs="Amiri"/>
          <w:color w:val="111111"/>
          <w:sz w:val="28"/>
          <w:sz w:val="28"/>
          <w:szCs w:val="28"/>
          <w:rtl w:val="true"/>
          <w:lang w:bidi="ar-SA"/>
        </w:rPr>
        <w:t>السُنّي والجعفري في هذه المسألة الهامّة من مسائل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الشوّاف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الكريم رفض التحذيرات من استغلال هذا النصّ واعتبار الحكومة ضدّ الشريعة الإسلامية مستنداً إلى رأي أبداه رئيس مجلس السيادة نجيب الربيعي بأنّ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القرآن بصيغة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المادة يعدّ مخالفاً لنصّ القرآن الكريم الصريح؛ ولذا أبدت المرجعية الدينية المتمثّلة بالسيد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رأيها فيه وطالبت بإلغائه؛ لمخالفته الشريعة الإسلامية في عدّة 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البعثيون بانقلاب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 عام</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وطالبتهم المرجعية الدينية أيضاً بإلغاء القانون، وكذا الشيخ محمّد رضا المظفر رفع مذكرة إلى حكومة الانقلاب بالمبررات الملحة لإلغاء قانون الأحوال الشخصية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وأنّه لا يقبل التعديل؛ فكان موقفه داعماً لموقف المرجعية الدينية المطالب بالإلغاء، ومبيّناً مبرراته من مخالفته الشريعة، وصريح القرآن الكريم، وخروجه عن إجماع المسلمين، وما يخالف بعض المذاهب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أبدى العلّامة السيد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حدّد طبيعة القضاء وهي لا تحدّد بالقانون، وإنّما بالشرع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أصدروا التعديل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لإيقاف العمل بالموادّ المتعلّقة </w:t>
      </w:r>
    </w:p>
    <w:p>
      <w:pPr>
        <w:pStyle w:val="BookText"/>
        <w:rPr/>
      </w:pPr>
      <w:r>
        <w:rPr>
          <w:rFonts w:ascii="Amiri" w:hAnsi="Amiri" w:eastAsia="Amiri" w:cs="Amiri"/>
          <w:color w:val="111111"/>
          <w:sz w:val="28"/>
          <w:sz w:val="28"/>
          <w:szCs w:val="28"/>
          <w:rtl w:val="true"/>
          <w:lang w:bidi="ar-SA"/>
        </w:rPr>
        <w:t>بالمواريث، وتطبيق فقه المذاهب بدلاً منها؛ ليكون لِلذَّكَرِ مِثْلُ حَظِّ الْأُنثَيَيْنِ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المرجعية الدينيّة استمرت في مطالبتها بإلغاء القانون بنحو كلّي، وأنّ وجود مثل هذا القانون يعطي القاضي سلطة الفقيه، ويسدّ باب الاجتهاد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الدستور المؤقت لسنة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وضع مادة صريحة لطمأنة المؤسسة الدينيّة،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الإرث حقّ تحكمه الشريعة الإسلامية</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المرجعيّة الدينيّة لا تكتفي إلّا بإلغائه كما جاء في رسالة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إرجاع الأمور إلى العهد الذي كانت عليه سيرة المسلمين منذ أيام الخلافة الإسلاميّة، وإنّ موقفنا هذا هو نفس الموقف الذي وقفناه منذ صدور القانون حتى يومنا هذا، وإلى أنْ يتمّ رفعه</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مطابق لموقف مالك بن أنس حين أراد أبو جعفر المنصور ومن بعده الرشيد اختيار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قضائياً للدولة العباسيّة، فنهاهما مالك من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في الفروع وتفرقوا في البلدان، وكلٌّ مصيب</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ومطابق أيضاً لعلماء الأزهر حين جمعهم محمد علي باشا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 أنْ أحكم بشيء حرّمه الله، لكن اجتمِعُوا وضعوا لي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وصلنا إلى شيء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تفلح اللجنة الّتي شُكّلت في مصر من كبار العلماء في أوائل عام</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w:t>
      </w:r>
      <w:bookmarkStart w:id="184" w:name="pg9131_75854"/>
    </w:p>
    <w:p>
      <w:pPr>
        <w:pStyle w:val="BookText"/>
        <w:rPr/>
      </w:pPr>
      <w:bookmarkEnd w:id="184"/>
      <w:r>
        <w:rPr>
          <w:rFonts w:ascii="Amiri" w:hAnsi="Amiri" w:eastAsia="Amiri" w:cs="Amiri"/>
          <w:color w:val="111111"/>
          <w:sz w:val="28"/>
          <w:sz w:val="28"/>
          <w:szCs w:val="28"/>
          <w:rtl w:val="true"/>
          <w:lang w:bidi="ar-SA"/>
        </w:rPr>
        <w:t>لتقنين قانون للأسرة يستنبط من المذاهب الأربعة ويختار منها، بحيث يؤخذ من كلّ مذهب ما يكون صالحاً وفقاً لروح العصر، رغم إعدادها لائحةً بهذا الشأن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ما تقدّم من سيرة المسلمين غير المتصلة بالمعصوم لكن الواقع إننا بحاجة إلى وجود قانون عصريّ في مجال الأحوال الشخصية خصوصاً؛ لأنّه يشكّل أساساً لوحدة الشعب العراقي، وانطلاقةً لبناء العائلة العراقية التي تقدّر فيها المرأة بما أعطاها الإسلام من الحرية، وبشكلٍ تراعى فيه المواثيق والاتفاقيّات الدوليّة، ويُعدُّ دفاعاً عن قيم الحضارة والتمدّن بما يسمح به الدستور الإسلامي</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991748_2870459653"/>
      <w:bookmarkStart w:id="186" w:name="_Toc70"/>
      <w:bookmarkEnd w:id="185"/>
      <w:r>
        <w:rPr>
          <w:rtl w:val="true"/>
        </w:rPr>
        <w:t>المقصد الآخر</w:t>
      </w:r>
      <w:r>
        <w:rPr>
          <w:rtl w:val="true"/>
        </w:rPr>
        <w:t xml:space="preserve">: </w:t>
      </w:r>
      <w:r>
        <w:rPr>
          <w:rtl w:val="true"/>
        </w:rPr>
        <w:t>تعريف قانون الأحوال الشخصية لغةً واصطلاحاً</w:t>
      </w:r>
      <w:bookmarkEnd w:id="186"/>
    </w:p>
    <w:p>
      <w:pPr>
        <w:pStyle w:val="Heading6"/>
        <w:numPr>
          <w:ilvl w:val="5"/>
          <w:numId w:val="1"/>
        </w:numPr>
        <w:rPr/>
      </w:pPr>
      <w:bookmarkStart w:id="187" w:name="__RefHeading___Toc2991750_2870459653"/>
      <w:bookmarkStart w:id="188" w:name="_Toc71"/>
      <w:bookmarkEnd w:id="187"/>
      <w:r>
        <w:rPr>
          <w:rtl w:val="true"/>
        </w:rPr>
        <w:t>الفرع الأوّل</w:t>
      </w:r>
      <w:r>
        <w:rPr>
          <w:rtl w:val="true"/>
        </w:rPr>
        <w:t xml:space="preserve">: </w:t>
      </w:r>
      <w:r>
        <w:rPr>
          <w:rtl w:val="true"/>
        </w:rPr>
        <w:t>تعريف الأحوال، والشخصية، والتقنين، والقانون لغةً</w:t>
      </w:r>
      <w:bookmarkEnd w:id="188"/>
    </w:p>
    <w:p>
      <w:pPr>
        <w:pStyle w:val="Heading6"/>
        <w:numPr>
          <w:ilvl w:val="5"/>
          <w:numId w:val="1"/>
        </w:numPr>
        <w:rPr/>
      </w:pPr>
      <w:bookmarkStart w:id="189" w:name="__RefHeading___Toc2991752_2870459653"/>
      <w:bookmarkStart w:id="190" w:name="_Toc72"/>
      <w:bookmarkEnd w:id="189"/>
      <w:r>
        <w:rPr>
          <w:rtl w:val="true"/>
        </w:rPr>
        <w:t>أوّلاً</w:t>
      </w:r>
      <w:r>
        <w:rPr>
          <w:rtl w:val="true"/>
        </w:rPr>
        <w:t xml:space="preserve">: </w:t>
      </w:r>
      <w:r>
        <w:rPr>
          <w:rtl w:val="true"/>
        </w:rPr>
        <w:t>الأحوال لغةً</w:t>
      </w:r>
      <w:bookmarkEnd w:id="1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تؤنّث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حسنة</w:t>
      </w:r>
      <w:r>
        <w:rPr>
          <w:rStyle w:val="FootnoteAnchor"/>
          <w:rtl w:val="true"/>
        </w:rPr>
        <w:footnoteReference w:id="180"/>
      </w:r>
      <w:r>
        <w:rPr>
          <w:rFonts w:ascii="Amiri" w:hAnsi="Amiri" w:eastAsia="Amiri" w:cs="Amiri"/>
          <w:color w:val="111111"/>
          <w:sz w:val="28"/>
          <w:sz w:val="28"/>
          <w:szCs w:val="28"/>
          <w:rtl w:val="true"/>
          <w:lang w:bidi="ar-SA"/>
        </w:rPr>
        <w:t>، والحال تذكّر وتؤنّث وتجمع على الأحوال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 الإنسانُ وغيرُه، من الأمورِ المتغيِّرة، في نَفسِه وبَدَنِه وقُنْيَتِه</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اقتنى يقتني اقتناء،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لنفسه، لا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يُستَعْمَلُ في اللّغَةِ للصِّفةِ التي عليها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حال الإنسان وأحواله</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كينَة الإنسان وما هو عليه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الشيء وكيفيّته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1" w:name="pg9131_75855"/>
    </w:p>
    <w:p>
      <w:pPr>
        <w:pStyle w:val="BookText"/>
        <w:rPr/>
      </w:pPr>
      <w:bookmarkEnd w:id="191"/>
      <w:r>
        <w:rPr>
          <w:rFonts w:ascii="Amiri" w:hAnsi="Amiri" w:eastAsia="Amiri" w:cs="Amiri"/>
          <w:color w:val="111111"/>
          <w:sz w:val="28"/>
          <w:sz w:val="28"/>
          <w:szCs w:val="28"/>
          <w:rtl w:val="true"/>
          <w:lang w:bidi="ar-SA"/>
        </w:rPr>
        <w:t>والفرق بين الشأن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لا يقال إلّا فيما يعظم من الأحوال والأمور، فكل حال شأن، ولا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الراغب</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2991754_2870459653"/>
      <w:bookmarkStart w:id="193" w:name="_Toc73"/>
      <w:bookmarkEnd w:id="192"/>
      <w:r>
        <w:rPr>
          <w:rtl w:val="true"/>
        </w:rPr>
        <w:t>ثانياً</w:t>
      </w:r>
      <w:r>
        <w:rPr>
          <w:rtl w:val="true"/>
        </w:rPr>
        <w:t xml:space="preserve">: </w:t>
      </w:r>
      <w:r>
        <w:rPr>
          <w:rtl w:val="true"/>
        </w:rPr>
        <w:t>الشخصية لغةً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الإنسان وغيره تراه من بعد، وكلّ شيء رأيت جسمانه فقد رأيت شخصه،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والأشخاص</w:t>
      </w:r>
      <w:r>
        <w:rPr>
          <w:rStyle w:val="FootnoteAnchor"/>
          <w:rtl w:val="true"/>
        </w:rPr>
        <w:footnoteReference w:id="187"/>
      </w:r>
      <w:r>
        <w:rPr>
          <w:rFonts w:ascii="Amiri" w:hAnsi="Amiri" w:eastAsia="Amiri" w:cs="Amiri"/>
          <w:color w:val="111111"/>
          <w:sz w:val="28"/>
          <w:sz w:val="28"/>
          <w:szCs w:val="28"/>
          <w:rtl w:val="true"/>
          <w:lang w:bidi="ar-SA"/>
        </w:rPr>
        <w:t>وجمعه في القلّة أشخص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الشخص، بيّن الشخاصة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له ارتفاع وظهور</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الشخص مذكر</w:t>
      </w:r>
      <w:r>
        <w:rPr>
          <w:rStyle w:val="FootnoteAnchor"/>
          <w:rtl w:val="true"/>
        </w:rPr>
        <w:footnoteReference w:id="189"/>
      </w:r>
      <w:r>
        <w:rPr>
          <w:rFonts w:ascii="Amiri" w:hAnsi="Amiri" w:eastAsia="Amiri" w:cs="Amiri"/>
          <w:color w:val="111111"/>
          <w:sz w:val="28"/>
          <w:sz w:val="28"/>
          <w:szCs w:val="28"/>
          <w:rtl w:val="true"/>
          <w:lang w:bidi="ar-SA"/>
        </w:rPr>
        <w:t>والأُنْثى شَخِيصةٌ، والاسمُ الشَّخاصةُ 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أَسمع له بفِعْلٍ فأَقول إِنَّ الشَّخاصة مصدر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2991756_2870459653"/>
      <w:bookmarkStart w:id="195" w:name="_Toc74"/>
      <w:bookmarkEnd w:id="194"/>
      <w:r>
        <w:rPr>
          <w:rtl w:val="true"/>
        </w:rPr>
        <w:t>ثالثاً</w:t>
      </w:r>
      <w:r>
        <w:rPr>
          <w:rtl w:val="true"/>
        </w:rPr>
        <w:t xml:space="preserve">: </w:t>
      </w:r>
      <w:r>
        <w:rPr>
          <w:rtl w:val="true"/>
        </w:rPr>
        <w:t>الأحوال الشخصية لغةً</w:t>
      </w:r>
      <w:bookmarkEnd w:id="1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 الشيء يحول حؤولاً في معنيين، يكون تغييراً، ويكون تحويلاً</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الشخص يحول إذا تحرّك وكذلك كل متحول عن حالة، ومنه قولهم استحلت الشخص أي نظرت هل يتحرّك</w:t>
      </w:r>
      <w:r>
        <w:rPr>
          <w:rStyle w:val="FootnoteAnchor"/>
          <w:rtl w:val="true"/>
        </w:rPr>
        <w:footnoteReference w:id="192"/>
      </w:r>
      <w:r>
        <w:rPr>
          <w:rFonts w:ascii="Amiri" w:hAnsi="Amiri" w:eastAsia="Amiri" w:cs="Amiri"/>
          <w:color w:val="111111"/>
          <w:sz w:val="28"/>
          <w:sz w:val="28"/>
          <w:szCs w:val="28"/>
          <w:rtl w:val="true"/>
          <w:lang w:bidi="ar-SA"/>
        </w:rPr>
        <w:t>، فكأَنَّ القائل إِذا قال لا حَوْلَ ولا قُوَّة إِلَّا بالله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حَركة ولا استطاعة إِلا بمشيئة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96" w:name="pg9131_75856"/>
    </w:p>
    <w:p>
      <w:pPr>
        <w:pStyle w:val="Heading6"/>
        <w:numPr>
          <w:ilvl w:val="5"/>
          <w:numId w:val="1"/>
        </w:numPr>
        <w:rPr/>
      </w:pPr>
      <w:bookmarkStart w:id="197" w:name="__RefHeading___Toc2991758_2870459653"/>
      <w:bookmarkStart w:id="198" w:name="_Toc75"/>
      <w:bookmarkEnd w:id="196"/>
      <w:bookmarkEnd w:id="197"/>
      <w:r>
        <w:rPr>
          <w:rtl w:val="true"/>
        </w:rPr>
        <w:t>رابعاً</w:t>
      </w:r>
      <w:r>
        <w:rPr>
          <w:rtl w:val="true"/>
        </w:rPr>
        <w:t xml:space="preserve">: </w:t>
      </w:r>
      <w:r>
        <w:rPr>
          <w:rtl w:val="true"/>
        </w:rPr>
        <w:t>التقنين لغةً من قنن</w:t>
      </w:r>
      <w:bookmarkEnd w:id="198"/>
    </w:p>
    <w:p>
      <w:pPr>
        <w:pStyle w:val="BookText"/>
        <w:rPr/>
      </w:pPr>
      <w:r>
        <w:rPr>
          <w:rFonts w:ascii="Amiri" w:hAnsi="Amiri" w:eastAsia="Amiri" w:cs="Amiri"/>
          <w:color w:val="111111"/>
          <w:sz w:val="28"/>
          <w:sz w:val="28"/>
          <w:szCs w:val="28"/>
          <w:rtl w:val="true"/>
          <w:lang w:bidi="ar-SA"/>
        </w:rPr>
        <w:t>قال الفراهيدي والجوهري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الليف، ويجمع على قنن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قنن الأنوق تبيض في قنة الجبل وفي قنن الجبال</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الزبيدي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الأَخْبارِ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2991760_2870459653"/>
      <w:bookmarkStart w:id="200" w:name="_Toc76"/>
      <w:bookmarkEnd w:id="199"/>
      <w:r>
        <w:rPr>
          <w:rtl w:val="true"/>
        </w:rPr>
        <w:t>خامساً</w:t>
      </w:r>
      <w:r>
        <w:rPr>
          <w:rtl w:val="true"/>
        </w:rPr>
        <w:t xml:space="preserve">: </w:t>
      </w:r>
      <w:r>
        <w:rPr>
          <w:rtl w:val="true"/>
        </w:rPr>
        <w:t>القانون لغةً</w:t>
      </w:r>
      <w:bookmarkEnd w:id="20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تحديد أصل هذا اللفظ، فالرأي الغالب أنه ليس بعربي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عربي الأصل مادةً وشكلاً، ومادته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ووجدته أقرب معنى للقانون، وقنت الشيء أقينه 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لممته وأصلحته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الهادي البصير بالماء تحت الأرض</w:t>
      </w:r>
      <w:r>
        <w:rPr>
          <w:rStyle w:val="FootnoteAnchor"/>
          <w:rtl w:val="true"/>
        </w:rPr>
        <w:footnoteReference w:id="200"/>
      </w:r>
      <w:r>
        <w:rPr>
          <w:rFonts w:ascii="Amiri" w:hAnsi="Amiri" w:eastAsia="Amiri" w:cs="Amiri"/>
          <w:color w:val="111111"/>
          <w:sz w:val="28"/>
          <w:sz w:val="28"/>
          <w:szCs w:val="28"/>
          <w:rtl w:val="true"/>
          <w:lang w:bidi="ar-SA"/>
        </w:rPr>
        <w:t>ولذا ذكره صاحب مختار الصحاح</w:t>
      </w:r>
      <w:r>
        <w:rPr>
          <w:rStyle w:val="FootnoteAnchor"/>
          <w:rtl w:val="true"/>
        </w:rPr>
        <w:footnoteReference w:id="201"/>
      </w:r>
      <w:r>
        <w:rPr>
          <w:rFonts w:ascii="Amiri" w:hAnsi="Amiri" w:eastAsia="Amiri" w:cs="Amiri"/>
          <w:color w:val="111111"/>
          <w:sz w:val="28"/>
          <w:sz w:val="28"/>
          <w:szCs w:val="28"/>
          <w:rtl w:val="true"/>
          <w:lang w:bidi="ar-SA"/>
        </w:rPr>
        <w:t>ضمن مادة قنن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الواحد قانون</w:t>
      </w:r>
      <w:r>
        <w:rPr>
          <w:rStyle w:val="FootnoteAnchor"/>
          <w:rtl w:val="true"/>
        </w:rPr>
        <w:footnoteReference w:id="202"/>
      </w:r>
      <w:r>
        <w:rPr>
          <w:rFonts w:ascii="Amiri" w:hAnsi="Amiri" w:eastAsia="Amiri" w:cs="Amiri"/>
          <w:color w:val="111111"/>
          <w:sz w:val="28"/>
          <w:sz w:val="28"/>
          <w:szCs w:val="28"/>
          <w:rtl w:val="true"/>
          <w:lang w:bidi="ar-SA"/>
        </w:rPr>
        <w:t>،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كل شيء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w:t>
      </w:r>
      <w:r>
        <w:rPr>
          <w:rStyle w:val="FootnoteAnchor"/>
          <w:rtl w:val="true"/>
        </w:rPr>
        <w:footnoteReference w:id="203"/>
      </w:r>
      <w:r>
        <w:rPr>
          <w:rFonts w:ascii="Amiri" w:hAnsi="Amiri" w:eastAsia="Amiri" w:cs="Amiri"/>
          <w:color w:val="111111"/>
          <w:sz w:val="28"/>
          <w:sz w:val="28"/>
          <w:szCs w:val="28"/>
          <w:rtl w:val="true"/>
          <w:lang w:bidi="ar-SA"/>
        </w:rPr>
        <w:t xml:space="preserve">، وشكلاً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الكمال وبذل الجهد، وأيضاً لم أجد هذا المعنى في كتب اللغة ووجدت أنّ فاعول من الحجر المنع</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bookmarkStart w:id="201" w:name="pg9131_75857"/>
    </w:p>
    <w:p>
      <w:pPr>
        <w:pStyle w:val="BookText"/>
        <w:rPr/>
      </w:pPr>
      <w:bookmarkEnd w:id="201"/>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فَعْلان أن يكُونَ مؤنَّثه بغير زيادة إلا الألفَ كَرَيَّانَ ورَيَّا وسَكْرانَ وسَكْرَى</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يوناني أو 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مسطر الكتابة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التحقيق في عربية اللفظ من عدمها؛ لعدم الاستفادة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يطلقون لفظ الشريعة على القواعد القانونية ولفظة القانون تطلق بمعناها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القاعدة المطردة ولم تستعمل لفظة القانون بمعناها 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منتصف القرن التاسع</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2991762_2870459653"/>
      <w:bookmarkStart w:id="203" w:name="_Toc77"/>
      <w:bookmarkEnd w:id="202"/>
      <w:r>
        <w:rPr>
          <w:rtl w:val="true"/>
        </w:rPr>
        <w:t>الفرع الثاني</w:t>
      </w:r>
      <w:r>
        <w:rPr>
          <w:rtl w:val="true"/>
        </w:rPr>
        <w:t xml:space="preserve">: </w:t>
      </w:r>
      <w:r>
        <w:rPr>
          <w:rtl w:val="true"/>
        </w:rPr>
        <w:t>تعريف الأحوال الشخصية والتقنين والقانون اصطلاحاً</w:t>
      </w:r>
      <w:bookmarkEnd w:id="203"/>
    </w:p>
    <w:p>
      <w:pPr>
        <w:pStyle w:val="Heading6"/>
        <w:numPr>
          <w:ilvl w:val="5"/>
          <w:numId w:val="1"/>
        </w:numPr>
        <w:rPr/>
      </w:pPr>
      <w:bookmarkStart w:id="204" w:name="__RefHeading___Toc2991764_2870459653"/>
      <w:bookmarkStart w:id="205" w:name="_Toc78"/>
      <w:bookmarkEnd w:id="204"/>
      <w:r>
        <w:rPr>
          <w:rtl w:val="true"/>
        </w:rPr>
        <w:t>أولاً</w:t>
      </w:r>
      <w:r>
        <w:rPr>
          <w:rtl w:val="true"/>
        </w:rPr>
        <w:t xml:space="preserve">: </w:t>
      </w:r>
      <w:r>
        <w:rPr>
          <w:rtl w:val="true"/>
        </w:rPr>
        <w:t>الأحوال الشخصية اصطلاحاً</w:t>
      </w:r>
      <w:bookmarkEnd w:id="205"/>
    </w:p>
    <w:p>
      <w:pPr>
        <w:pStyle w:val="BookText"/>
        <w:rPr/>
      </w:pPr>
      <w:r>
        <w:rPr>
          <w:rFonts w:ascii="Amiri" w:hAnsi="Amiri" w:eastAsia="Amiri" w:cs="Amiri"/>
          <w:color w:val="111111"/>
          <w:sz w:val="28"/>
          <w:sz w:val="28"/>
          <w:szCs w:val="28"/>
          <w:rtl w:val="true"/>
          <w:lang w:bidi="ar-SA"/>
        </w:rPr>
        <w:t xml:space="preserve">قد جاء في الموسوعة العربية الميسرة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ما يتميّز به الإنسان عن غيره من الصفات الطبيعية أو العائلية التي رتّب القانون عليها أثراً قانونياً في حياته الاجتماعية، مثل كونه ذكراً أو أنثى وكونه زوجاً أو أرملاً أو مطلقاً، أو أباً أو ابناً شرعياً، أو كونه تام الأهلّية أو ناقصها لصغر سنٍ أو عتهٍ أو جنون، أو كونه مطلق الأهلية أو مقيدها لسبب من أسبابها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حدّدت محكمة النقض المصرية في </w:t>
      </w:r>
      <w:r>
        <w:rPr>
          <w:rFonts w:eastAsia="Amiri" w:cs="Amiri" w:ascii="Amiri" w:hAnsi="Amiri"/>
          <w:color w:val="111111"/>
          <w:sz w:val="28"/>
          <w:szCs w:val="28"/>
          <w:lang w:bidi="ar-SA"/>
        </w:rPr>
        <w:t>21/6/1934</w:t>
      </w:r>
      <w:r>
        <w:rPr>
          <w:rFonts w:ascii="Amiri" w:hAnsi="Amiri" w:eastAsia="Amiri" w:cs="Amiri"/>
          <w:color w:val="111111"/>
          <w:sz w:val="28"/>
          <w:sz w:val="28"/>
          <w:szCs w:val="28"/>
          <w:rtl w:val="true"/>
          <w:lang w:bidi="ar-SA"/>
        </w:rPr>
        <w:t>م هذا المعنى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2991766_2870459653"/>
      <w:bookmarkStart w:id="207" w:name="_Toc79"/>
      <w:bookmarkEnd w:id="206"/>
      <w:r>
        <w:rPr>
          <w:rtl w:val="true"/>
        </w:rPr>
        <w:t>ثانياً</w:t>
      </w:r>
      <w:r>
        <w:rPr>
          <w:rtl w:val="true"/>
        </w:rPr>
        <w:t xml:space="preserve">: </w:t>
      </w:r>
      <w:r>
        <w:rPr>
          <w:rtl w:val="true"/>
        </w:rPr>
        <w:t>التقنين اصطلاحاً</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عرَّفه الأستاذ صبحي المحمصاني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صياغةُ الأحكامِ الشرعيةِ في عباراتٍ إلزاميةٍ، لأجْلِ تنفيذها والعمل بموجبها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9131_75858"/>
    </w:p>
    <w:p>
      <w:pPr>
        <w:pStyle w:val="BookText"/>
        <w:rPr/>
      </w:pPr>
      <w:bookmarkEnd w:id="2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بأنّه صياغة الأحكام في صورة مواد قانونية مرتّبة مرقمة، على غرار القوانين الحديثة من مدنية وجنائية وإدارية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لتكون مرجعاً سهلاً محدداً، يمكن بيسر أن يتقيّد به القضاة، ويرجع إليه المحامون، ويتعامل على أساسه المواطنون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الدكتور وهبة الزحيلي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صياغة أحكام المعاملات وغيرها من عقود ونظريات ممهّدة لها، جامعة لإطارها، في صورة مواد قانونية، يسهل الرجوع إليها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2991768_2870459653"/>
      <w:bookmarkStart w:id="210" w:name="_Toc80"/>
      <w:bookmarkEnd w:id="209"/>
      <w:r>
        <w:rPr>
          <w:rtl w:val="true"/>
        </w:rPr>
        <w:t>ثالثاً</w:t>
      </w:r>
      <w:r>
        <w:rPr>
          <w:rtl w:val="true"/>
        </w:rPr>
        <w:t xml:space="preserve">: </w:t>
      </w:r>
      <w:r>
        <w:rPr>
          <w:rtl w:val="true"/>
        </w:rPr>
        <w:t>القانون اصطلاحاً</w:t>
      </w:r>
      <w:bookmarkEnd w:id="210"/>
    </w:p>
    <w:p>
      <w:pPr>
        <w:pStyle w:val="BookText"/>
        <w:rPr/>
      </w:pPr>
      <w:r>
        <w:rPr>
          <w:rFonts w:ascii="Amiri" w:hAnsi="Amiri" w:eastAsia="Amiri" w:cs="Amiri"/>
          <w:color w:val="111111"/>
          <w:sz w:val="28"/>
          <w:sz w:val="28"/>
          <w:szCs w:val="28"/>
          <w:rtl w:val="true"/>
          <w:lang w:bidi="ar-SA"/>
        </w:rPr>
        <w:t>القانون بمعناه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القواعد القانونية التي تسنّها السلطة المختصة بالتشريع في دولة ما لتنظيم أمر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يرادف التشريع، وهو القانون المدوّن الذي تضعه السلطة التشريعية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قانون الأحوال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لتعريف الأحوال الشخصية وبيان ما تعنيه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مجموعة القواعد القانونية التي تنظّم ما يتميّز به الإنسان من غيره من الصفات الطبيعية أو العائلية التي رتّب القانون عليها أثراً قانونياً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والصفات الطبيعية والعائلية ككونه إنساناً، ذكراً أو أنثى، وكونه زوجاً أو أرملاً أو مطلقاً، أو ابناً شرعياً، أو كونه تام الأهلية أو ناقصها؛ لصغر سن أو عته أو جنون أو كونه مطلق الأهلية أو مقيّدها بسبب من أسبابها القانونية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2991770_2870459653"/>
      <w:bookmarkStart w:id="212" w:name="_Toc81"/>
      <w:bookmarkEnd w:id="211"/>
      <w:r>
        <w:rPr>
          <w:rtl w:val="true"/>
        </w:rPr>
        <w:t>الفرع الثالث</w:t>
      </w:r>
      <w:r>
        <w:rPr>
          <w:rtl w:val="true"/>
        </w:rPr>
        <w:t xml:space="preserve">: </w:t>
      </w:r>
      <w:r>
        <w:rPr>
          <w:rtl w:val="true"/>
        </w:rPr>
        <w:t>الفرق بين التدوين والتقنين والقانون</w:t>
      </w:r>
      <w:bookmarkEnd w:id="212"/>
    </w:p>
    <w:p>
      <w:pPr>
        <w:pStyle w:val="Heading6"/>
        <w:numPr>
          <w:ilvl w:val="5"/>
          <w:numId w:val="1"/>
        </w:numPr>
        <w:rPr/>
      </w:pPr>
      <w:bookmarkStart w:id="213" w:name="__RefHeading___Toc2991772_2870459653"/>
      <w:bookmarkStart w:id="214" w:name="_Toc82"/>
      <w:bookmarkEnd w:id="213"/>
      <w:r>
        <w:rPr/>
        <w:t>1</w:t>
      </w:r>
      <w:r>
        <w:rPr>
          <w:rtl w:val="true"/>
        </w:rPr>
        <w:t xml:space="preserve">. </w:t>
      </w:r>
      <w:r>
        <w:rPr>
          <w:rtl w:val="true"/>
        </w:rPr>
        <w:t>الفرق بين التدوين والتقنين</w:t>
      </w:r>
      <w:bookmarkEnd w:id="2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الباحثين أن التقنين والتدوين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وجود فرق بينهما، فالتدوين مصدر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bookmarkStart w:id="215" w:name="pg9131_75859"/>
    </w:p>
    <w:p>
      <w:pPr>
        <w:pStyle w:val="BookText"/>
        <w:rPr/>
      </w:pPr>
      <w:bookmarkEnd w:id="215"/>
      <w:r>
        <w:rPr>
          <w:rFonts w:ascii="Amiri" w:hAnsi="Amiri" w:eastAsia="Amiri" w:cs="Amiri"/>
          <w:color w:val="111111"/>
          <w:sz w:val="28"/>
          <w:sz w:val="28"/>
          <w:szCs w:val="28"/>
          <w:rtl w:val="true"/>
          <w:lang w:bidi="ar-SA"/>
        </w:rPr>
        <w:t>المرتبة، وتدوين الأحكام يعني صياغة الأحكام الشرعية، وترتيبها من دون إلزام بها ولا جزاء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الأحكام والقواعد وترتيبها على شكل موادّ قانونية لها صفة الإلزام والجزاء على من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علماً له منهج وطريقة خاصّة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991774_2870459653"/>
      <w:bookmarkStart w:id="217" w:name="_Toc83"/>
      <w:bookmarkEnd w:id="216"/>
      <w:r>
        <w:rPr/>
        <w:t>2</w:t>
      </w:r>
      <w:r>
        <w:rPr>
          <w:rtl w:val="true"/>
        </w:rPr>
        <w:t xml:space="preserve">. </w:t>
      </w:r>
      <w:r>
        <w:rPr>
          <w:rtl w:val="true"/>
        </w:rPr>
        <w:t>الفرق بين التقنين والقانون</w:t>
      </w:r>
      <w:bookmarkEnd w:id="217"/>
    </w:p>
    <w:p>
      <w:pPr>
        <w:pStyle w:val="BookText"/>
        <w:rPr/>
      </w:pPr>
      <w:r>
        <w:rPr>
          <w:rFonts w:ascii="Amiri" w:hAnsi="Amiri" w:eastAsia="Amiri" w:cs="Amiri"/>
          <w:color w:val="111111"/>
          <w:sz w:val="28"/>
          <w:sz w:val="28"/>
          <w:szCs w:val="28"/>
          <w:rtl w:val="true"/>
          <w:lang w:bidi="ar-SA"/>
        </w:rPr>
        <w:t xml:space="preserve">يتضح من تعريفهما اللغوي أنّهما إمّا من مادة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القانون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أنّ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القوانين وصياغة الأحكام بترقيم وترتيب موادها بصفة الإلزام والجزاء على من خالفها، وأمّا القانون فهو مجموعة القواعد بعد تقنينها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991776_2870459653"/>
      <w:bookmarkStart w:id="219" w:name="_Toc84"/>
      <w:bookmarkEnd w:id="218"/>
      <w:r>
        <w:rPr>
          <w:rtl w:val="true"/>
        </w:rPr>
        <w:t>المطلب الثاني</w:t>
      </w:r>
      <w:r>
        <w:rPr>
          <w:rtl w:val="true"/>
        </w:rPr>
        <w:t xml:space="preserve">: </w:t>
      </w:r>
      <w:r>
        <w:rPr>
          <w:rtl w:val="true"/>
        </w:rPr>
        <w:t>دراسة في الأسس والمباني العامّة لقانوني الأحوال الشخصيّة العراقي والجعفري</w:t>
      </w:r>
      <w:bookmarkEnd w:id="219"/>
    </w:p>
    <w:p>
      <w:pPr>
        <w:pStyle w:val="Heading5"/>
        <w:numPr>
          <w:ilvl w:val="4"/>
          <w:numId w:val="1"/>
        </w:numPr>
        <w:rPr/>
      </w:pPr>
      <w:bookmarkStart w:id="220" w:name="__RefHeading___Toc2991778_2870459653"/>
      <w:bookmarkStart w:id="221" w:name="_Toc85"/>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ذكر المشرّع العراقي قواعد عامّة في المادّتين الأولى والثانية من قانون الأحوال الشخصيّة العراقي سالكاً بذلك المسلك المتبع في القانون المدني</w:t>
      </w:r>
      <w:r>
        <w:rPr>
          <w:rStyle w:val="FootnoteAnchor"/>
          <w:rtl w:val="true"/>
        </w:rPr>
        <w:footnoteReference w:id="212"/>
      </w:r>
      <w:r>
        <w:rPr>
          <w:rFonts w:ascii="Amiri" w:hAnsi="Amiri" w:eastAsia="Amiri" w:cs="Amiri"/>
          <w:color w:val="111111"/>
          <w:sz w:val="28"/>
          <w:sz w:val="28"/>
          <w:szCs w:val="28"/>
          <w:rtl w:val="true"/>
          <w:lang w:bidi="ar-SA"/>
        </w:rPr>
        <w:t>، وهو منهج عام لتطبيق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مشرّع مشروع قانون الأحوال الشخصيّة الجعفري نصّاً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991780_2870459653"/>
      <w:bookmarkStart w:id="223" w:name="_Toc86"/>
      <w:bookmarkEnd w:id="222"/>
      <w:r>
        <w:rPr>
          <w:rtl w:val="true"/>
        </w:rPr>
        <w:t>المادة الأولى</w:t>
      </w:r>
      <w:r>
        <w:rPr>
          <w:rtl w:val="true"/>
        </w:rPr>
        <w:t xml:space="preserve">: </w:t>
      </w:r>
      <w:r>
        <w:rPr>
          <w:rtl w:val="true"/>
        </w:rPr>
        <w:t>سريان وتطبيق قانون الأحوال الشخصيّة، ومصادر قانون الأحوال الشخصيّة</w:t>
      </w:r>
      <w:bookmarkEnd w:id="223"/>
    </w:p>
    <w:p>
      <w:pPr>
        <w:pStyle w:val="Heading6"/>
        <w:numPr>
          <w:ilvl w:val="5"/>
          <w:numId w:val="1"/>
        </w:numPr>
        <w:rPr/>
      </w:pPr>
      <w:bookmarkStart w:id="224" w:name="__RefHeading___Toc2991782_2870459653"/>
      <w:bookmarkStart w:id="225" w:name="_Toc8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النصوص وتطبيقها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 النصوص التشريعيّة في هذا القانون على جميع المسائل التي تتناول هذه النصوص في لفظها أو في فحواها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المادة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مشروع قانون الأحوال الشخصية الجعفري، حيث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 النصوص التشريعية في هذا القانون على جميع المسائل التي تتناولها هذه النصوص في لفظها أو في فحواها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والفقرتان من المادّتين لا فرق بينهما نصّاً إلّا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الذي شرّع مشروع قانون الأحوال الشخصيّة الجعفريّ نقلها نصاً بإضافة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أثر لإضافة هذه الكلمة؛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في الاستعمال اللغوي، فكلاهما بمعنى ما يُفهم من الكلام ومعناه؛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يعرف من مذهب الكلام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وهذا هو المعنى الأول،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المدلول باسم الدال، كما أنّ له معنى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الكلام فهو ما ظهر للفهم من مطاوي الكلام ظهور رائحة الفحا من القدر كفهم الضرب من الأف</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يطابق المعنى الاصطلاحي لمفهوم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وفهمت ما تضمّنه كتابك، أي ما اشتمل عليه وكان في ضمنه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 عطف تفسير للفحوى إن كانت الفحوى بالمعنى اللغوي،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بحث معمّق؛ لاختلاف معناها بين اللغة والاصطلاح وبين المذاهب الفقهية، ولا يسعه هذا المختصر، ولكن نشير إليه باختصار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نصّ المادة الأولى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القانونين </w:t>
      </w:r>
    </w:p>
    <w:p>
      <w:pPr>
        <w:pStyle w:val="BookText"/>
        <w:rPr/>
      </w:pPr>
      <w:r>
        <w:rPr>
          <w:rFonts w:ascii="Amiri" w:hAnsi="Amiri" w:eastAsia="Amiri" w:cs="Amiri"/>
          <w:color w:val="111111"/>
          <w:sz w:val="28"/>
          <w:sz w:val="28"/>
          <w:szCs w:val="28"/>
          <w:rtl w:val="true"/>
          <w:lang w:bidi="ar-SA"/>
        </w:rPr>
        <w:t>العراقي والجعفري ليس بالمعنى الاصطلاحي الفقهي وهو المعنى اللغوي الثاني؛ ولذا أشكل الزلمي</w:t>
      </w:r>
      <w:r>
        <w:rPr>
          <w:rStyle w:val="FootnoteAnchor"/>
          <w:rtl w:val="true"/>
        </w:rPr>
        <w:footnoteReference w:id="21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إشكال الزلمي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لفظها أو في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منها المعنى اللغوي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أو عند الحنفية دلالة النصّ، وليس المعنى اللغوي الثاني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الغالب عند فقهاء المسلمين؛ ولذا اقترح الزلمي أن يكون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بمنطوقها ومفهومها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لفظها أو في فحواها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حملنا اللفظ على حكم اللفظ والفحوى على حكم الفحوى فلا يرد الإشكال على النصّ، وأنّه شامل للمنطوق والمفهوم، ولكن لا يشمل مفهوم المخالفة؛ لأنّ الفحوى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يتّضح لي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شرّاح القانون، وإن كان قد يبدو أنَّهم يحملونه على المعنى اللغوي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معناه في الفقه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بالاصطلاح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فالمشرّع بهذه العبارة ألزم القضاة بالمصدر الأصلي وهو نصوص القانون، وعليهم الالتزام بأخذ الأحكام من ألفاظ النصوص وعباراتها، واستنباط الأحكام من فحوى النصوص ومعانيها، ولا يجوز لهم الانتقال إلى مصدر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التأكّد من خلوّ النصّ لفظاً وفحوى من الانطباق على القضية المعروضة أمامهم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والفقرتان تبيّنان سريان نصوص هذا القانون، وتطبيقها، والمصدر الأصلي لها، </w:t>
      </w:r>
      <w:bookmarkStart w:id="226" w:name="pg9131_75862"/>
    </w:p>
    <w:p>
      <w:pPr>
        <w:pStyle w:val="BookText"/>
        <w:rPr/>
      </w:pPr>
      <w:bookmarkEnd w:id="226"/>
      <w:r>
        <w:rPr>
          <w:rFonts w:ascii="Amiri" w:hAnsi="Amiri" w:eastAsia="Amiri" w:cs="Amiri"/>
          <w:color w:val="111111"/>
          <w:sz w:val="28"/>
          <w:sz w:val="28"/>
          <w:szCs w:val="28"/>
          <w:rtl w:val="true"/>
          <w:lang w:bidi="ar-SA"/>
        </w:rPr>
        <w:t>فتشمل كلّ واقعة ينطبق عليها أي نصّ من نصوص هذا القانون وتكون مصداقاً له، سواء أكان هذا الانطباق لفظاً أم فحوى، فهذا التشريع واجب التطبيق وملزم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ولدراسة الفقرتين دراسة فقهيّة يلزم أن نبحث في موقف الفقه الإسلامي من التقنين وتدوين النصوص القانونية أولاً، وإلزام القضاة بها ثانياً، ولكن البحث لا يختصّ بالبحث عن التدوين أو التقنين؛ لأنّ تدوين الأحكام الشرعية أمر مستحب كما سنثبته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التقنين فهو أمر مستحدث أجازه بعض الفقهاء ومنعه آخرون؛ ولذا سنختصر البحث فيهما، ونتوسع في البحث عن المانع الفقهي الشرعي من تقنين وتدوين الأحكام الشرعية وتوحيد قانون يحكم المسلمين، وهو تقييد القضاة بمذهب معيّن وإلزامهم به، وهو عين السبب الذي جعل مالك يرفض أن يكون كتابه المُوطّأ مرجعاً للقضاء؛ ولذا سنبحث هذا المطلب في مقصدين</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2991784_2870459653"/>
      <w:bookmarkStart w:id="228" w:name="_Toc88"/>
      <w:bookmarkEnd w:id="227"/>
      <w:r>
        <w:rPr>
          <w:rtl w:val="true"/>
        </w:rPr>
        <w:t>المقصد الأوّل</w:t>
      </w:r>
      <w:r>
        <w:rPr>
          <w:rtl w:val="true"/>
        </w:rPr>
        <w:t xml:space="preserve">: </w:t>
      </w:r>
      <w:r>
        <w:rPr>
          <w:rtl w:val="true"/>
        </w:rPr>
        <w:t>التقنين أو تدوين الأحكام الشرعية ثبوتاً وإثباتاً</w:t>
      </w:r>
      <w:bookmarkEnd w:id="228"/>
    </w:p>
    <w:p>
      <w:pPr>
        <w:pStyle w:val="Heading6"/>
        <w:numPr>
          <w:ilvl w:val="5"/>
          <w:numId w:val="1"/>
        </w:numPr>
        <w:rPr/>
      </w:pPr>
      <w:bookmarkStart w:id="229" w:name="__RefHeading___Toc2991786_2870459653"/>
      <w:bookmarkStart w:id="230" w:name="_Toc89"/>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991788_2870459653"/>
      <w:bookmarkStart w:id="232" w:name="_Toc90"/>
      <w:bookmarkEnd w:id="231"/>
      <w:r>
        <w:rPr>
          <w:rtl w:val="true"/>
        </w:rPr>
        <w:t>الفرع الأوّل</w:t>
      </w:r>
      <w:r>
        <w:rPr>
          <w:rtl w:val="true"/>
        </w:rPr>
        <w:t xml:space="preserve">: </w:t>
      </w:r>
      <w:r>
        <w:rPr>
          <w:rtl w:val="true"/>
        </w:rPr>
        <w:t>تدوين الأحكام الشرعية وصياغتها في القوانين ثبوتاً</w:t>
      </w:r>
      <w:bookmarkEnd w:id="232"/>
    </w:p>
    <w:p>
      <w:pPr>
        <w:pStyle w:val="BookText"/>
        <w:rPr/>
      </w:pPr>
      <w:r>
        <w:rPr>
          <w:rFonts w:ascii="Amiri" w:hAnsi="Amiri" w:eastAsia="Amiri" w:cs="Amiri"/>
          <w:color w:val="111111"/>
          <w:sz w:val="28"/>
          <w:sz w:val="28"/>
          <w:szCs w:val="28"/>
          <w:rtl w:val="true"/>
          <w:lang w:bidi="ar-SA"/>
        </w:rPr>
        <w:t>وسنذكر هنا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تدوين القوانين في الدولة الإسلامية كما يقول الشيخ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الخلفاء يختارون القضاة أوّل الأمر من المجتهدين لا من مقلّديهم، ولكنّهم فيما بعد آثروا اختيارهم من المقلّدين، ليقيّدوهم بمذهب معين، ويعيّنوا لهم ما يحكمون على أساسه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تدوين القوانين في الدولة الإسلامية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القضاة مقلّدون لا مجتهدون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القضاة بمذهب معيّن يرتضيه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تشريعات الخلفاء حسب مصالحهم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والإشكالات على تقنين الأحكام الشرعية وتدوينها وإلزام القضاة بها وسلبياته ومميزاته وإيجابياته حسب الواقع والحاجة إلى ذلك ثبوتاً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أذكر ما استفدته من دراستي للفقه والقانون ومن مطالعاتي للمقالات وما كتب في هذا الموضوع وأصيغه بشكل إشكالات والردّ عليه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والمانع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الفقهية تكفّلت بتنظيم كلّ ما يتعلّق بالإنسان من عبادات ومعاملات وإيقاعات وحدود وديات وما يستحدث منها، وهذا يعني تنظيم الأحكام الشخصية والمدنية والجنائية للمكلّف، مضافاً إلى كون باب الاجتهاد مفتوحاً وهذا ممّا يقوّي ملكة الاجتهاد والقدرة على الاستنباط بما يواكب العصر، فما الداعي لتدوين قوانين أُخر؟</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الكتب الفقهية تكتب من طرف أهل العلم وليست أحكاماً باتَّة نافذة ملزِمة للناس كالقانون، ولا توجد آلية متبعة لكتابة الأحكام المدونة، وأغلبها ليس لها ضابط موضوعي،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 الفقه يستحيل ثبوت موضوع لها</w:t>
      </w:r>
      <w:r>
        <w:rPr>
          <w:rStyle w:val="FootnoteAnchor"/>
          <w:rtl w:val="true"/>
        </w:rPr>
        <w:footnoteReference w:id="218"/>
      </w:r>
      <w:r>
        <w:rPr>
          <w:rFonts w:ascii="Amiri" w:hAnsi="Amiri" w:eastAsia="Amiri" w:cs="Amiri"/>
          <w:color w:val="111111"/>
          <w:sz w:val="28"/>
          <w:sz w:val="28"/>
          <w:szCs w:val="28"/>
          <w:rtl w:val="true"/>
          <w:lang w:bidi="ar-SA"/>
        </w:rPr>
        <w:t>بمعنى لا موضوع لعلم الفقه؛ لذا نحتاج إلى تدوينها وصياغتها بقوانين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والمانع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الفقهية للمذاهب الإسلامية ذكرت جميع المسائل التي يحتاج إليها القاضي في جميع أبواب الفقه، فيلزم القاضي الحكم بها من دون الحاجة إلى الاستعانة بالقوانين الأُخر المستندة إلى شرائع أُخر أو أهواء الحكام ومصالح الدول، ويساعد القاضي على تحقيق العدل والحكم بالحقّ بظاهر الشريعة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تدوين القوانين الذي يقتصر على النصوص المدوّنة في كلّ قانون فهي غير شاملة لجميع المسائل التي يحتاج إليها القاضي؛ فتكون ذريعة للقاضي للاستعانة بقوانين لا تستند إلى الشريعة الإسلامية، وتحدّ من الوصول إلى الحكم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القضاة إلى أمّهات الكتب الفقهية واختلافها في الآراء والأساليب والأدلة يكون سبباً لتأخير فضّ النزاعات التي قد تسبّب مشاكل أكبر، وقد يؤدي إلى ترك القاضي واجتهاده، فيختلف الحكم في قضية واحدة، فتنعدم وحدة الأحكام القضائية، فيختل العدل والحكم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تدوينها فيساهم في وحدة الأحكام القضائية، ويتحقق الحكم بالحقّ والعدل؛ ولذا نحتاجُ في تدوين القوانين من الأحكام الشرعية الإسلامية إلى آليةٍ معينة لتكون معيناً لا ينضب ومصدراً أساساً أو رئيساً للتشريع يغطي جميع الأحكام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والمانع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التقنين بدعة وخطوة تمهيدية لهجر أحكام الشريعة، والانتقال إلى القوانين الوضعية وسلب سلطة فقهاء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يؤدي إلى إلزام الأمة إما بمذهب فقهي معيّن، وإمّا بنصّ ليس من شرع الله في شيء، وهو مدخلٌ للتبديل والتغيير في أحكام الشريعة بزيادة أو نقصان، أو تبديل أو تعديل ممّا يستلزم الحكم بغير ما أنزل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الأحكام الشرعية ليس بدعة بل سُنّة كما سنثبت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التقنين فيعدّ تطوّراً في تدوين الأحكام الشرعية، ولا يعدّ هجراً للشريعة؛ لأنّه رجوع إلى فقهاء الأمة في التشريع، وعدم سلب سلطتهم خصوصاً إذا نصّ قانون المحكمة الاتّحادية على الرجوع إلى فقهاء الشريعة حيث يعدّ من أركان الدولة المدنية، فيواكب التطوّر من جهة، ويطبّق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بالحقّ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فتدوين الأحكام الشرعية بخلاصة ما وصل إليه الفقه الإسلامي يجمع بين الأحكام الثابتة والأحكام المتغيرة، ويبقى باب الاجتهاد للمشرّع مفتوحاً يرجع إليه القاضي عند عدم وجود نصّ ينطبق على القضية المطروحة أمامه، فنحافظ على روح الشريعة الإسلامية ومقاصدها وعدم الجمود على النص، ويسهل على القاضي تحصيل الحكم الشرعي واختصار الجهد والوقت، ويعلم الناس سلفاً ما تخضع له معاملاتهم وعقودهم من الأحكام، فيتحقّق العدل والحكم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والمانع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الدستور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حرية الفرد في الأحوال الشخصية، فيحتم على المشرّع الرجوع إلى المذاهب الفقهية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المسلمين بمذهبٍ معيّنٍ خلافاً لمذاهبهم له آثاره على الفرد والمجتمع، وهذا ليس من صالح الدولة؛ لأنه يفتح مسارب الجريمة والتحلّل الخلقي أمام أبناء البلد؛ لأنّها تؤدّي إلى إماتة الإخلاص فيهم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علمي وحقيق بالاهتمام، وكلّ أطروحة لتوحيد القانون يجب أن تأخذ بعين الاعتبار هذا الإشكال، ويمكن حلّه بوضع مادة خاصة واختيارية تجيز الرجوع إلى المذاهب الفقهية كما في مسألة القسّام الشرعي في القانون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إنّ عدم تدوين القانون الموحّد يحوّل التعدّد والتنوع العراقي في المذاهب والأعراق من حالة تمنح القوّة والتجدد والتآلف إلى حالة تنتج الفرقة، ويضع الفرد والأسرة تحت سلطة السلطات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قانون عصري موحّد لكل العراقيين في الأحوال الشخصية، وبشكل تراعى فيه المواثيق والاتفاقيات الدولية يعدّ دفاعاً عن قيم الحضارة والتمدّن ومفهوم المواطنة؛ لأنّه يشكّل أساساً لبناء العائلة العراقية ووحدة الشعب العراقي</w:t>
      </w:r>
      <w:r>
        <w:rPr>
          <w:rFonts w:eastAsia="Amiri" w:cs="Amiri" w:ascii="Amiri" w:hAnsi="Amiri"/>
          <w:color w:val="111111"/>
          <w:sz w:val="28"/>
          <w:szCs w:val="28"/>
          <w:rtl w:val="true"/>
          <w:lang w:bidi="ar-SA"/>
        </w:rPr>
        <w:t xml:space="preserve">. </w:t>
      </w:r>
      <w:bookmarkStart w:id="233" w:name="pg9131_75866"/>
    </w:p>
    <w:p>
      <w:pPr>
        <w:pStyle w:val="BookText"/>
        <w:rPr/>
      </w:pPr>
      <w:bookmarkEnd w:id="233"/>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التقنين وتدوين الأحكام الشرعية وصياغتها في قوانين أمر راجح عقلاً وواقعاً، وأمّا الإشكالات التي ذكرت فيمكن معالجتها ودفعها بما ذكرنا</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2991790_2870459653"/>
      <w:bookmarkStart w:id="235" w:name="_Toc91"/>
      <w:bookmarkEnd w:id="234"/>
      <w:r>
        <w:rPr>
          <w:rtl w:val="true"/>
        </w:rPr>
        <w:t>الفرع الآخر</w:t>
      </w:r>
      <w:r>
        <w:rPr>
          <w:rtl w:val="true"/>
        </w:rPr>
        <w:t xml:space="preserve">: </w:t>
      </w:r>
      <w:r>
        <w:rPr>
          <w:rtl w:val="true"/>
        </w:rPr>
        <w:t>دراسة فقهية في تدوين الأحكام الشرعية وصياغتها في قوانين إثباتاً نقلاً</w:t>
      </w:r>
      <w:bookmarkEnd w:id="235"/>
    </w:p>
    <w:p>
      <w:pPr>
        <w:pStyle w:val="Heading6"/>
        <w:numPr>
          <w:ilvl w:val="5"/>
          <w:numId w:val="1"/>
        </w:numPr>
        <w:rPr/>
      </w:pPr>
      <w:bookmarkStart w:id="236" w:name="__RefHeading___Toc2991792_2870459653"/>
      <w:bookmarkStart w:id="237" w:name="_Toc9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وسأتناول في هذا الفرع حرمة التقنين والرد عليها بشكل عام للاختصار المناسب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المذهب السلفي من أبرز المذاهب الإسلامية التي ذهبت إلى حرمة 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والإلزام بالراجح، واستدلوا بالقرآن والسنّة والإجماع، وأنّ تقنين الأحكام الشرعية وإلزام القضاة بالحكم بها هو خلاف ما عليه الإجماع العملي للقرون المفضلة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الرّد على أدلة حرمة التقنين بنحوين</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2991794_2870459653"/>
      <w:bookmarkStart w:id="239" w:name="_Toc93"/>
      <w:bookmarkEnd w:id="238"/>
      <w:r>
        <w:rPr>
          <w:rtl w:val="true"/>
        </w:rPr>
        <w:t>الأوّل</w:t>
      </w:r>
      <w:r>
        <w:rPr>
          <w:rtl w:val="true"/>
        </w:rPr>
        <w:t xml:space="preserve">: </w:t>
      </w:r>
      <w:r>
        <w:rPr>
          <w:rtl w:val="true"/>
        </w:rPr>
        <w:t>الرّد حلّا ً</w:t>
      </w:r>
      <w:bookmarkEnd w:id="239"/>
    </w:p>
    <w:p>
      <w:pPr>
        <w:pStyle w:val="Heading6"/>
        <w:numPr>
          <w:ilvl w:val="5"/>
          <w:numId w:val="1"/>
        </w:numPr>
        <w:rPr/>
      </w:pPr>
      <w:bookmarkStart w:id="240" w:name="__RefHeading___Toc2991796_2870459653"/>
      <w:bookmarkStart w:id="241" w:name="_Toc94"/>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فقد استدل القائلون بحرمة التقنين بالأدلة الآتية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2991798_2870459653"/>
      <w:bookmarkStart w:id="243" w:name="_Toc95"/>
      <w:bookmarkEnd w:id="242"/>
      <w:r>
        <w:rPr/>
        <w:t>1</w:t>
      </w:r>
      <w:r>
        <w:rPr>
          <w:rtl w:val="true"/>
        </w:rPr>
        <w:t xml:space="preserve">. </w:t>
      </w:r>
      <w:r>
        <w:rPr>
          <w:rtl w:val="true"/>
        </w:rPr>
        <w:t>القرآن الكريم</w:t>
      </w:r>
      <w:bookmarkEnd w:id="243"/>
    </w:p>
    <w:p>
      <w:pPr>
        <w:pStyle w:val="BookText"/>
        <w:rPr/>
      </w:pP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حَكَمْتَ فَاحْكُم بَيْنَهُمْ بِالْقِسْطِ إِنَّ اللّهَ يُحِبُّ الْمُقْسِطِينَ</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w:t>
      </w:r>
      <w:r>
        <w:rPr>
          <w:rStyle w:val="FootnoteAnchor"/>
          <w:rtl w:val="true"/>
        </w:rPr>
        <w:footnoteReference w:id="221"/>
      </w:r>
      <w:r>
        <w:rPr>
          <w:rFonts w:ascii="Amiri" w:hAnsi="Amiri" w:eastAsia="Amiri" w:cs="Amiri"/>
          <w:color w:val="111111"/>
          <w:sz w:val="28"/>
          <w:sz w:val="28"/>
          <w:szCs w:val="28"/>
          <w:rtl w:val="true"/>
          <w:lang w:bidi="ar-SA"/>
        </w:rPr>
        <w:t>، وآيات أُخر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والقِسْطُ والعَدْلُ أنْ يَحكمَ القاضي بما يَدينُ اللهَ به مِنَ الحقِّ، لا بما أُلزِمَ به مِن تَقنينٍ قد </w:t>
      </w:r>
      <w:bookmarkStart w:id="244" w:name="pg9131_75867"/>
    </w:p>
    <w:p>
      <w:pPr>
        <w:pStyle w:val="BookText"/>
        <w:rPr/>
      </w:pPr>
      <w:bookmarkEnd w:id="244"/>
      <w:r>
        <w:rPr>
          <w:rFonts w:ascii="Amiri" w:hAnsi="Amiri" w:eastAsia="Amiri" w:cs="Amiri"/>
          <w:color w:val="111111"/>
          <w:sz w:val="28"/>
          <w:sz w:val="28"/>
          <w:szCs w:val="28"/>
          <w:rtl w:val="true"/>
          <w:lang w:bidi="ar-SA"/>
        </w:rPr>
        <w:t>يرى الحقَّ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 الله نبيّه أنَّ فرضاً عليه وعلى مَن قبله والناس إذا حكموا أنْ يحكموا بالعدل، والعدل اتباع حكمه المنزل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والتقنين إنما هو إلزامٌ بالتقليد، ويكون كثيراً في أقوال مرجوحة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الاستدلال بالآيتين ليس بصحيح؛ لأنّ الآية الأولى 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للحكم بين أهل الكتاب وتخيّره بين الحكم بينهم وبين الإعراض عنهم، وهو مختصّ بالحكم لا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الآية الأخرى فهي أجنبية عما نحن فيه؛ لأنها في مقام بيان مفترض الطاعة،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ورسوله وأولي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دليلاً إذا كتب القانون على الأهواء والمصالح كبعض أحكام قانون الأحوال الشخصية العراقي النافذ؛ لذا تصدّى له فقهاء الأمة وطالبوا بإلغائه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التقنين بتدوين الأحكام الشرعية الثابتة من الكتاب والسُنَّة وغيرهما من الأدلة فيعدّ رجوعاً وإطاعة لله ورسوله وأولي الأمر الذين فرض الله علينا طاعتهم فهي تثبته ولا تنفيه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991800_2870459653"/>
      <w:bookmarkStart w:id="246" w:name="_Toc96"/>
      <w:bookmarkEnd w:id="245"/>
      <w:r>
        <w:rPr/>
        <w:t>2</w:t>
      </w:r>
      <w:r>
        <w:rPr>
          <w:rtl w:val="true"/>
        </w:rPr>
        <w:t xml:space="preserve">. </w:t>
      </w:r>
      <w:r>
        <w:rPr>
          <w:rtl w:val="true"/>
        </w:rPr>
        <w:t>السُنَّة الشريفة</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الجنةِ، واثنانِ في النارِ، فأمَّا الذي في الجنةِ فَرَجُلٌ عَرَفَ الحقَّ فقَضَى به، ورجُلٌ عَرَفَ الحقَّ فجارَ في الحكمِ فَهُوَ في النارِ، </w:t>
      </w:r>
      <w:bookmarkStart w:id="247" w:name="pg9131_75868"/>
    </w:p>
    <w:p>
      <w:pPr>
        <w:pStyle w:val="BookText"/>
        <w:rPr/>
      </w:pPr>
      <w:bookmarkEnd w:id="247"/>
      <w:r>
        <w:rPr>
          <w:rFonts w:ascii="Amiri" w:hAnsi="Amiri" w:eastAsia="Amiri" w:cs="Amiri"/>
          <w:color w:val="111111"/>
          <w:sz w:val="28"/>
          <w:sz w:val="28"/>
          <w:szCs w:val="28"/>
          <w:rtl w:val="true"/>
          <w:lang w:bidi="ar-SA"/>
        </w:rPr>
        <w:t>ورجُلٌ قَضَى للناسِ على جَهْلٍ فَهُوَ في النَّارِ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 بأنّ الرواية وإنْ كانت معتبرة عندهم،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الأربعة، وصحّحه الحاكم،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 عليه الألباني في الإرواء،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عزا الحافظ ثم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عند النسائي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أنه في الكبرى</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وهو كذلك، وعندنا أيضاً مع اختلاف بعض الألفاظ إلّا أنّها خارجة موضوعاً حيث إنّها واردة في صفات القاضي وحكمه؛ وبهذا استدل النووي على أنّ القاضي لا بُدَّ أن يكون عالماً بالأحكام، فلا علاقة لها بالتقنين وتدوين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991802_2870459653"/>
      <w:bookmarkStart w:id="249" w:name="_Toc97"/>
      <w:bookmarkEnd w:id="248"/>
      <w:r>
        <w:rPr/>
        <w:t>3</w:t>
      </w:r>
      <w:r>
        <w:rPr>
          <w:rtl w:val="true"/>
        </w:rPr>
        <w:t xml:space="preserve">. </w:t>
      </w:r>
      <w:r>
        <w:rPr>
          <w:rtl w:val="true"/>
        </w:rPr>
        <w:t>الإجماع</w:t>
      </w:r>
      <w:bookmarkEnd w:id="2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 العلماءُ على تحريم الحكم والفتيا بالهوى، وبقولٍ أَوْ وَجْهٍ مِنْ غَيْرِ نَظَرٍ فِي التَّرْجِيحِ ويجبُ العملُ بمُوجبِ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على أنّ من استبانت له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أن يدعها لقول أحد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عليه أنَّ الصحابة أجمعت على جوازِ الأخذِ بكلِّ واحدٍ من القولين، وعلى بُطلانِ ما عدا ذلك</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إلزَامَ النَّاسِ بما لَمْ يُلزِمهُم 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بهِ باطلٌ بإجماعِ المسلمينَ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هيئة كبار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تقنين الأحكام الشرعية وإلزام القضاة بالحكم بها هو خلاف ما عليه الإجماع العملي للقرون المفضلة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والرد على الإجماعات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الإجماع الذي ذكره ابن تيمية في تحريم الحكم بالهوى فهو يدلّ على وجوب الحكم بالنظر والاجتهاد، وأن يحكم باجتهاده، إنْ ثبت الإجماع، وحينئذٍ فهو يصحّ أن يكون دليلاً على إلزام القضاة المجتهدين باجتهاد غيرهم أو بالأحكام الوضعية التي لا تستند إلى الأحكام الشرعية الإسلامية والتدوين إن كان بمذهب معين أيضاً، ولا يصح دليلاً على تدوين القوانين من الأحكام الشرعية، وترك القاضي واجتهاده في المسائل الخلافية إنْ كان مجتهداً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استدلوا به من الإجماع العملي للقرون المفضلّة فهو صحيح، وهذا ما أكده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اعتراضه على قانون الأحوال الشخصية العراقي وسمّاه سيرة المسلمين، ويصحّ أن يكون دليلاً على التدوين بمذهب معين، وإلزام القاضي </w:t>
      </w:r>
      <w:bookmarkStart w:id="250" w:name="pg9131_75870"/>
    </w:p>
    <w:p>
      <w:pPr>
        <w:pStyle w:val="BookText"/>
        <w:rPr/>
      </w:pPr>
      <w:bookmarkEnd w:id="250"/>
      <w:r>
        <w:rPr>
          <w:rFonts w:ascii="Amiri" w:hAnsi="Amiri" w:eastAsia="Amiri" w:cs="Amiri"/>
          <w:color w:val="111111"/>
          <w:sz w:val="28"/>
          <w:sz w:val="28"/>
          <w:szCs w:val="28"/>
          <w:rtl w:val="true"/>
          <w:lang w:bidi="ar-SA"/>
        </w:rPr>
        <w:t>المجتهد به، ولا يصحّ الاستدلال به إنْ كان القاضي مقلِّداً، أو عاميّاً، أو أنَّ التدوين يخصّ الثابت والمتواتر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يخالف حكماً شرعياً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 الذي ذكره الشافعي فيصحّ الاستدلال به على أهل الحداثة وتدوين القوانين من الشرائع الأُخر وعلى الهوى والمصالح، وكذا على القاضي الذي علم بالحكم الشرعي وحكم بغيره، ولا يصحّ دليلاً على تدوين الأحكام الشرعية وصياغتها في قوانين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 الذي ذكره الخطيب البغدادي فهو على إحداث أقوال مقابل ما نقل من أقوال الصحابة، فلا علاقة له بتدوين الأحكام الشرعية الثابتة من الصحابة، ولا يصحّ دليلاً على تدوين الأحكام الشرعية وصياغتها في 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ذكره ابن تيمية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إلزَامَ النَّاسِ بما لَمْ يُلزِمهُم 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للقاضي الذي يحكم بغير ما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حرام لا إشكال فيه عند المسلمين، ولا يصحّ دليلاً على حرمة التقنين الذي هو تدوين الأحكام الشرعية الثابتة بالدليل وأنّها حكم الله ورسوله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991804_2870459653"/>
      <w:bookmarkStart w:id="252" w:name="_Toc98"/>
      <w:bookmarkEnd w:id="251"/>
      <w:r>
        <w:rPr>
          <w:rtl w:val="true"/>
        </w:rPr>
        <w:t>الآخر</w:t>
      </w:r>
      <w:r>
        <w:rPr>
          <w:rtl w:val="true"/>
        </w:rPr>
        <w:t xml:space="preserve">: </w:t>
      </w:r>
      <w:r>
        <w:rPr>
          <w:rtl w:val="true"/>
        </w:rPr>
        <w:t>الردّ على حرمة التقنين نقضاً</w:t>
      </w:r>
      <w:bookmarkEnd w:id="252"/>
    </w:p>
    <w:p>
      <w:pPr>
        <w:pStyle w:val="BookText"/>
        <w:rPr/>
      </w:pPr>
      <w:r>
        <w:rPr>
          <w:rFonts w:ascii="IRNazanin" w:hAnsi="IRNazanin" w:eastAsia="IRNazanin"/>
          <w:color w:val="111111"/>
          <w:sz w:val="28"/>
          <w:sz w:val="28"/>
          <w:szCs w:val="28"/>
          <w:rtl w:val="true"/>
          <w:lang w:bidi="fa-IR"/>
        </w:rPr>
        <w:t xml:space="preserve">إنّ تدوين الأحكام الشرعية ممّا حثّ الرسول والأئمة عليه، وهومن فعله وفعلهم صلوات ربي عليه وعليهم؛ فتدوين الأحكام أمرٌ واقع كما في تدوين الصحيفة التي نقل أنها من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وورثها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تحدّث عنها أئمة أهل البيت، وشاهدها بعض من ثقات أصحابهم، ورووا عن الصحيفة التي كتبها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الفرائض والديّات وأرش الخدش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ينحصر التدوين بالصحيفة، بل كانت هناك صحائف أخر وأذكر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رُوي في البصائر،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الجامعة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صحيفة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مثله</w:t>
      </w:r>
      <w:r>
        <w:rPr>
          <w:rStyle w:val="FootnoteAnchor"/>
          <w:rtl w:val="true"/>
        </w:rPr>
        <w:footnoteReference w:id="232"/>
      </w:r>
      <w:r>
        <w:rPr>
          <w:rFonts w:ascii="IRNazanin" w:hAnsi="IRNazanin" w:eastAsia="IRNazanin"/>
          <w:color w:val="111111"/>
          <w:sz w:val="28"/>
          <w:sz w:val="28"/>
          <w:szCs w:val="28"/>
          <w:rtl w:val="true"/>
          <w:lang w:bidi="fa-IR"/>
        </w:rPr>
        <w:t>وعن عمر بن أبان مثله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روايات كثيرة رواها الصدوق والكليني والطوسي وغيرهم من أعلام الشيعة في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العامة من هذه الصحيفة كالبخاري</w:t>
      </w:r>
      <w:r>
        <w:rPr>
          <w:rStyle w:val="FootnoteAnchor"/>
          <w:rtl w:val="true"/>
        </w:rPr>
        <w:footnoteReference w:id="234"/>
      </w:r>
      <w:r>
        <w:rPr>
          <w:rFonts w:ascii="IRNazanin" w:hAnsi="IRNazanin" w:eastAsia="IRNazanin"/>
          <w:color w:val="111111"/>
          <w:sz w:val="28"/>
          <w:sz w:val="28"/>
          <w:szCs w:val="28"/>
          <w:rtl w:val="true"/>
          <w:lang w:bidi="fa-IR"/>
        </w:rPr>
        <w:t>، ومسلم</w:t>
      </w:r>
      <w:r>
        <w:rPr>
          <w:rStyle w:val="FootnoteAnchor"/>
          <w:rtl w:val="true"/>
        </w:rPr>
        <w:footnoteReference w:id="235"/>
      </w:r>
      <w:r>
        <w:rPr>
          <w:rFonts w:ascii="IRNazanin" w:hAnsi="IRNazanin" w:eastAsia="IRNazanin"/>
          <w:color w:val="111111"/>
          <w:sz w:val="28"/>
          <w:sz w:val="28"/>
          <w:szCs w:val="28"/>
          <w:rtl w:val="true"/>
          <w:lang w:bidi="fa-IR"/>
        </w:rPr>
        <w:t>، وأحمد بن حنبل</w:t>
      </w:r>
      <w:r>
        <w:rPr>
          <w:rStyle w:val="FootnoteAnchor"/>
          <w:rtl w:val="true"/>
        </w:rPr>
        <w:footnoteReference w:id="236"/>
      </w:r>
      <w:r>
        <w:rPr>
          <w:rFonts w:ascii="Amiri" w:hAnsi="Amiri" w:eastAsia="Amiri" w:cs="Amiri"/>
          <w:color w:val="111111"/>
          <w:sz w:val="28"/>
          <w:sz w:val="28"/>
          <w:szCs w:val="28"/>
          <w:rtl w:val="true"/>
          <w:lang w:bidi="ar-SA"/>
        </w:rPr>
        <w:t>في كتبهم وغيرهم من أعلامهم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صحف أُخر مدّونة منها صحيفة أبي رافع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 رافع كتاب السنن والأحكام والقضايا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ومع ابن عباس ألواح يكتب فيها</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وصحيفة سعد بن عبادة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البخاري أنّ هذه الصحيفة كانت نسخة من صحيفة عبد الله بن أبي أوفى الذي كان يكتب الأحاديث بيده وكان الناس يقرءون عليه ما جمعه بخطه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وصحيفة جابر بن عبد الله الأنصاري ذكرها ابن </w:t>
      </w:r>
      <w:bookmarkStart w:id="253" w:name="pg9131_75872"/>
    </w:p>
    <w:p>
      <w:pPr>
        <w:pStyle w:val="BookText"/>
        <w:rPr/>
      </w:pPr>
      <w:bookmarkEnd w:id="253"/>
      <w:r>
        <w:rPr>
          <w:rFonts w:ascii="Amiri" w:hAnsi="Amiri" w:eastAsia="Amiri" w:cs="Amiri"/>
          <w:color w:val="111111"/>
          <w:sz w:val="28"/>
          <w:sz w:val="28"/>
          <w:szCs w:val="28"/>
          <w:rtl w:val="true"/>
          <w:lang w:bidi="ar-SA"/>
        </w:rPr>
        <w:t>سعد في طبقاته</w:t>
      </w:r>
      <w:r>
        <w:rPr>
          <w:rStyle w:val="FootnoteAnchor"/>
          <w:rtl w:val="true"/>
        </w:rPr>
        <w:footnoteReference w:id="240"/>
      </w:r>
      <w:r>
        <w:rPr>
          <w:rFonts w:ascii="Amiri" w:hAnsi="Amiri" w:eastAsia="Amiri" w:cs="Amiri"/>
          <w:color w:val="111111"/>
          <w:sz w:val="28"/>
          <w:sz w:val="28"/>
          <w:szCs w:val="28"/>
          <w:rtl w:val="true"/>
          <w:lang w:bidi="ar-SA"/>
        </w:rPr>
        <w:t>، وعبدالرزاق في مصنّفه</w:t>
      </w:r>
      <w:r>
        <w:rPr>
          <w:rStyle w:val="FootnoteAnchor"/>
          <w:rtl w:val="true"/>
        </w:rPr>
        <w:footnoteReference w:id="241"/>
      </w:r>
      <w:r>
        <w:rPr>
          <w:rFonts w:ascii="Amiri" w:hAnsi="Amiri" w:eastAsia="Amiri" w:cs="Amiri"/>
          <w:color w:val="111111"/>
          <w:sz w:val="28"/>
          <w:sz w:val="28"/>
          <w:szCs w:val="28"/>
          <w:rtl w:val="true"/>
          <w:lang w:bidi="ar-SA"/>
        </w:rPr>
        <w:t>، والذهبي في تذكرته</w:t>
      </w:r>
      <w:r>
        <w:rPr>
          <w:rStyle w:val="FootnoteAnchor"/>
          <w:rtl w:val="true"/>
        </w:rPr>
        <w:footnoteReference w:id="242"/>
      </w:r>
      <w:r>
        <w:rPr>
          <w:rFonts w:ascii="IRNazanin" w:hAnsi="IRNazanin" w:eastAsia="IRNazanin"/>
          <w:color w:val="111111"/>
          <w:sz w:val="28"/>
          <w:sz w:val="28"/>
          <w:szCs w:val="28"/>
          <w:rtl w:val="true"/>
          <w:lang w:bidi="fa-IR"/>
        </w:rPr>
        <w:t xml:space="preserve">، وروى مسلم في صحيحه أنها كانت في مناسك الحج، ويحتمل أن يكون فيها ذكر حجة الوداع التي ألقى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الجامعة، والتي عيّن فيها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 وخليفة وإماماً للناس بعده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تدريب الراوي في شرح تقريب النواوي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كتابة الحديث فكرهها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وأباحها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وفعلوها منهم عمر، وعلي، وابنه الحسن، وابن عمرو، وأنس، وجابر، وابن عباس، وابن عمر أيضاً، والحسن، وعطاء وسعيد بن جبير، وعمر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عيّاض عن أكثر الصحابة والتابعين،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وأبو المليح ومن ملح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يعيبون علينا أنْ نكتب العلم وندونه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تدوينه في الكتب لدُرِس في الأعصر الأخيرة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2991806_2870459653"/>
      <w:bookmarkStart w:id="255" w:name="_Toc99"/>
      <w:bookmarkEnd w:id="254"/>
      <w:r>
        <w:rPr>
          <w:rtl w:val="true"/>
        </w:rPr>
        <w:t>النتيجة</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تدوين الأحكام الشرعية مستحب شرعاً؛ لما ورد من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بالكتابة، ومن الصحُف التي ذكرناها، والأحاديث المتكثّرة في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الكتابة والتي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ولا حرج، وقيّدوا العلم بالكتاب، وفعله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أمير المؤمنين علي وابنه</w:t>
      </w:r>
      <w:bookmarkStart w:id="256" w:name="pg9131_75873"/>
    </w:p>
    <w:p>
      <w:pPr>
        <w:pStyle w:val="BookText"/>
        <w:rPr/>
      </w:pPr>
      <w:bookmarkEnd w:id="256"/>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ومجموعة من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التقنين أمرٌ مستحدث والفرق بينه وبين التدوين الإلزام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التدوين جائز ومستحب؛ لعدم الإلزام، وأمّا التقنين فعلى القول بعدم الفرق بينه وبين التدوين فيأخذ حكمه، وأمّا على القول بالفرق بينه وبين التدوين، وأنّه أمر مستحدث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المانع الفقهي والشرعي منه هو التقييد بمذهب معين، وإلزام القضاة المجتهدين به كما ذكروا في أدلّة حرمته، ولذا سنبحثه في المقصد الثاني</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991808_2870459653"/>
      <w:bookmarkStart w:id="258" w:name="_Toc100"/>
      <w:bookmarkEnd w:id="257"/>
      <w:r>
        <w:rPr>
          <w:rtl w:val="true"/>
        </w:rPr>
        <w:t>المقصد الآخر</w:t>
      </w:r>
      <w:r>
        <w:rPr>
          <w:rtl w:val="true"/>
        </w:rPr>
        <w:t xml:space="preserve">: </w:t>
      </w:r>
      <w:r>
        <w:rPr>
          <w:rtl w:val="true"/>
        </w:rPr>
        <w:t>دراسة فقهية في التقييد بمذهب معين أو الراجح من الأقوال أو مشهورها، وإلزام القضاة به</w:t>
      </w:r>
      <w:bookmarkEnd w:id="258"/>
    </w:p>
    <w:p>
      <w:pPr>
        <w:pStyle w:val="Heading6"/>
        <w:numPr>
          <w:ilvl w:val="5"/>
          <w:numId w:val="1"/>
        </w:numPr>
        <w:rPr/>
      </w:pPr>
      <w:bookmarkStart w:id="259" w:name="__RefHeading___Toc2991810_2870459653"/>
      <w:bookmarkStart w:id="260" w:name="_Toc10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إنّ التقنين هو تدوين الأحكام الشرعية وصياغتها في قوانين أو مواد قانونية ملزمة، ويترتب على مخالفتها الجزاء، ويلزم منه التقييد بمذهب معيّن أو القول الراجح أو المشهور، وإلزام القضاة به، وهذا هو المانع الفقهي الشرعي من تقنين وتدوين الأحكام الشرعية وصياغتها في قوانين، ولذا سنبحثه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المذاهب الفقهيّة في التقييد بمذهب معيّن أو القول الراجح أو المشهور، و إلزام القضاة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التعارض بين المذاهب الفقهيّة في تقنين وتدوين الأحكام الشرعية وصياغتها في قوانين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991812_2870459653"/>
      <w:bookmarkStart w:id="262" w:name="_Toc102"/>
      <w:bookmarkEnd w:id="261"/>
      <w:r>
        <w:rPr>
          <w:rtl w:val="true"/>
        </w:rPr>
        <w:t>الفرع الأوّل</w:t>
      </w:r>
      <w:bookmarkEnd w:id="2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الحكام والقضاة بمذهب أهل البيت وهو الحقّ الذي يجب التشريع منه والحكم به، ولا يجوز الحكم بالمذاهب المخالفة إلّا للتقية </w:t>
      </w:r>
    </w:p>
    <w:p>
      <w:pPr>
        <w:pStyle w:val="BookText"/>
        <w:rPr/>
      </w:pPr>
      <w:r>
        <w:rPr>
          <w:rFonts w:ascii="Amiri" w:hAnsi="Amiri" w:eastAsia="Amiri" w:cs="Amiri"/>
          <w:color w:val="111111"/>
          <w:sz w:val="28"/>
          <w:sz w:val="28"/>
          <w:szCs w:val="28"/>
          <w:rtl w:val="true"/>
          <w:lang w:bidi="ar-SA"/>
        </w:rPr>
        <w:t>والإكراه ماعدا الدماء والفروج؛ لما ورد عن ابن إدريس الحلي</w:t>
      </w:r>
      <w:r>
        <w:rPr>
          <w:rStyle w:val="FootnoteAnchor"/>
          <w:rtl w:val="true"/>
        </w:rPr>
        <w:footnoteReference w:id="244"/>
      </w:r>
      <w:r>
        <w:rPr>
          <w:rFonts w:ascii="Amiri" w:hAnsi="Amiri" w:eastAsia="Amiri" w:cs="Amiri"/>
          <w:color w:val="111111"/>
          <w:sz w:val="28"/>
          <w:sz w:val="28"/>
          <w:szCs w:val="28"/>
          <w:rtl w:val="true"/>
          <w:lang w:bidi="ar-SA"/>
        </w:rPr>
        <w:t>وأبي الصلاح الحلبي</w:t>
      </w:r>
      <w:r>
        <w:rPr>
          <w:rStyle w:val="FootnoteAnchor"/>
          <w:rtl w:val="true"/>
        </w:rPr>
        <w:footnoteReference w:id="245"/>
      </w:r>
      <w:r>
        <w:rPr>
          <w:rFonts w:ascii="Amiri" w:hAnsi="Amiri" w:eastAsia="Amiri" w:cs="Amiri"/>
          <w:color w:val="111111"/>
          <w:sz w:val="28"/>
          <w:sz w:val="28"/>
          <w:szCs w:val="28"/>
          <w:rtl w:val="true"/>
          <w:lang w:bidi="ar-SA"/>
        </w:rPr>
        <w:t>والمحقّق الحلّي</w:t>
      </w:r>
      <w:r>
        <w:rPr>
          <w:rStyle w:val="FootnoteAnchor"/>
          <w:rtl w:val="true"/>
        </w:rPr>
        <w:footnoteReference w:id="246"/>
      </w:r>
      <w:r>
        <w:rPr>
          <w:rFonts w:ascii="Amiri" w:hAnsi="Amiri" w:eastAsia="Amiri" w:cs="Amiri"/>
          <w:color w:val="111111"/>
          <w:sz w:val="28"/>
          <w:sz w:val="28"/>
          <w:szCs w:val="28"/>
          <w:rtl w:val="true"/>
          <w:lang w:bidi="ar-SA"/>
        </w:rPr>
        <w:t>والعلّامة الحلّي في التذكرة</w:t>
      </w:r>
      <w:r>
        <w:rPr>
          <w:rStyle w:val="FootnoteAnchor"/>
          <w:rtl w:val="true"/>
        </w:rPr>
        <w:footnoteReference w:id="247"/>
      </w:r>
      <w:r>
        <w:rPr>
          <w:rFonts w:ascii="Amiri" w:hAnsi="Amiri" w:eastAsia="Amiri" w:cs="Amiri"/>
          <w:color w:val="111111"/>
          <w:sz w:val="28"/>
          <w:sz w:val="28"/>
          <w:szCs w:val="28"/>
          <w:rtl w:val="true"/>
          <w:lang w:bidi="ar-SA"/>
        </w:rPr>
        <w:t>وفي الإرشاد</w:t>
      </w:r>
      <w:r>
        <w:rPr>
          <w:rStyle w:val="FootnoteAnchor"/>
          <w:rtl w:val="true"/>
        </w:rPr>
        <w:footnoteReference w:id="248"/>
      </w:r>
      <w:r>
        <w:rPr>
          <w:rFonts w:ascii="Amiri" w:hAnsi="Amiri" w:eastAsia="Amiri" w:cs="Amiri"/>
          <w:color w:val="111111"/>
          <w:sz w:val="28"/>
          <w:sz w:val="28"/>
          <w:szCs w:val="28"/>
          <w:rtl w:val="true"/>
          <w:lang w:bidi="ar-SA"/>
        </w:rPr>
        <w:t>والشهيد الأول</w:t>
      </w:r>
      <w:r>
        <w:rPr>
          <w:rStyle w:val="FootnoteAnchor"/>
          <w:rtl w:val="true"/>
        </w:rPr>
        <w:footnoteReference w:id="249"/>
      </w:r>
      <w:r>
        <w:rPr>
          <w:rFonts w:ascii="Amiri" w:hAnsi="Amiri" w:eastAsia="Amiri" w:cs="Amiri"/>
          <w:color w:val="111111"/>
          <w:sz w:val="28"/>
          <w:sz w:val="28"/>
          <w:szCs w:val="28"/>
          <w:rtl w:val="true"/>
          <w:lang w:bidi="ar-SA"/>
        </w:rPr>
        <w:t>والمحقّق الأردبيلي</w:t>
      </w:r>
      <w:r>
        <w:rPr>
          <w:rStyle w:val="FootnoteAnchor"/>
          <w:rtl w:val="true"/>
        </w:rPr>
        <w:footnoteReference w:id="250"/>
      </w:r>
      <w:r>
        <w:rPr>
          <w:rFonts w:ascii="Amiri" w:hAnsi="Amiri" w:eastAsia="Amiri" w:cs="Amiri"/>
          <w:color w:val="111111"/>
          <w:sz w:val="28"/>
          <w:sz w:val="28"/>
          <w:szCs w:val="28"/>
          <w:rtl w:val="true"/>
          <w:lang w:bidi="ar-SA"/>
        </w:rPr>
        <w:t>والشهيد الثاني</w:t>
      </w:r>
      <w:r>
        <w:rPr>
          <w:rStyle w:val="FootnoteAnchor"/>
          <w:rtl w:val="true"/>
        </w:rPr>
        <w:footnoteReference w:id="251"/>
      </w:r>
      <w:r>
        <w:rPr>
          <w:rFonts w:ascii="Amiri" w:hAnsi="Amiri" w:eastAsia="Amiri" w:cs="Amiri"/>
          <w:color w:val="111111"/>
          <w:sz w:val="28"/>
          <w:sz w:val="28"/>
          <w:szCs w:val="28"/>
          <w:rtl w:val="true"/>
          <w:lang w:bidi="ar-SA"/>
        </w:rPr>
        <w:t>والفاضل الهندي</w:t>
      </w:r>
      <w:r>
        <w:rPr>
          <w:rStyle w:val="FootnoteAnchor"/>
          <w:rtl w:val="true"/>
        </w:rPr>
        <w:footnoteReference w:id="252"/>
      </w:r>
      <w:r>
        <w:rPr>
          <w:rFonts w:ascii="Amiri" w:hAnsi="Amiri" w:eastAsia="Amiri" w:cs="Amiri"/>
          <w:color w:val="111111"/>
          <w:sz w:val="28"/>
          <w:sz w:val="28"/>
          <w:szCs w:val="28"/>
          <w:rtl w:val="true"/>
          <w:lang w:bidi="ar-SA"/>
        </w:rPr>
        <w:t>وغيرهم مع اختلاف عباراتهم بل لا خلاف أجده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يتولّى الفصل بين المختلفين والقضاء بينهم أن يحكم إلّا بموجب الحقّ، ولا يجوز له أن يحكم بمذهب أهل الخلاف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كلمات الأعلام الإجماع على التقييد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به؛ لأنّه الحقّ، والمدار في الحكم على الحكم بالحقّ إلّا في حال التقية والاضطرار فجوزوا الحكم بمذاهب أهل الخلاف، وكلامنا ليس في حال الاضطرار والتقية الذي فيه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النفس لا كلام فيه، وعلى الغير فيه مناقشة بضعف أسانيد الروايات من جهة، وعدم دلالتها على المطلوب من جهة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عدم التقية والاضطرار كما نحن فيه، فالتقييد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للقاضي الحكم بمذاهب أهل الخلاف، لا تشريعاً، ولا تطبيقاً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بالحقّ من القرآن والرسول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الحكم والاستنباط من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الأخذ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الأخذ منهم من دون اعتناق مذهبهم، فهل يصحّ ذلك؟ خصوصاً أنّ ما استدلوا عليه من وجوب الحكم بمذهب أهل البيت يمكن المناقشة فيه والاستدلال ضده وأنّ الطاغوت من يحكم بغير الحقّ مبالغة من الطغيان، وأمّا من يحكم بالكتاب وما ثبت عنده من السنة باجتهاده المطلق ويقضي بالبينات والأيمان لا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يحكم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وردت 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المنع من التحاكم لغير العارف بأحكامهم والذي لا يحكم بحكمهم وما إلى ذلك، منها 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حَكَمٍ حَكَمَ بغير قولنا أهل البيت فهو طاغوت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وهذه الرواية صريحة بالحكم بقول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رواية أبي خديجة وغيرها كلها تشير إلى أن الحكم والقضاء بالحقّ هو حكم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خلاف ولا نقاش في ذلك، إنّما الذي أريد أن أقوله وأناقش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يستوي الاجتهاد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مع الاجتهادات في المذاهب الأُخر؟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خلط واضح؛ لأنّ اجتهاد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تحصيل أحكامهم واتّباع رواياتهم وقواعدهم التي أسّسوها لهم، والقواعد الأصولية من نور فيضهم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أذنوا بل أوجبوا على أتباعهم الرجوع إليهم، وأمّا اجتهاد غيرهم فهو اجتهاد مع وجود النصّ وفي مقابلهم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المخالفين لهم وسّعوا المدارك إلى ما يشمل القياس والرأي والاستحسان وسدّ الذرائع وغيرها، وقد ذمّها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يقبلوها كأدلة للحكم الشرعي، فهي باطلة عندهم بل صرَّح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الرشد خلاف فتاواهم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مَّا أَنزَلَ اللَّهُ لَكُم مِّن رِّزْقٍ فَجَعَلْتُم مِّنْهُ حَرَاماً وَحَلَالاً قُلْ ءَآللَّهُ أَذِنَ لَكُمْ أَمْ عَلَى اللَّهِ تَفْتَرُونَ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الفقهية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أجمعوا على عدم جواز تدوين الأحكام الشرعية وصياغتها في قوانين وإلزام القضاة بها من مذهب معين أو بالقول الراجح، فقد تقدَّم في المبحث الأول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كتابه الموطّأ ليحكم به، وكذا علماء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ولنستعرض آراء المذاهب وعلى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تقييد القضاة بمذهب معيّن يرتضيه الخليفة، لما ورد عن النووي</w:t>
      </w:r>
      <w:r>
        <w:rPr>
          <w:rStyle w:val="FootnoteAnchor"/>
          <w:rtl w:val="true"/>
        </w:rPr>
        <w:footnoteReference w:id="255"/>
      </w:r>
      <w:r>
        <w:rPr>
          <w:rFonts w:ascii="Amiri" w:hAnsi="Amiri" w:eastAsia="Amiri" w:cs="Amiri"/>
          <w:color w:val="111111"/>
          <w:sz w:val="28"/>
          <w:sz w:val="28"/>
          <w:szCs w:val="28"/>
          <w:rtl w:val="true"/>
          <w:lang w:bidi="ar-SA"/>
        </w:rPr>
        <w:t>والماوردي</w:t>
      </w:r>
      <w:r>
        <w:rPr>
          <w:rStyle w:val="FootnoteAnchor"/>
          <w:rtl w:val="true"/>
        </w:rPr>
        <w:footnoteReference w:id="256"/>
      </w:r>
      <w:r>
        <w:rPr>
          <w:rFonts w:ascii="Amiri" w:hAnsi="Amiri" w:eastAsia="Amiri" w:cs="Amiri"/>
          <w:color w:val="111111"/>
          <w:sz w:val="28"/>
          <w:sz w:val="28"/>
          <w:szCs w:val="28"/>
          <w:rtl w:val="true"/>
          <w:lang w:bidi="ar-SA"/>
        </w:rPr>
        <w:t>، ولا يجوز أن يعقد تقلّد القضاء على أن يحكم بمذهب بعينه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w:t>
      </w:r>
      <w:r>
        <w:rPr>
          <w:rStyle w:val="FootnoteAnchor"/>
          <w:rtl w:val="true"/>
        </w:rPr>
        <w:footnoteReference w:id="257"/>
      </w:r>
      <w:r>
        <w:rPr>
          <w:rFonts w:ascii="Amiri" w:hAnsi="Amiri" w:eastAsia="Amiri" w:cs="Amiri"/>
          <w:color w:val="111111"/>
          <w:sz w:val="28"/>
          <w:sz w:val="28"/>
          <w:szCs w:val="28"/>
          <w:rtl w:val="true"/>
          <w:lang w:bidi="ar-SA"/>
        </w:rPr>
        <w:t>والحقّ ما دلّ عليه الدليل، وذلك لا يتعيّن في مذهب بعينه، فإن قلّد على هذا الشرط بطلت التولية؛ لأنّه علّقها على شرط، وقد بطل الشرط فبطلت التولية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القاضي المجتهد بمذهب معين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العقد فغير جائز وينبغي فسخه وردّه، أو التولية صحيحة جائزة والشرط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للمازري الجواز مع الاضطرار، أي جواز تقيّد القاضي بمذهب معيّن إذا </w:t>
      </w:r>
    </w:p>
    <w:p>
      <w:pPr>
        <w:pStyle w:val="BookText"/>
        <w:rPr/>
      </w:pPr>
      <w:r>
        <w:rPr>
          <w:rFonts w:ascii="Amiri" w:hAnsi="Amiri" w:eastAsia="Amiri" w:cs="Amiri"/>
          <w:color w:val="111111"/>
          <w:sz w:val="28"/>
          <w:sz w:val="28"/>
          <w:szCs w:val="28"/>
          <w:rtl w:val="true"/>
          <w:lang w:bidi="ar-SA"/>
        </w:rPr>
        <w:t>كان مقلّداً، ولا يحرم ذلك لما ورد عن مالك</w:t>
      </w:r>
      <w:r>
        <w:rPr>
          <w:rStyle w:val="FootnoteAnchor"/>
          <w:rtl w:val="true"/>
        </w:rPr>
        <w:footnoteReference w:id="258"/>
      </w:r>
      <w:r>
        <w:rPr>
          <w:rFonts w:ascii="Amiri" w:hAnsi="Amiri" w:eastAsia="Amiri" w:cs="Amiri"/>
          <w:color w:val="111111"/>
          <w:sz w:val="28"/>
          <w:sz w:val="28"/>
          <w:szCs w:val="28"/>
          <w:rtl w:val="true"/>
          <w:lang w:bidi="ar-SA"/>
        </w:rPr>
        <w:t>وابن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وللإمام أن يستخلف من يرى غير رأيه في الاجتهاد أو التقليد، ولو شرط الحكم بما يراه كان الشرط باطلاً والتولية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نقله الطرطوشي عن الباجي، وهو جهل عظيم منهم، يريد لأنّ الحقّ ليس في شيء معين، وهذا القول عمل بمقتضى السياسة، ومقتضى الأصول خلافه، والمشروع اتّباع المجتهد مقتضى اجتهاده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يعمل باجتهاده إلّا إذا وجد أفقه منه فاختلفوا في جواز الرجوع إلى الأفقه، ولا يقيّد بمذهب معيّن وإن كان الحكام نصبوا الحنفية للقضاء حتى وصل القول بأنّ عيسى بن مريم يحكم بمذهبهم ولكن لا يصحّ إلّا الصحيح؛ ولذا صرّح عقلاء المذهب ومجتهدوه بأنّ المجتهد إذا اجتهد في واقعة بحكم يمتنع عليه تقليد غيره فيها اتفاقاً، وأمّا المقلّد إن عرف أقوال الفقهاء وحفظها على الاختلاف والاتفاق حكم بما يعتقد قوله حقّ، وإن لم يحفظها عمل بفتوى أهل الفقه في بلده، وإن لم يكن إلا فقيه واحد يسعه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حتى المقلّد لا يقيّد بمذهب معيّن، لما ورد عن ابن عابدين</w:t>
      </w:r>
      <w:r>
        <w:rPr>
          <w:rStyle w:val="FootnoteAnchor"/>
          <w:rtl w:val="true"/>
        </w:rPr>
        <w:footnoteReference w:id="260"/>
      </w:r>
      <w:r>
        <w:rPr>
          <w:rFonts w:ascii="Amiri" w:hAnsi="Amiri" w:eastAsia="Amiri" w:cs="Amiri"/>
          <w:color w:val="111111"/>
          <w:sz w:val="28"/>
          <w:sz w:val="28"/>
          <w:szCs w:val="28"/>
          <w:rtl w:val="true"/>
          <w:lang w:bidi="ar-SA"/>
        </w:rPr>
        <w:t>، وأبي بكر الكاشاني</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يُقلّد القضاء لواحد على أنْ يحكم بمذهب بعينه، والحقّ لا يتعيّن في مذهب، وأما المقلّد ففيه اختلاف وتفصيل، فقالوا بعدم جواز حكم المقلِّد بغير مذهب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الماوردي وغيره إلى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بين </w:t>
      </w:r>
    </w:p>
    <w:p>
      <w:pPr>
        <w:pStyle w:val="BookText"/>
        <w:rPr/>
      </w:pPr>
      <w:r>
        <w:rPr>
          <w:rFonts w:ascii="Amiri" w:hAnsi="Amiri" w:eastAsia="Amiri" w:cs="Amiri"/>
          <w:color w:val="111111"/>
          <w:sz w:val="28"/>
          <w:sz w:val="28"/>
          <w:szCs w:val="28"/>
          <w:rtl w:val="true"/>
          <w:lang w:bidi="ar-SA"/>
        </w:rPr>
        <w:t>المتبحر وغيره، وتقدَّم أنَّه يراعي ألفاظ إمامه ومتأخّرها ويقلِّد كبار مذهبه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بغير مذهب إمامه فإن كان قد ولّي على أن يحكم بمذهب معين لم ينفذ حكمه لقصور ولايته؛ لما ورد عن عبد الله بن قدامة</w:t>
      </w:r>
      <w:r>
        <w:rPr>
          <w:rStyle w:val="FootnoteAnchor"/>
          <w:rtl w:val="true"/>
        </w:rPr>
        <w:footnoteReference w:id="262"/>
      </w:r>
      <w:r>
        <w:rPr>
          <w:rFonts w:ascii="Amiri" w:hAnsi="Amiri" w:eastAsia="Amiri" w:cs="Amiri"/>
          <w:color w:val="111111"/>
          <w:sz w:val="28"/>
          <w:sz w:val="28"/>
          <w:szCs w:val="28"/>
          <w:rtl w:val="true"/>
          <w:lang w:bidi="ar-SA"/>
        </w:rPr>
        <w:t>، والشافعي الصغير</w:t>
      </w:r>
      <w:r>
        <w:rPr>
          <w:rStyle w:val="FootnoteAnchor"/>
          <w:rtl w:val="true"/>
        </w:rPr>
        <w:footnoteReference w:id="263"/>
      </w:r>
      <w:r>
        <w:rPr>
          <w:rFonts w:ascii="Amiri" w:hAnsi="Amiri" w:eastAsia="Amiri" w:cs="Amiri"/>
          <w:color w:val="111111"/>
          <w:sz w:val="28"/>
          <w:sz w:val="28"/>
          <w:szCs w:val="28"/>
          <w:rtl w:val="true"/>
          <w:lang w:bidi="ar-SA"/>
        </w:rPr>
        <w:t>، والبهوتي</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القضاة بمذهب معيّن وإلزامهم به يختلف باختلاف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المذهب الجعفري فبالإجماع على التقييد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به؛ لأنَّه الحقّ، والمدار في الحكم على الحكم بالحقّ وتقييد الحكام والقضاة بمذهب أهل البيت وهو الحقّ الذي يجب أخذ التشريع منه والحكم به، ولا يجوز الحكم بالمذاهب المخالفة إلّا للتقيّة والإكراه ماعدا الدماء والفروج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ويشمل استنباط الأحكام الشرعية من المجتهدين من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المذاهب الفقهية الأربعة فآراؤهم متّفقة على أن المجتهد المطلق لا يجوز أن يعقد تقلّد القضاء على أن يحكم بمذهب بعينه،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w:t>
      </w:r>
      <w:r>
        <w:rPr>
          <w:rStyle w:val="FootnoteAnchor"/>
          <w:rtl w:val="true"/>
        </w:rPr>
        <w:footnoteReference w:id="265"/>
      </w:r>
      <w:r>
        <w:rPr>
          <w:rFonts w:ascii="Amiri" w:hAnsi="Amiri" w:eastAsia="Amiri" w:cs="Amiri"/>
          <w:color w:val="111111"/>
          <w:sz w:val="28"/>
          <w:sz w:val="28"/>
          <w:szCs w:val="28"/>
          <w:rtl w:val="true"/>
          <w:lang w:bidi="ar-SA"/>
        </w:rPr>
        <w:t>، والحقّ ما دلّ عليه الدليل، وذلك لا يتعيّن في مذهب بعينه، وابن الحاجب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الحقّ ليس في شيء معيّن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والمقلّد فيه خلاف وتفصيل،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تقييده بمذهبه،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كونه متبحّراً فلا يجوز، وغير </w:t>
      </w:r>
      <w:bookmarkStart w:id="263" w:name="pg9131_75879"/>
    </w:p>
    <w:p>
      <w:pPr>
        <w:pStyle w:val="BookText"/>
        <w:rPr/>
      </w:pPr>
      <w:bookmarkEnd w:id="263"/>
      <w:r>
        <w:rPr>
          <w:rFonts w:ascii="Amiri" w:hAnsi="Amiri" w:eastAsia="Amiri" w:cs="Amiri"/>
          <w:color w:val="111111"/>
          <w:sz w:val="28"/>
          <w:sz w:val="28"/>
          <w:szCs w:val="28"/>
          <w:rtl w:val="true"/>
          <w:lang w:bidi="ar-SA"/>
        </w:rPr>
        <w:t>المتبحر فيجوز تقييده على أن يحكم بمذهبه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إذا اجتهد في واقعة بحكم يمتنع عليه تقليد غيره فيها اتّفاقاً، لما ذكره أعلامهم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ما دلّ عليه الدليل، والحقّ لا يتعيّن في مذهب بعينه؛ فهل يجوز الحكم بمذهب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جواب اثنين من أعلامهم لحصر الحقّ في المذاهب الأربعة ونقل الإجماع على ذلك؛ فيخرج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عابدين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بالفقه ما يشمل مذهبنا وغيره، فإنّه بهذا المعنى لا يقبل الزيادة أصلاً، فإنّه لا يجوز إحداث قول خارج عن المذاهب الأربعة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الإفصاح أنَّ الإجماع انعقد على تقليد كلّ من المذاهب الأربعة وأنّ الحقّ لا يخرج عنهم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التقنين والإلزام بمذهب معيّن أو بالراجح من الأقوال، واستدلوا بالقرآن والسنّة والإجماع وأنّ تقنين الأحكام الشرعية و إلزام القضاة بالحكم بها هو خلاف ما عليه الإجماع العملي للقرون المفضلة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991814_2870459653"/>
      <w:bookmarkStart w:id="265" w:name="_Toc103"/>
      <w:bookmarkEnd w:id="264"/>
      <w:r>
        <w:rPr>
          <w:rtl w:val="true"/>
        </w:rPr>
        <w:t>الفرع الآخر</w:t>
      </w:r>
      <w:r>
        <w:rPr>
          <w:rtl w:val="true"/>
        </w:rPr>
        <w:t xml:space="preserve">: </w:t>
      </w:r>
      <w:r>
        <w:rPr>
          <w:rtl w:val="true"/>
        </w:rPr>
        <w:t>معالجة التعارض بين المذاهب الفقهية في تقنين الأحكام الشرعية وتدوينها</w:t>
      </w:r>
      <w:bookmarkEnd w:id="2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تدوين الأحكام الشرعية مستحب شرعاً؛ لما ورد من إجازته، بل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بالكتابة والصحف التي ذكرناها والأحاديث المتكثرة في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الكتابة، وفعله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أمير المؤمنين 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ومجموعة من الصحابة، فهل يتعارض هذا </w:t>
      </w:r>
    </w:p>
    <w:p>
      <w:pPr>
        <w:pStyle w:val="BookText"/>
        <w:rPr/>
      </w:pPr>
      <w:r>
        <w:rPr>
          <w:rFonts w:ascii="Amiri" w:hAnsi="Amiri" w:eastAsia="Amiri" w:cs="Amiri"/>
          <w:color w:val="111111"/>
          <w:sz w:val="28"/>
          <w:sz w:val="28"/>
          <w:szCs w:val="28"/>
          <w:rtl w:val="true"/>
          <w:lang w:bidi="ar-SA"/>
        </w:rPr>
        <w:t>الاستحباب مع تحريم المذاهب الفقهية والسلفية له؟ وهل يمكن الخروج بأطروحة صالحة لولادة مشروع قانون إسلامي شرعي بجميع فروعه ولجميع المذاهب الفقهية وخصوصاً في الأحوال الشخصية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تعارض بينهما؛ لأنّ المستحب الذي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عليه وفعله الأئمَّة والصحابة هو تدوين الأحكام الشرعية الثابتة من الله ورسوله، والذي لم تجوّزه المذاهب الفقهية الأربعة والسلفية هو تدوين وتقنين الأحكام الشرعية من مذهب معيّن أو بالقول الراجح، وإلزام القضاة المجتهدين به، ولذا يكون التعارض بينهم وبين الفقه الجعفري في التدوين بمذهب معيّن؛ لأنّ الفقه الجعفري يدّعي أنّ الحقّ في مذهبه، والمذاهب الأخرى تدّعي أنّ الحقّ لا يخرج عنها، فهل يمكن معالجة التعارض والخروج بأطروحة صالحة لولادة مشروع قانون إسلامي شرعي بجميع فروعه ولجميع المذاهب الفقهية وخصوصاً في الأحوال الشخصية؟</w:t>
      </w:r>
    </w:p>
    <w:p>
      <w:pPr>
        <w:pStyle w:val="BookText"/>
        <w:rPr/>
      </w:pPr>
      <w:r>
        <w:rPr>
          <w:rFonts w:ascii="Amiri" w:hAnsi="Amiri" w:eastAsia="Amiri" w:cs="Amiri"/>
          <w:color w:val="111111"/>
          <w:sz w:val="28"/>
          <w:sz w:val="28"/>
          <w:szCs w:val="28"/>
          <w:rtl w:val="true"/>
          <w:lang w:bidi="ar-SA"/>
        </w:rPr>
        <w:t>والجواب عن ذلك يمكن أن نبحثه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المسلمين في وجوب الحكم بالحقّ وبما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w:t>
      </w:r>
      <w:r>
        <w:rPr>
          <w:rStyle w:val="FootnoteAnchor"/>
          <w:rtl w:val="true"/>
        </w:rPr>
        <w:footnoteReference w:id="269"/>
      </w:r>
      <w:r>
        <w:rPr>
          <w:rFonts w:ascii="Amiri" w:hAnsi="Amiri" w:eastAsia="Amiri" w:cs="Amiri"/>
          <w:color w:val="111111"/>
          <w:sz w:val="28"/>
          <w:sz w:val="28"/>
          <w:szCs w:val="28"/>
          <w:rtl w:val="true"/>
          <w:lang w:bidi="ar-SA"/>
        </w:rPr>
        <w:t>، فالحكم بالعدل ليس إلا الحكم بالحقّ المأمور به، فقد يصدق على الحكم بالواقع، وهو حكم بالحقّ أو أن الحكم بالعدل أعمّ ممّا ذكر، فكلّ حكم بالحقّ حكم بالعدل دون العكس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بالعدل مورده الأحكام الحكومية والنظامية التي يحكم بها الحاكم حسب ما تقتضيه إدارة النظام ومصالحه، وأمّا ما يتعلّق بحقوق الناس والماليّات </w:t>
      </w:r>
    </w:p>
    <w:p>
      <w:pPr>
        <w:pStyle w:val="BookText"/>
        <w:rPr/>
      </w:pPr>
      <w:r>
        <w:rPr>
          <w:rFonts w:ascii="Amiri" w:hAnsi="Amiri" w:eastAsia="Amiri" w:cs="Amiri"/>
          <w:color w:val="111111"/>
          <w:sz w:val="28"/>
          <w:sz w:val="28"/>
          <w:szCs w:val="28"/>
          <w:rtl w:val="true"/>
          <w:lang w:bidi="ar-SA"/>
        </w:rPr>
        <w:t>ممّا يقع فيه بينهم التنازع والتخاصم، فالحكم فيه يجب أن يكون حكماً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عليه أيضاً بأنّ ما هو الواجب في مقام القضاء هو الحكم بالعدل لا الحكم بالواقع؛ لأنّه يحتاج إلى العلم بالغيب وإعماله ممّن كان عنده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بالعدل يتحقّق بحكم القانون والقواعد القضائية، وبأحكام الله الحقّة، فالحكم بالواقع حكم بالحقّ بكلا معنييه وإنْ كان الحاكم غير عالم بكونه حكماً بالواقع، ويجوز أن يكون المراد من قوله تعالى خطاباً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w:t>
      </w:r>
      <w:r>
        <w:rPr>
          <w:rStyle w:val="FootnoteAnchor"/>
          <w:rtl w:val="true"/>
        </w:rPr>
        <w:footnoteReference w:id="270"/>
      </w:r>
      <w:r>
        <w:rPr>
          <w:rFonts w:ascii="Amiri" w:hAnsi="Amiri" w:eastAsia="Amiri" w:cs="Amiri"/>
          <w:color w:val="111111"/>
          <w:sz w:val="28"/>
          <w:sz w:val="28"/>
          <w:szCs w:val="28"/>
          <w:rtl w:val="true"/>
          <w:lang w:bidi="ar-SA"/>
        </w:rPr>
        <w:t>الحكم بالواقع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إلى الحكم الكلي والقوانين التي يحكم بها بين الناس، وأمّا فضّ النزاعات والخصومات، وتطبيق الحكم بين الناس عملياً فيظهر مما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وفيه إشارة وتوطئة لبيان أنّه لا يقضي بعلمه بالواقعيّات، بل يقضي كغيره بالبينات والأيمان في الموضوعات الخارجية</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الحكم بالحقّ يصدق على ما وصل إليه المجتهدون على حسب الموازين التي قررها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واختلاف المجتهدين بسبب اختلاف الموازين التي قرّرها صاحب الشرع لمعرفة الأحكام غير قادح في كون الجميع ممّا أنزل الله تعالى شأنه من الحكم، فإن ظنيّة الطريق لا تنافي قطعية الحكم كما قرّر في محلّه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القضاء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أنّ آليّة تدوين الأحكام الشرعية بقوانين تتوقف على معرفة منصب القضاء شرعاً؛ لأنّ المنصب إذا انحصر بالقاضي المجتهد المطلق فلا داعي للتدوين ولا مبرر له؛ لأنّ كلّ مجتهد مطلق يحكم برأيه ويحرم عليه تقليد غيره في الفتوى فضلاً عن القضاء لما ثبت في الأمر الأول وعليه تكون الرسالة العمليّة لكلّ مجتهد هي القانون الذي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منصب القضاء للمجتهد المطلق وغيره فتدوين الأحكام الشرعية وصياغتها في قوانين أمرٌ ضروريٌ وحاجةٌ ماسة له فما هي آراء المذاهب الفقهية الإسلامية في منصب القاضي؟ وكيف يمكن تجويز إطلاق القاضي على الفاسق من القضاة في زماننا؟</w:t>
      </w:r>
    </w:p>
    <w:p>
      <w:pPr>
        <w:pStyle w:val="BookText"/>
        <w:rPr/>
      </w:pPr>
      <w:r>
        <w:rPr>
          <w:rFonts w:ascii="Amiri" w:hAnsi="Amiri" w:eastAsia="Amiri" w:cs="Amiri"/>
          <w:color w:val="111111"/>
          <w:sz w:val="28"/>
          <w:sz w:val="28"/>
          <w:szCs w:val="28"/>
          <w:rtl w:val="true"/>
          <w:lang w:bidi="ar-SA"/>
        </w:rPr>
        <w:t>وهذه الفقرة تتناولها نصوص الدستور، وفي هذا البحث أتناول آراء المذاهب الفقهيّة لا بوصفها نصّاً دستورياً، وإنّما بمقدار ارتباطها بالبحث، والنتائج التي تتوقف عليها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الجعفري ومنصب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والقدر المتيّقن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بالنسبة إلى غيره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يقال بأنّ حكم الحاكم موضوع للنفوذ ووجوب الامتثال، وأخرى يقال بأنّه بيان لحكم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كناقل الحكم، فبناء على الثاني ينفذ حكمه سواء كان مجتهداً مطلقاً أم متجزئاً أم مقلداً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 يكون لحكمه موضوعية، فيتوقف جواز الرجوع إلى المقلد والمتجزئ ونفوذ حكمهما على حجّة شرعية، ومع الشكّ فالأصل عدم النفوذ</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وآراء فقهاء الإمامية في ذلك يمكن حصرها في ثلاث</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بعضهم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منصب القضاء للمجتهد المطلق الجامع للشرائط، ولا يحلّ لفاقدها أو بعضها تولي منصب القضاء حتى لو كان مجتهداً متجزئاً فضلاً عمّن دونه،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وظاهر ابن إدريس</w:t>
      </w:r>
      <w:r>
        <w:rPr>
          <w:rStyle w:val="FootnoteAnchor"/>
          <w:rtl w:val="true"/>
        </w:rPr>
        <w:footnoteReference w:id="274"/>
      </w:r>
      <w:r>
        <w:rPr>
          <w:rFonts w:ascii="Amiri" w:hAnsi="Amiri" w:eastAsia="Amiri" w:cs="Amiri"/>
          <w:color w:val="111111"/>
          <w:sz w:val="28"/>
          <w:sz w:val="28"/>
          <w:szCs w:val="28"/>
          <w:rtl w:val="true"/>
          <w:lang w:bidi="ar-SA"/>
        </w:rPr>
        <w:t>، والمحقّق الحلي</w:t>
      </w:r>
      <w:r>
        <w:rPr>
          <w:rStyle w:val="FootnoteAnchor"/>
          <w:rtl w:val="true"/>
        </w:rPr>
        <w:footnoteReference w:id="275"/>
      </w:r>
      <w:r>
        <w:rPr>
          <w:rFonts w:ascii="Amiri" w:hAnsi="Amiri" w:eastAsia="Amiri" w:cs="Amiri"/>
          <w:color w:val="111111"/>
          <w:sz w:val="28"/>
          <w:sz w:val="28"/>
          <w:szCs w:val="28"/>
          <w:rtl w:val="true"/>
          <w:lang w:bidi="ar-SA"/>
        </w:rPr>
        <w:t>، والفاضل الآبي</w:t>
      </w:r>
      <w:r>
        <w:rPr>
          <w:rStyle w:val="FootnoteAnchor"/>
          <w:rtl w:val="true"/>
        </w:rPr>
        <w:footnoteReference w:id="276"/>
      </w:r>
      <w:r>
        <w:rPr>
          <w:rFonts w:ascii="Amiri" w:hAnsi="Amiri" w:eastAsia="Amiri" w:cs="Amiri"/>
          <w:color w:val="111111"/>
          <w:sz w:val="28"/>
          <w:sz w:val="28"/>
          <w:szCs w:val="28"/>
          <w:rtl w:val="true"/>
          <w:lang w:bidi="ar-SA"/>
        </w:rPr>
        <w:t>والمحقّق الأردبيلي</w:t>
      </w:r>
      <w:r>
        <w:rPr>
          <w:rStyle w:val="FootnoteAnchor"/>
          <w:rtl w:val="true"/>
        </w:rPr>
        <w:footnoteReference w:id="277"/>
      </w:r>
      <w:r>
        <w:rPr>
          <w:rFonts w:ascii="Amiri" w:hAnsi="Amiri" w:eastAsia="Amiri" w:cs="Amiri"/>
          <w:color w:val="111111"/>
          <w:sz w:val="28"/>
          <w:sz w:val="28"/>
          <w:szCs w:val="28"/>
          <w:rtl w:val="true"/>
          <w:lang w:bidi="ar-SA"/>
        </w:rPr>
        <w:t>والعلّامة في تذكرة الفقهاء</w:t>
      </w:r>
      <w:r>
        <w:rPr>
          <w:rStyle w:val="FootnoteAnchor"/>
          <w:rtl w:val="true"/>
        </w:rPr>
        <w:footnoteReference w:id="278"/>
      </w:r>
      <w:r>
        <w:rPr>
          <w:rFonts w:ascii="Amiri" w:hAnsi="Amiri" w:eastAsia="Amiri" w:cs="Amiri"/>
          <w:color w:val="111111"/>
          <w:sz w:val="28"/>
          <w:sz w:val="28"/>
          <w:szCs w:val="28"/>
          <w:rtl w:val="true"/>
          <w:lang w:bidi="ar-SA"/>
        </w:rPr>
        <w:t>، والشهيد الثاني</w:t>
      </w:r>
      <w:r>
        <w:rPr>
          <w:rStyle w:val="FootnoteAnchor"/>
          <w:rtl w:val="true"/>
        </w:rPr>
        <w:footnoteReference w:id="279"/>
      </w:r>
      <w:r>
        <w:rPr>
          <w:rFonts w:ascii="Amiri" w:hAnsi="Amiri" w:eastAsia="Amiri" w:cs="Amiri"/>
          <w:color w:val="111111"/>
          <w:sz w:val="28"/>
          <w:sz w:val="28"/>
          <w:szCs w:val="28"/>
          <w:rtl w:val="true"/>
          <w:lang w:bidi="ar-SA"/>
        </w:rPr>
        <w:t>، و السيد الخوئي</w:t>
      </w:r>
      <w:r>
        <w:rPr>
          <w:rStyle w:val="FootnoteAnchor"/>
          <w:rtl w:val="true"/>
        </w:rPr>
        <w:footnoteReference w:id="280"/>
      </w:r>
      <w:r>
        <w:rPr>
          <w:rFonts w:ascii="Amiri" w:hAnsi="Amiri" w:eastAsia="Amiri" w:cs="Amiri"/>
          <w:color w:val="111111"/>
          <w:sz w:val="28"/>
          <w:sz w:val="28"/>
          <w:szCs w:val="28"/>
          <w:rtl w:val="true"/>
          <w:lang w:bidi="ar-SA"/>
        </w:rPr>
        <w:t>، والسيد محمد باقر الصدر</w:t>
      </w:r>
      <w:r>
        <w:rPr>
          <w:rStyle w:val="FootnoteAnchor"/>
          <w:rtl w:val="true"/>
        </w:rPr>
        <w:footnoteReference w:id="281"/>
      </w:r>
      <w:r>
        <w:rPr>
          <w:rFonts w:ascii="Amiri" w:hAnsi="Amiri" w:eastAsia="Amiri" w:cs="Amiri"/>
          <w:color w:val="111111"/>
          <w:sz w:val="28"/>
          <w:sz w:val="28"/>
          <w:szCs w:val="28"/>
          <w:rtl w:val="true"/>
          <w:lang w:bidi="ar-SA"/>
        </w:rPr>
        <w:t>، والسيد عبد الأعلى السبزواري</w:t>
      </w:r>
      <w:r>
        <w:rPr>
          <w:rStyle w:val="FootnoteAnchor"/>
          <w:rtl w:val="true"/>
        </w:rPr>
        <w:footnoteReference w:id="282"/>
      </w:r>
      <w:r>
        <w:rPr>
          <w:rFonts w:ascii="Amiri" w:hAnsi="Amiri" w:eastAsia="Amiri" w:cs="Amiri"/>
          <w:color w:val="111111"/>
          <w:sz w:val="28"/>
          <w:sz w:val="28"/>
          <w:szCs w:val="28"/>
          <w:rtl w:val="true"/>
          <w:lang w:bidi="ar-SA"/>
        </w:rPr>
        <w:t>، والسيد محمد محمد صادق الصدر</w:t>
      </w:r>
      <w:r>
        <w:rPr>
          <w:rStyle w:val="FootnoteAnchor"/>
          <w:rtl w:val="true"/>
        </w:rPr>
        <w:footnoteReference w:id="283"/>
      </w:r>
      <w:r>
        <w:rPr>
          <w:rFonts w:ascii="Amiri" w:hAnsi="Amiri" w:eastAsia="Amiri" w:cs="Amiri"/>
          <w:color w:val="111111"/>
          <w:sz w:val="28"/>
          <w:sz w:val="28"/>
          <w:szCs w:val="28"/>
          <w:rtl w:val="true"/>
          <w:lang w:bidi="ar-SA"/>
        </w:rPr>
        <w:t>، والشيخ محمد إسحاق الفياض</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بعضهم بالروايات والإجماع القطعي، بل الضرورة، وأنّ علماء الإمامية ومجتهديهم في جميع الأعصار والأمصار كانوا يباشرون القضاء والحكم بين الناس، ولا أحد منهم أنكر عليهم، فكان ذلك إجماعاً مستفاداً من السيرة مفيداً للقطع بالحكم، بل إجماع فقهاء الإسلام كما سيتضح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يناقش في انحصاره به، وفي شموله للمتجزئ أو المقلد 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يرد عليهم بعض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المقبولة والمشهورة وغيرهما على العارف بأحكامهم، فهل يصدق على المجتهد المنسد عليه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رجع إلى الأصول العملية العقلية؟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الكشف لا على الحكومة يصدق عليه أنّه عارف بحلالهم وحرامهم، كالمجتهد الذي قامت عنده الأمارة فيكون مشمولا للمقبولة</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بحكمهم احترازاً من أن يحكم بحكم المخالفين، أو أهل العرف، أو بحكم العقل، أو بحكم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الأنصاري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المجتهدين المطلق والمتجزئ على الأقوى وفاقاً للمصنف والشهيدين وغيرهم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288"/>
      </w:r>
      <w:r>
        <w:rPr>
          <w:rFonts w:ascii="Amiri" w:hAnsi="Amiri" w:eastAsia="Amiri" w:cs="Amiri"/>
          <w:color w:val="111111"/>
          <w:sz w:val="28"/>
          <w:sz w:val="28"/>
          <w:szCs w:val="28"/>
          <w:rtl w:val="true"/>
          <w:lang w:bidi="ar-SA"/>
        </w:rPr>
        <w:t xml:space="preserve">، وأمّا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لي قوله بالجواز للمتجزئ، حيث إنه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والاجتهاد في الأحكام الشرعية وأصولها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فكلامه وإنْ كان مطلقاً إلّا أنّا لا نستطيع أن نستظهر شموله للمتجزئ خصوصاً بعد تصريحه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بكونه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مجتهداً مطلقاً، فلا يكفي اجتهاده في بعض الأحكام دون بعض على القول بتجزّئ الاجتهاد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وقال المحقق السبزواري في كفاية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وكيفما</w:t>
      </w:r>
    </w:p>
    <w:p>
      <w:pPr>
        <w:pStyle w:val="BookText"/>
        <w:rPr/>
      </w:pPr>
      <w:r>
        <w:rPr>
          <w:rFonts w:ascii="Amiri" w:hAnsi="Amiri" w:eastAsia="Amiri" w:cs="Amiri"/>
          <w:color w:val="111111"/>
          <w:sz w:val="28"/>
          <w:sz w:val="28"/>
          <w:szCs w:val="28"/>
          <w:rtl w:val="true"/>
          <w:lang w:bidi="ar-SA"/>
        </w:rPr>
        <w:t>كان فمع تيسّر المجتهد المطلق لا يكفي المتجزّئ؛ لما دلّ على تقديم قول الأعلم</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حسين العصفور في اللوامع</w:t>
      </w:r>
      <w:r>
        <w:rPr>
          <w:rStyle w:val="FootnoteAnchor"/>
          <w:rtl w:val="true"/>
        </w:rPr>
        <w:footnoteReference w:id="292"/>
      </w:r>
      <w:r>
        <w:rPr>
          <w:rFonts w:ascii="Amiri" w:hAnsi="Amiri" w:eastAsia="Amiri" w:cs="Amiri"/>
          <w:color w:val="111111"/>
          <w:sz w:val="28"/>
          <w:sz w:val="28"/>
          <w:szCs w:val="28"/>
          <w:rtl w:val="true"/>
          <w:lang w:bidi="ar-SA"/>
        </w:rPr>
        <w:t>حيث عدّ مقام العلماء في عصره من قبيل الاجتهاد المتجزئ، ولذا 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جواز القضاء للمتجزئ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بالمتجزئ، فمن جوّزه يريد المعنى الذي قيّده الشيخ الأنصاري، وهذا عند من منع مجتهدٌ مطلقٌ وليس متجزئاً كما يظهر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جواز تولّي المتجزئ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بل المقطوع أنّ المنصوبين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لبعضهم ملكة استنباط جميع المسائل، وإطلاق بعض أدلة النصب في حال الغيبة كما سيجيئ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الإجماع المنسوب للشهيد الثاني بما ذكره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في المقام على اعتبار كون القاضي مجتهداً محل نظر يظهر لمن لاحظ عبارة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انظروا إلى رجل منكم يعلم شيئاً من قضايانا فاجعلوه </w:t>
      </w:r>
    </w:p>
    <w:p>
      <w:pPr>
        <w:pStyle w:val="BookText"/>
        <w:rPr/>
      </w:pPr>
      <w:r>
        <w:rPr>
          <w:rFonts w:ascii="Amiri" w:hAnsi="Amiri" w:eastAsia="Amiri" w:cs="Amiri"/>
          <w:color w:val="111111"/>
          <w:sz w:val="28"/>
          <w:sz w:val="28"/>
          <w:szCs w:val="28"/>
          <w:rtl w:val="true"/>
          <w:lang w:bidi="ar-SA"/>
        </w:rPr>
        <w:t>بينكم فإني قد جعلته قاضياً</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عمدة الأدلة على تولي المتجزئ للقضاء لأنها واضحة الدلالة على كفاية العلم ببعض 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قضائهم في رواية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فيها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أنّ ضعف سندها بمعلّى وأبي خديجة، وأجاب الشيخ الأنصاري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سند المرفوعة، فحقيق بالإعراض عنه بعد إطلاق المشهورة عليها، وركون المشهور إليها ولو في غير المقام بل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منجبرة بالشهرة العظيمة لروايتها، حتى أنّ الأصحاب سمّوها بمشهورة أبي خديجة، ولذا يقول في المسالك عنها وعن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 الخبرين ضعف، لكنهما مشتهران بين الأصحاب، متفق على العمل بمضمونهما بينهم، فكان ذلك جابراً للضعف عندهم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الرواية ليست ضعيفة بعد توثيق النجاشي، وتضعيف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به في نفسه في المقام، فتوثيق النجاشي ومدح ابن فضال يبقى بلا معارض، فالرواية صحيحة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تولي المتجزيء للقضاء؛ وذلك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لأنّ المفرد إذا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للجمع تفيد </w:t>
      </w:r>
    </w:p>
    <w:p>
      <w:pPr>
        <w:pStyle w:val="BookText"/>
        <w:rPr/>
      </w:pPr>
      <w:r>
        <w:rPr>
          <w:rFonts w:ascii="Amiri" w:hAnsi="Amiri" w:eastAsia="Amiri" w:cs="Amiri"/>
          <w:color w:val="111111"/>
          <w:sz w:val="28"/>
          <w:sz w:val="28"/>
          <w:szCs w:val="28"/>
          <w:rtl w:val="true"/>
          <w:lang w:bidi="ar-SA"/>
        </w:rPr>
        <w:t>التبعيض لا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لا معارضة ولا مقيدة لها؛ لعدم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إفادة الجمع المضاف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المقبولة واردة في مقام بيان المرجع وتعريفه،</w:t>
      </w:r>
    </w:p>
    <w:p>
      <w:pPr>
        <w:pStyle w:val="BookText"/>
        <w:rPr/>
      </w:pPr>
      <w:r>
        <w:rPr>
          <w:rFonts w:ascii="Amiri" w:hAnsi="Amiri" w:eastAsia="Amiri" w:cs="Amiri"/>
          <w:color w:val="111111"/>
          <w:sz w:val="28"/>
          <w:sz w:val="28"/>
          <w:szCs w:val="28"/>
          <w:rtl w:val="true"/>
          <w:lang w:bidi="ar-SA"/>
        </w:rPr>
        <w:t>فالقيود فيها 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تدل على القاضي المنصوب ابتداءً لا قاضي التحكيم؛ لأنّ المشهور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المقلّد ولمناسبة الحكم والموضوع ولصريح كثير من المجتهدين بأن دلالتها تامة على القاضي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دالة على الاجتهاد خلافاً للسيد الخوئي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الشيخ الأنصاري في رسائله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فالتأمل في الخبر المخالف للمشهور إنّما هو إذا خالفت الشهرة نفس الخبر، لا عمومه أو إطلاقه، فلا يتأملون في عمومه إذا كانت الشهرة على التخصيص</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الشهرة مخالفة لإطلاق الخبر،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الجواهر في منصب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جواز تولي القضاء لكل مؤمن عارف بالأحكام ولو تقليداً بشرط الحكم بالحقّ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الكتاب والسنة صحة الحكم بالحقّ والعدل والقسط من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 إِنَّ اللَّهَ نِعِمَّا يَعِظُكُم بِهِ إِنَّ اللَّهَ كَانَ سَمِيعًا بَصِيرًا</w:t>
      </w:r>
      <w:r>
        <w:rPr>
          <w:rStyle w:val="FootnoteAnchor"/>
          <w:rtl w:val="true"/>
        </w:rPr>
        <w:footnoteReference w:id="30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وَلَا يَجْرِمَنَّكُمْ شَنَآنُ قَوْمٍ عَلَىٰ أَلَّا تَعْدِلُوا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والنصوص البالغة بالتعاضد أعلى مراتب القطع الدالة على أنّ المدار الحكم بالحقّ الذي هو عند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في النار وواحد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قضى بالحقّ وهو يعلم فهو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أبي خديجة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إرادة الأعمّ من المجتهد، بل لعلّ ذلك أولى من الأحكام الاجتهادية الظنيّة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عبد الله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اللص الداخل على المرأة وقتل ولدها وأخذ ثيابها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السائل بالقضاء بينهم بما ذكره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غيره أيضاً كذلك، فدعوى قصور من علم جملة من الأحكام مشافهة أو بتقليد لمجتهد عن منصب القضاء بما علمه خالية عن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فتظهر ثمرة ذلك بناءً على عموم هذه الرئاسة أنّ للمجتهد نصب مقلِّده للقضاء بين الناس بفتاواه التي هي حلالهم وحرامهم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حكمه حكم مجتهده، وحكم مجتهده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تعالى شأنه، والرّاد عليه رادّ على الله تعالى</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الرّد على أدلته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إطلاق الآيتين اللتين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لإهمالهما وورودهما في مقام بيان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الإطلاق القابل للاستدلال بأنّ المأمور بالحكم هو الذي كان عالماً بالحقّ وبما أنزل اللَّه تعالى في الشبهات الموضوعية التي هي محل استعمال القاضي للبينة والأيمان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الروايات الدالة على أن المدار الحكم بالحقّ فالأُولى مرفوعة، ودلالتها قاصرة عن المدعى،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بحجيتها وتمام سندها ودلالتها فقد أثبتنا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الاجتهاد، لا الأعم من الاجتهاد لتشمل أي مؤمن، والثالثة ضعيفة سنداً؛ لمجهولية عبد الله بن طلحة، ولو تنزلنا عن ضعف السند فالدلالة على المطلوب غير تامّة، إمّا لأنَّها في واقعة خاصة أذن له الإمام بالقضاء فيها، أو لأنّ الإمام اطّلع على الواقعة وقضى بها وأمره بنقل قضائه إليهم، أو ربما يكون المخاطب مجتهداً وأمره الإمام بالقضاء، ويحتمل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 من كان عنده أحكامهم بالاجتهاد أو التقليد الصحيحين وحكم بها بين الناس، كان حكماً بالحقّ والقسط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الحكم بالحقّ صحيح، ولكن مَنْ يستطيع أن يحقّق الحكم بالحقّ خصوصاً بين المتنازعين بالأمور المالية؟ وما روي عن رسول الله صلوات ربي عليه وآله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ولم يقل أقضي بينكم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تحقيق الحكم بالعدل الذي هو أعمّ من الحكم بالحقّ حسب الضوابط والقواعد التي أسّسها رسول الله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للمقلِّد الاطّلاع عليها ودقّة تطبيقها، وإنْ علم بها فهو ليس بمقلِّد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الإذن منهم؛ لما روي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سليمان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كنبي أو وصي نبي</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الإذن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 المقلِّد للقضاء لوجب علينا القبول والتسليم، ولكنه لوكان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الإذن لما جاز لهم التصدّي قطعاً؛ لأنّ الأصل في إلزام الحكم من شخص على شخص آخر هو المنع؛ وإلزامه به يحتاج إذن الشارع الأقدس، وقد أذن للنبي ومن نصبه ومن أذن له، فيخرجون عن الأصل؛ لثبوت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من لم يؤذن له داخلاً بالمنع، وهو مَن دون المجتهد كالمقلِّد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مسألتان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وظائف المجتهد، فهل له تفويض أمره إلى المقلِّد أو لا؟ وعلى فرض العدم، فهل له توكيله في أصل القضاء بجميع مقدّماته أم لا؟</w:t>
      </w:r>
    </w:p>
    <w:p>
      <w:pPr>
        <w:pStyle w:val="BookText"/>
        <w:rPr/>
      </w:pPr>
      <w:r>
        <w:rPr>
          <w:rFonts w:ascii="IRNazanin" w:hAnsi="IRNazanin" w:eastAsia="IRNazanin"/>
          <w:color w:val="111111"/>
          <w:sz w:val="28"/>
          <w:sz w:val="28"/>
          <w:szCs w:val="28"/>
          <w:rtl w:val="true"/>
          <w:lang w:bidi="fa-IR"/>
        </w:rPr>
        <w:t>وجوه واحتمالات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المقلِّد للتصدّي له بحسب الحكم الجعلي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المجتهد وسلطنته على إعطائه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واحدة من المقدّمتين لا مجال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قُرّر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لم يتمكن من ذلك، يجري عليه حكم قاضي التحكيم، فيحكم طبق رأي نظر مجتهد آخر</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الأولى فرع إثبات عدم دخل الاجتهاد في أصل موضوع القضاء شرعاً، والمحلّ غير قابل؛ إذ من البديهي أنّ مثل هذه العمومات لا تصحّ للمشرّعية، </w:t>
      </w:r>
    </w:p>
    <w:p>
      <w:pPr>
        <w:pStyle w:val="BookText"/>
        <w:rPr/>
      </w:pPr>
      <w:r>
        <w:rPr>
          <w:rFonts w:ascii="Amiri" w:hAnsi="Amiri" w:eastAsia="Amiri" w:cs="Amiri"/>
          <w:color w:val="111111"/>
          <w:sz w:val="28"/>
          <w:sz w:val="28"/>
          <w:szCs w:val="28"/>
          <w:rtl w:val="true"/>
          <w:lang w:bidi="ar-SA"/>
        </w:rPr>
        <w:t>ولا يثمر في مورد لم يحرز من الخارج قابلية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مثل هذا العموم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صلاحية الفقيه لمثل هذا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منعه أيضاً باعتبار أنّه ليس من الأمور الحسبيّة التي عُلم من الشارع مطلوبية وجوده، فهو موقوف على ثبوت الولاية العامّة، وأنّ ما للإمام لهم، وهو أيضاً في غاية الإشكال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يصحّ دليلاً للمنع عند من يقول بالولاية للمجتهد المطلق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أُولي الأمر للفقهاء وجعلهم 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 القطعية، حيث أجاز الفقهاء للمقلِّد الحكم والقضاء بشرط أن يكون الحكم بالحقّ والتمكّن منه خصوصاً للضرورة، ولعدم تعطيل الأحكام والفصل بين المنازعات والخصومات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توكيل القضاء أو تجويزه لمن لم يكن مؤمناً ولا مقلّداً أو كان فاسقاً كما عليه القضاء في الدول الإسلامية في زماننا؟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عدم تولّيه منصب القضاء بنوعيه القاضي المنصوب وقاضي التحكيم؛ لأنّه غير قابل للإمامة ولا تقبل شهادته، فلا يجوز له التصدّي للقضاء بطريق أولى، فهذا كلّه خلاف الشريعة المقدّسة، وتسميته بالقاضي تحكّم ظاهر، وتجري على الله عصمنا الله وإيّاكم من منابر أهل الضلال والجور والنار، ولوضوحه لا نحتاج إلى ذكر الأدلة وآراء المذاهب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المذاهب الفقهية الإسلامية الأُخر في منصب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المذهب الشافعي فيشترط في القاضي الاجتهاد المطلق، وهو القادر على</w:t>
      </w:r>
    </w:p>
    <w:p>
      <w:pPr>
        <w:pStyle w:val="BookText"/>
        <w:rPr/>
      </w:pPr>
      <w:r>
        <w:rPr>
          <w:rFonts w:ascii="Amiri" w:hAnsi="Amiri" w:eastAsia="Amiri" w:cs="Amiri"/>
          <w:color w:val="111111"/>
          <w:sz w:val="28"/>
          <w:sz w:val="28"/>
          <w:szCs w:val="28"/>
          <w:rtl w:val="true"/>
          <w:lang w:bidi="ar-SA"/>
        </w:rPr>
        <w:t>الاستنباط المباشر من الكتاب والسنة، ولا يجيز تولي غيره للقضاء ممّن دونه، لما ذكره 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قلّد القضاء فحكم بالصواب أو الخطأ كان تقليده باطلاً، وحكمه وإن وافق الصواب مردود</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من النووي جواز تولّي مَن دون المجتهد المطلق</w:t>
      </w:r>
      <w:r>
        <w:rPr>
          <w:rStyle w:val="FootnoteAnchor"/>
          <w:rtl w:val="true"/>
        </w:rPr>
        <w:footnoteReference w:id="309"/>
      </w:r>
      <w:r>
        <w:rPr>
          <w:rFonts w:ascii="Amiri" w:hAnsi="Amiri" w:eastAsia="Amiri" w:cs="Amiri"/>
          <w:color w:val="111111"/>
          <w:sz w:val="28"/>
          <w:sz w:val="28"/>
          <w:szCs w:val="28"/>
          <w:rtl w:val="true"/>
          <w:lang w:bidi="ar-SA"/>
        </w:rPr>
        <w:t>، والرملي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فولّى السلطان أو من له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أو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جاهلاً نفذ قضاؤه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المذهب المالكي فمع فقد المطلق يقولون بجواز تولي المقلِّد الأمثل، لما ذكره الخطّاب الرعيني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وقدرةٌ على الترجيح بين أقاويل أهل مذهبه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المذهب الحنفي فمع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تولية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الحاكم في الدماء والفروج عالماً ديناً كالكبريت الأحمر</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يجوّزون قضاء المقلِّد ويعدونه فاسداً في نفسه، لما ذكره أبو يوسف</w:t>
      </w:r>
      <w:r>
        <w:rPr>
          <w:rStyle w:val="FootnoteAnchor"/>
          <w:rtl w:val="true"/>
        </w:rPr>
        <w:footnoteReference w:id="313"/>
      </w:r>
      <w:r>
        <w:rPr>
          <w:rFonts w:ascii="Amiri" w:hAnsi="Amiri" w:eastAsia="Amiri" w:cs="Amiri"/>
          <w:color w:val="111111"/>
          <w:sz w:val="28"/>
          <w:sz w:val="28"/>
          <w:szCs w:val="28"/>
          <w:rtl w:val="true"/>
          <w:lang w:bidi="ar-SA"/>
        </w:rPr>
        <w:t>، وابن عابدين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المذهب الحنبلي فقد ادّعى الإجماع، والمفتي لا يجوز أن يكون عامياً مقلِّداً فالحاكم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بعضهم القول بجواز تولّي العامي ورفضه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ابن قدامة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فالنتيجة في منصب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المجمع عليه أنَّه منصب المجتهد المطلق، وجوّز بعض الإمامية تولّي المجتهد المتجزئ القضاء؛ لصحيحة أبي خديجة في المقام خصوصاً،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w:t>
      </w:r>
      <w:r>
        <w:rPr>
          <w:rStyle w:val="FootnoteAnchor"/>
          <w:rtl w:val="true"/>
        </w:rPr>
        <w:footnoteReference w:id="316"/>
      </w:r>
      <w:r>
        <w:rPr>
          <w:rFonts w:ascii="IRNazanin" w:hAnsi="IRNazanin" w:eastAsia="IRNazanin"/>
          <w:color w:val="111111"/>
          <w:sz w:val="28"/>
          <w:sz w:val="28"/>
          <w:szCs w:val="28"/>
          <w:rtl w:val="true"/>
          <w:lang w:bidi="fa-IR"/>
        </w:rPr>
        <w:t>والوسائل</w:t>
      </w:r>
      <w:r>
        <w:rPr>
          <w:rStyle w:val="FootnoteAnchor"/>
          <w:rtl w:val="true"/>
        </w:rPr>
        <w:footnoteReference w:id="317"/>
      </w:r>
      <w:r>
        <w:rPr>
          <w:rFonts w:ascii="Amiri" w:hAnsi="Amiri" w:eastAsia="Amiri" w:cs="Amiri"/>
          <w:color w:val="111111"/>
          <w:sz w:val="28"/>
          <w:sz w:val="28"/>
          <w:szCs w:val="28"/>
          <w:rtl w:val="true"/>
          <w:lang w:bidi="ar-SA"/>
        </w:rPr>
        <w:t xml:space="preserve">بسند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قضايانا؛ لتماميتها سنداً ودلالةً على تولّي المجتهد المتجزئ القضاء إنْ كان مجتهداً بالمسائل التي تخصّ القضاء في المسألة المتنازع فيها كما يجوز للمجتهد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تولي القضاء للمتجزئ مطلقاً أو إذا تعذر الوصول إلى المطلق أو تعسّر ويمضي حكمه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وجوّزت المذاهب الفقهية الأربعة لمجتهد المذهب تولي منصب القضاء، وكذا المقلِّد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محتاط عند الإمامية ومجتهد فتوى عند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صاحب الجواهر لكلّ مؤمن عارف بالأحكام ولو تقليداً، وبعض الحنفية للعامي والجاهل إنْ نصَّبه السلطان ذو الشوكة؛ ولكن لا يمكن المساعدة عليه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للمجتهد المطلق تفويض القضاء إلى المقلِّد، أو توكيله والحكم بفتوى المجتهد المطلق؛ لولايته العامة على القضاء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والعامي لا يعدّ قاضياً، وإنّما قاضي تحكيم أو قاضي ضرورة وهو الصحيح؛ لعدم قابليته لمنصب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الفاسق وغير المسلم فلا يجوز توليه؛ لأنّ هذا خلاف الشريعة المقدَّسة وتسميته بالقاضي تحكّم ظاهر وتجرُّؤ على الله، عصمنا الله </w:t>
      </w:r>
    </w:p>
    <w:p>
      <w:pPr>
        <w:pStyle w:val="BookText"/>
        <w:rPr/>
      </w:pPr>
      <w:r>
        <w:rPr>
          <w:rFonts w:ascii="Amiri" w:hAnsi="Amiri" w:eastAsia="Amiri" w:cs="Amiri"/>
          <w:color w:val="111111"/>
          <w:sz w:val="28"/>
          <w:sz w:val="28"/>
          <w:szCs w:val="28"/>
          <w:rtl w:val="true"/>
          <w:lang w:bidi="ar-SA"/>
        </w:rPr>
        <w:t>وإيَّاكم من منابر أهل الضلال والجور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النهائية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معالجة التعارض بين المذاهب الفقهية الإسلامية في التقنين وتدوين الأحكام الشرعية وصياغتها في قوانين والحكم بها بعد ثبوت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تحقيق الحكم بالعدل الذي هو أعمّ من الحكم بالحقّ حسب الضوابط والقواعد التي أسّسها رسول الله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بها المجتهدون من فقهاء المذاهب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انحصار منصب القاضي بالمجتهد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جواز تولي القضاء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المبحث الأوَّل، ويليه المبحث الثاني، والذي فيه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وفقهية لعنوان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عنوان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تحليلية وفقهية للمادة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الزوجات، وما يقابلها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 في العدد القادم إن شاء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bookmarkStart w:id="266" w:name="pg9131_75895"/>
    </w:p>
    <w:p>
      <w:pPr>
        <w:pStyle w:val="Heading2"/>
        <w:numPr>
          <w:ilvl w:val="1"/>
          <w:numId w:val="1"/>
        </w:numPr>
        <w:rPr/>
      </w:pPr>
      <w:bookmarkStart w:id="267" w:name="__RefHeading___Toc2991816_2870459653"/>
      <w:bookmarkStart w:id="268" w:name="_Toc104"/>
      <w:bookmarkEnd w:id="266"/>
      <w:bookmarkEnd w:id="267"/>
      <w:r>
        <w:rPr>
          <w:rtl w:val="true"/>
        </w:rPr>
        <w:t xml:space="preserve">تبعيّة المدلول الالتزاميّ للمدلول المطابقيّ في الحجّيّة </w:t>
      </w:r>
      <w:r>
        <w:rPr>
          <w:rtl w:val="true"/>
        </w:rPr>
        <w:t xml:space="preserve">- </w:t>
      </w:r>
      <w:r>
        <w:rPr>
          <w:rtl w:val="true"/>
        </w:rPr>
        <w:t xml:space="preserve">الشيخ إسكندر الجعفري </w:t>
      </w:r>
      <w:r>
        <w:rPr>
          <w:rtl w:val="true"/>
        </w:rPr>
        <w:t>(</w:t>
      </w:r>
      <w:r>
        <w:rPr>
          <w:rtl w:val="true"/>
        </w:rPr>
        <w:t>دام عزه</w:t>
      </w:r>
      <w:r>
        <w:rPr>
          <w:rtl w:val="true"/>
        </w:rPr>
        <w:t>)</w:t>
      </w:r>
      <w:bookmarkEnd w:id="268"/>
    </w:p>
    <w:p>
      <w:pPr>
        <w:pStyle w:val="Heading3"/>
        <w:numPr>
          <w:ilvl w:val="2"/>
          <w:numId w:val="1"/>
        </w:numPr>
        <w:rPr/>
      </w:pPr>
      <w:bookmarkStart w:id="269" w:name="__RefHeading___Toc2991818_2870459653"/>
      <w:bookmarkStart w:id="270" w:name="_Toc105"/>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يُسلّطُ هذا البحث الأضواء على مسألة أُصوليَّة مهمَّة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المدلول الالتزامي للمدلول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استعرض البحثُ الأقوال مع أدلّتها، ثُمَّ نقدها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ينتهي البحث إلى اختيار القول الثالث، ولكن على أساس آخر غير الّذي اعتمده أصحاب هذا القول</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9131_75897"/>
      <w:bookmarkStart w:id="272" w:name="pg9131_75897"/>
      <w:bookmarkEnd w:id="272"/>
    </w:p>
    <w:p>
      <w:pPr>
        <w:pStyle w:val="Heading3"/>
        <w:numPr>
          <w:ilvl w:val="2"/>
          <w:numId w:val="1"/>
        </w:numPr>
        <w:rPr/>
      </w:pPr>
      <w:bookmarkStart w:id="273" w:name="pg9131_75897"/>
      <w:bookmarkStart w:id="274" w:name="__RefHeading___Toc2991820_2870459653"/>
      <w:bookmarkStart w:id="275" w:name="_Toc106"/>
      <w:bookmarkEnd w:id="273"/>
      <w:bookmarkEnd w:id="274"/>
      <w:r>
        <w:rPr>
          <w:rtl w:val="true"/>
        </w:rPr>
        <w:t>المقدّمة</w:t>
      </w:r>
      <w:bookmarkEnd w:id="2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المسائل الأصوليّة المهمة هي هذه المسألة، لما يترتب عليها من ثمرات فقهيّة كثيرة، وقد وقعت محلّا ً للكلام بين الأعلام، حيث تعرّضوا لبحثها في موضعين،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الضد،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التعارض، وسنعرضها ضمن الأبحاث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الأعلام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المختار</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991822_2870459653"/>
      <w:bookmarkStart w:id="277" w:name="_Toc107"/>
      <w:bookmarkEnd w:id="276"/>
      <w:r>
        <w:rPr>
          <w:rtl w:val="true"/>
        </w:rPr>
        <w:t>البحث الأوَّل</w:t>
      </w:r>
      <w:r>
        <w:rPr>
          <w:rtl w:val="true"/>
        </w:rPr>
        <w:t xml:space="preserve">: </w:t>
      </w:r>
      <w:r>
        <w:rPr>
          <w:rtl w:val="true"/>
        </w:rPr>
        <w:t>تحرير محل النّزاع</w:t>
      </w:r>
      <w:bookmarkEnd w:id="27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الدلالة الالتزاميّة تابعة للدلالة المطابقيّة في الوجود، بمعنى أنّ وجودها تابع لوجود المطابقيّة، ولكن الكلام في الحجّيّة، فهل الدلالة الالتزاميّة تابعة للمطابقيّة في الحجّيّة أيضاً؟ بمعنى أنّ دليل الحجّيّة يدل عليهما في عَرَض واحد، أو يدلُّ عليهما بشكلٍ طولي فدلالته على الحجّيّة الالتزاميّة فرع دلالته على الحجّيّة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الاحتمال الأوَّل عدم الملازمة بين الدلالتين في الحجّيّة، إذ دليل الحجّيّة يدلّ على كلِّ واحدةٍ منهما بشكلٍ مستقل،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إحداهما سقوط الأخرى لعدم التلازم بينهما في الحجّيّة، بينما على الاحتمال الثّاني يمكن أن تثبت الملازمة بينهما في الحجّيّة لافتراض الطوليّة بينهما، فإذا سقطت المطابقيّة سقطت الالتزاميّة؛ لأنّها </w:t>
      </w:r>
      <w:bookmarkStart w:id="278" w:name="pg9131_75898"/>
    </w:p>
    <w:p>
      <w:pPr>
        <w:pStyle w:val="BookText"/>
        <w:rPr/>
      </w:pPr>
      <w:bookmarkEnd w:id="278"/>
      <w:r>
        <w:rPr>
          <w:rFonts w:ascii="Amiri" w:hAnsi="Amiri" w:eastAsia="Amiri" w:cs="Amiri"/>
          <w:color w:val="111111"/>
          <w:sz w:val="28"/>
          <w:sz w:val="28"/>
          <w:szCs w:val="28"/>
          <w:rtl w:val="true"/>
          <w:lang w:bidi="ar-SA"/>
        </w:rPr>
        <w:t>فرعها، وهذا بخلاف العكس، فإذا سقطت الالتزاميّة فلا يلزم منه سقوط المطابقيّة؛ لأنّ المطابقيّة ليست فرعاً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يُعلم أنّ المراد من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حجّيّة الدلالة المطابقيّة، لا سقوطها في الوجود، فإذا عُلم بكذب المُخبِر أو بخطئه خرج المورد عن محل النّزاع؛ للعلم حينئذٍ بعدم وجود الدلالة المطابقيّة من رأس وما كان موجوداً قبل العلم مجرد وهم، وسيتضح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المناقشات والإشكالات تبتني على دخول هذه الصورة في محلّ النّزاع، وهو أمر لا يمكن قبوله؛ لكون المورد حينئذٍ من السّالبة بانتفاء الموضوع، فكيف يُعقل بقاء الدلالة الالتزاميّة فضلاً عن حجّيّتها بعد العلم بعدم وجود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هذا يُعلم أنّ القائل بعدم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يقول بها في هذه الصورة وإنّما يقول بها في صورة سقوط حجّيّة الدلالة المطابقيّة دون وجودها، فالمفروض وجودها الذي يُعلم معه وجود الالتزاميّة، ولكن سقطت حجّيّتها بسبب وجود المعارض مثلاً أو غيره، فيبقى النزاع بعد ذلك في بقاء حجّيّة الدلالة الالتزاميّة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991824_2870459653"/>
      <w:bookmarkStart w:id="280" w:name="_Toc108"/>
      <w:bookmarkEnd w:id="279"/>
      <w:r>
        <w:rPr>
          <w:rtl w:val="true"/>
        </w:rPr>
        <w:t>البحث الثّاني</w:t>
      </w:r>
      <w:r>
        <w:rPr>
          <w:rtl w:val="true"/>
        </w:rPr>
        <w:t xml:space="preserve">: </w:t>
      </w:r>
      <w:r>
        <w:rPr>
          <w:rtl w:val="true"/>
        </w:rPr>
        <w:t>آراء الأعلام في المسألة</w:t>
      </w:r>
      <w:bookmarkEnd w:id="280"/>
    </w:p>
    <w:p>
      <w:pPr>
        <w:pStyle w:val="Heading4"/>
        <w:numPr>
          <w:ilvl w:val="3"/>
          <w:numId w:val="1"/>
        </w:numPr>
        <w:rPr/>
      </w:pPr>
      <w:bookmarkStart w:id="281" w:name="__RefHeading___Toc2991826_2870459653"/>
      <w:bookmarkStart w:id="282" w:name="_Toc10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والآراء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وتفصيلها ما يلي</w:t>
      </w:r>
      <w:r>
        <w:rPr>
          <w:rFonts w:eastAsia="Amiri" w:cs="Amiri" w:ascii="Amiri" w:hAnsi="Amiri"/>
          <w:color w:val="111111"/>
          <w:sz w:val="28"/>
          <w:szCs w:val="28"/>
          <w:rtl w:val="true"/>
          <w:lang w:bidi="ar-SA"/>
        </w:rPr>
        <w:t xml:space="preserve">: </w:t>
      </w:r>
      <w:bookmarkStart w:id="283" w:name="pg9131_75899"/>
    </w:p>
    <w:p>
      <w:pPr>
        <w:pStyle w:val="Heading4"/>
        <w:numPr>
          <w:ilvl w:val="3"/>
          <w:numId w:val="1"/>
        </w:numPr>
        <w:rPr/>
      </w:pPr>
      <w:bookmarkStart w:id="284" w:name="__RefHeading___Toc2991828_2870459653"/>
      <w:bookmarkStart w:id="285" w:name="_Toc110"/>
      <w:bookmarkEnd w:id="283"/>
      <w:bookmarkEnd w:id="284"/>
      <w:r>
        <w:rPr>
          <w:rtl w:val="true"/>
        </w:rPr>
        <w:t>الرأي الأوَّل</w:t>
      </w:r>
      <w:r>
        <w:rPr>
          <w:rtl w:val="true"/>
        </w:rPr>
        <w:t xml:space="preserve">: </w:t>
      </w:r>
      <w:r>
        <w:rPr>
          <w:rtl w:val="true"/>
        </w:rPr>
        <w:t>عدم التبعيّة مطلقاّ</w:t>
      </w:r>
      <w:r>
        <w:rPr>
          <w:rtl w:val="true"/>
        </w:rPr>
        <w:t>..</w:t>
      </w:r>
      <w:bookmarkEnd w:id="285"/>
    </w:p>
    <w:p>
      <w:pPr>
        <w:pStyle w:val="Heading5"/>
        <w:numPr>
          <w:ilvl w:val="4"/>
          <w:numId w:val="1"/>
        </w:numPr>
        <w:rPr/>
      </w:pPr>
      <w:bookmarkStart w:id="286" w:name="__RefHeading___Toc2991830_2870459653"/>
      <w:bookmarkStart w:id="287" w:name="_Toc11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وقد صار إليه جماعة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والمحقّق العراقي، والمحقّق النّائيني، والسّيّد البجنوردي،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وإن كانت تابعةً للدلالة المطابقيّة في الحدوث والوجود، لكنّها ليست تابعةً لها في الحجّيّة، فمتى سقطت المطابقيّة عن الحجّيّة بسبب التعارض أو نحو ذلك لا يلزم منه سقوط الالتزاميّة عنها، وقد اتّضح ممّا سبق أنّ محل الكلام فيما لو سقطت المطابقيّة عن الحجّيّة فقط، لا عن الوجود، وإلّا لسقطت الالتزاميّة حينئذٍ أيضاً؛ لكونها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المطابقيّة قد أُخذت في موضوع وجود الالتزاميّة، ولم تؤخذ في موضوع حجّيّتها، فهي فرعها في الوجود والتحقّق، وليست فرعها في الحجّيّة، فهما بلحاظ دليل الحجّيّة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عرض أدلة هذا الرأي لابأس بنقل بعض عباراتهم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991832_2870459653"/>
      <w:bookmarkStart w:id="289" w:name="_Toc112"/>
      <w:bookmarkEnd w:id="288"/>
      <w:r>
        <w:rPr/>
        <w:t>1</w:t>
      </w:r>
      <w:r>
        <w:rPr>
          <w:rtl w:val="true"/>
        </w:rPr>
        <w:t xml:space="preserve">. </w:t>
      </w:r>
      <w:r>
        <w:rPr>
          <w:rtl w:val="true"/>
        </w:rPr>
        <w:t xml:space="preserve">المحقّق الخراساني </w:t>
      </w:r>
      <w:r>
        <w:rPr>
          <w:rtl w:val="true"/>
        </w:rPr>
        <w:t>(</w:t>
      </w:r>
      <w:r>
        <w:rPr>
          <w:rtl w:val="true"/>
        </w:rPr>
        <w:t>قدس سره</w:t>
      </w:r>
      <w:r>
        <w:rPr>
          <w:rtl w:val="true"/>
        </w:rPr>
        <w:t>)..</w:t>
      </w:r>
      <w:bookmarkEnd w:id="289"/>
    </w:p>
    <w:p>
      <w:pPr>
        <w:pStyle w:val="BookText"/>
        <w:rPr/>
      </w:pPr>
      <w:r>
        <w:rPr>
          <w:rFonts w:ascii="Amiri" w:hAnsi="Amiri" w:eastAsia="Amiri" w:cs="Amiri"/>
          <w:color w:val="111111"/>
          <w:sz w:val="28"/>
          <w:sz w:val="28"/>
          <w:szCs w:val="28"/>
          <w:rtl w:val="true"/>
          <w:lang w:bidi="ar-SA"/>
        </w:rPr>
        <w:t xml:space="preserve">اختلفت الكلمات في نسبة هذا الرأي إليه بين مثبتٍ ونافٍ، ولكن عند التأمل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الفرائد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التزامه بالتفكيك بين الدلالتين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في تقريب دلالة الخبرين المتعارضين على نفي الثّالث ما نصّه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الثّالث المخالف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بينهما تنافٍ ولم يُعلم 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جمعهما مع وجود المقتضي على ما هو المفروض من اشتمال كلٍّ على جميع ما يعتبر في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يقتصر في رفع اليد عن الحجّيّة مع وجود المقتضي على قدر المانع، ولا مانع منهما إلَّا بالنّسبة إلى مدلولهما المطابقي دون الالتزامي، فيكون نفي الثّالث مستنداً إلى كلّ واحد</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المطابقي لكلٍّ من المتعارضين قد سقط عن الحجّيّة بسبب المعارضة، ولكن مقتضى الحجّيّة في كلٍّ واحدٍ منهما موجود إلّا أنّ المعارضة تمنع من تأثيره، وأمّا المدلول الالتزامي لكلٍّ منهما فلا يوجد ما يمنع من تأثيره؛ إذ لا معارضة بينهما حسب الفرض، فيكون المدلول الالتزامي في كلٍّ منهما حجّة في نفي الثّالث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من هذا البيان 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بالتفكيك بين المدلولين في الحجّيّة، ولكن مع توفر شرطين أساسيين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مقتضي الحجّيّة في كلا المدلولين المطابقيين والالتزاميين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المانع وهو التكاذب بلحاظ المدلولين المطابقيين، وعدم وجوده بلحاظ المدلولين الالتزاميين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الدليل وقال ما نصّه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التّحقيق على ما يقتضيه النّظر الدّقيق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سقوط أحدهما بلا عنوان، من دون تعيين لا واقعاً ولا ظاهراً عن الحجّيّة، وبقاء الآخر كذلك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نفي الثّالث مستند إلى أحدهما الحجّيّة، لا إلى كلِّ واحد؛ وذلك لأنّ المفروض لمّا كان وجود المقتضي وليس المانع إلَّا العلم بالكذب وليس ما عُلم كذبه إلَّا أحدهما كذلك، فلا وجه لسقوط غيره عن الحجّيّة بالنّسبة إلى كلا مدلوليه المطابقي والالتزامي، كما لا وجه لبقائه على الحجّيّة بالإضافة إلى مدلوله الالتزامي، وهذه على ما </w:t>
      </w:r>
      <w:bookmarkStart w:id="290" w:name="pg9131_75901"/>
    </w:p>
    <w:p>
      <w:pPr>
        <w:pStyle w:val="BookText"/>
        <w:rPr/>
      </w:pPr>
      <w:bookmarkEnd w:id="290"/>
      <w:r>
        <w:rPr>
          <w:rFonts w:ascii="Amiri" w:hAnsi="Amiri" w:eastAsia="Amiri" w:cs="Amiri"/>
          <w:color w:val="111111"/>
          <w:sz w:val="28"/>
          <w:sz w:val="28"/>
          <w:szCs w:val="28"/>
          <w:rtl w:val="true"/>
          <w:lang w:bidi="ar-SA"/>
        </w:rPr>
        <w:t xml:space="preserve">قرّر أوَّلاً؛ إذ ليس للَّفظ دلالة عليه بالاستقلال، بل يتبع دلالته على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يبقى حجّة بالنّسبة إليه بعد ما لم يكن حجّة إلى ما كان دلالته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كانت الحجّة أحدهما بلا عنوان كانت حجّيّته بالإضافة إلى مؤدّاه المطابقي غير مفيدة إلَّا نفي الثّالث بتبعه، لا التزام به بخصوصه لعدم تعيّنه، وكان الأمر بالنّسبة إليه كما إذا لم يكن واحد منهما بحجّة أصلاً، كما لا يخفى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نلتزم بنفي الثّالث ولكن ليس بكلا المدلولين الالتزاميين، وإنّما بأحدهما؛ لأنّ أحد المدلولين المطابقيين نعلم بكذبه، وبالتالي نعلم بعدم صدوره أصلاً، فكيف يبقى مدلوله الالتزامي على الحجّيّة، وهو فرعه في الوجود والتحقّق؟ وهذا ممّا يؤكّد ما ذكرناه في البحث الأوَّل من خروج صورة العلم بكذب المُخبِر أو الخبر عن محل النّزاع؛ إذ الجميع متفق على سقوط المدلول الالتزامي عن الحجّيّة؛ لأنّه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يناقش في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 بين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ناقش في قضية أخرى، وهذا ممّا يؤكّد التزامه بها</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991834_2870459653"/>
      <w:bookmarkStart w:id="292" w:name="_Toc113"/>
      <w:bookmarkEnd w:id="291"/>
      <w:r>
        <w:rPr/>
        <w:t>2</w:t>
      </w:r>
      <w:r>
        <w:rPr>
          <w:rtl w:val="true"/>
        </w:rPr>
        <w:t xml:space="preserve">. </w:t>
      </w:r>
      <w:r>
        <w:rPr>
          <w:rtl w:val="true"/>
        </w:rPr>
        <w:t xml:space="preserve">المحقّق العراقي </w:t>
      </w:r>
      <w:r>
        <w:rPr>
          <w:rtl w:val="true"/>
        </w:rPr>
        <w:t>(</w:t>
      </w:r>
      <w:r>
        <w:rPr>
          <w:rtl w:val="true"/>
        </w:rPr>
        <w:t>قدس سره</w:t>
      </w:r>
      <w:r>
        <w:rPr>
          <w:rtl w:val="true"/>
        </w:rPr>
        <w:t>)..</w:t>
      </w:r>
      <w:bookmarkEnd w:id="292"/>
    </w:p>
    <w:p>
      <w:pPr>
        <w:pStyle w:val="BookText"/>
        <w:rPr/>
      </w:pPr>
      <w:r>
        <w:rPr>
          <w:rFonts w:ascii="Amiri" w:hAnsi="Amiri" w:eastAsia="Amiri" w:cs="Amiri"/>
          <w:color w:val="111111"/>
          <w:sz w:val="28"/>
          <w:sz w:val="28"/>
          <w:szCs w:val="28"/>
          <w:rtl w:val="true"/>
          <w:lang w:bidi="ar-SA"/>
        </w:rPr>
        <w:t>قال في المقالات ما نصّه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دليل حجّيّة الظهور لا يفرّق بين الدلالتين،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بلا حجّيّة الدلالة المطابقيّة، كما هو الشأن في موارد التعارض </w:t>
      </w:r>
      <w:bookmarkStart w:id="293" w:name="pg9131_75902"/>
    </w:p>
    <w:p>
      <w:pPr>
        <w:pStyle w:val="BookText"/>
        <w:rPr/>
      </w:pPr>
      <w:bookmarkEnd w:id="293"/>
      <w:r>
        <w:rPr>
          <w:rFonts w:ascii="Amiri" w:hAnsi="Amiri" w:eastAsia="Amiri" w:cs="Amiri"/>
          <w:color w:val="111111"/>
          <w:sz w:val="28"/>
          <w:sz w:val="28"/>
          <w:szCs w:val="28"/>
          <w:rtl w:val="true"/>
          <w:lang w:bidi="ar-SA"/>
        </w:rPr>
        <w:t xml:space="preserve">الموجب لتساقطهما في المدلول المطابقي مع قيامهما على الحجّيّة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الالتزامي في نفي الثّالث كما هو تبانيهم أيضاً على ذلك كما لا يخفى</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991836_2870459653"/>
      <w:bookmarkStart w:id="295" w:name="_Toc114"/>
      <w:bookmarkEnd w:id="294"/>
      <w:r>
        <w:rPr/>
        <w:t>3</w:t>
      </w:r>
      <w:r>
        <w:rPr>
          <w:rtl w:val="true"/>
        </w:rPr>
        <w:t xml:space="preserve">. </w:t>
      </w:r>
      <w:r>
        <w:rPr>
          <w:rtl w:val="true"/>
        </w:rPr>
        <w:t xml:space="preserve">المحقّق النائيني </w:t>
      </w:r>
      <w:r>
        <w:rPr>
          <w:rtl w:val="true"/>
        </w:rPr>
        <w:t>(</w:t>
      </w:r>
      <w:r>
        <w:rPr>
          <w:rtl w:val="true"/>
        </w:rPr>
        <w:t>قدس سره</w:t>
      </w:r>
      <w:r>
        <w:rPr>
          <w:rtl w:val="true"/>
        </w:rPr>
        <w:t>)..</w:t>
      </w:r>
      <w:bookmarkEnd w:id="2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الالتزاميّة فرع المطابقيّة وبعد سقوط المتعارضين في المدلول المطابقي لا مجال لبقاء الدلالة الالتزاميّة لهما على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الدلالة الالتزاميّة إنّما تكون فرع الدلالة المطابقيّة في الوجود لا في الحجّيّة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2991838_2870459653"/>
      <w:bookmarkStart w:id="297" w:name="_Toc115"/>
      <w:bookmarkEnd w:id="296"/>
      <w:r>
        <w:rPr/>
        <w:t>4</w:t>
      </w:r>
      <w:r>
        <w:rPr>
          <w:rtl w:val="true"/>
        </w:rPr>
        <w:t xml:space="preserve">. </w:t>
      </w:r>
      <w:r>
        <w:rPr>
          <w:rtl w:val="true"/>
        </w:rPr>
        <w:t xml:space="preserve">السيّد البجنوردي </w:t>
      </w:r>
      <w:r>
        <w:rPr>
          <w:rtl w:val="true"/>
        </w:rPr>
        <w:t>(</w:t>
      </w:r>
      <w:r>
        <w:rPr>
          <w:rtl w:val="true"/>
        </w:rPr>
        <w:t>قدس سره</w:t>
      </w:r>
      <w:r>
        <w:rPr>
          <w:rtl w:val="true"/>
        </w:rPr>
        <w:t>)..</w:t>
      </w:r>
      <w:bookmarkEnd w:id="2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تبعيّة دلالة اللفظ والكلام على مدلوله الالتزامي لدلالته على مدلوله المطابقي في عالم الوجود، لا في عالم الحجّيّة، فيمكن التفكيك في عالم الحجّيّة بعد وجودهما معاً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2991840_2870459653"/>
      <w:bookmarkStart w:id="299" w:name="_Toc116"/>
      <w:bookmarkEnd w:id="298"/>
      <w:r>
        <w:rPr/>
        <w:t>5</w:t>
      </w:r>
      <w:r>
        <w:rPr>
          <w:rtl w:val="true"/>
        </w:rPr>
        <w:t xml:space="preserve">. </w:t>
      </w:r>
      <w:r>
        <w:rPr>
          <w:rtl w:val="true"/>
        </w:rPr>
        <w:t xml:space="preserve">السّيّد الحكيم </w:t>
      </w:r>
      <w:r>
        <w:rPr>
          <w:rtl w:val="true"/>
        </w:rPr>
        <w:t>(</w:t>
      </w:r>
      <w:r>
        <w:rPr>
          <w:rtl w:val="true"/>
        </w:rPr>
        <w:t>قدس سره</w:t>
      </w:r>
      <w:r>
        <w:rPr>
          <w:rtl w:val="true"/>
        </w:rPr>
        <w:t>)..</w:t>
      </w:r>
      <w:bookmarkEnd w:id="299"/>
    </w:p>
    <w:p>
      <w:pPr>
        <w:pStyle w:val="Heading6"/>
        <w:numPr>
          <w:ilvl w:val="5"/>
          <w:numId w:val="1"/>
        </w:numPr>
        <w:rPr/>
      </w:pPr>
      <w:bookmarkStart w:id="300" w:name="__RefHeading___Toc2991842_2870459653"/>
      <w:bookmarkStart w:id="301" w:name="_Toc11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حقائق الأصول التزامه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 بين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منه، فمن ذلك قوله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ثبوت المناط إذا كانت التزاميّة فهي تابعة للدلالة المطابقيّة على فعليّة الحكم، فإذا سقطت الدلالة المذكورة عن الحجّيّة سقطت الدلالة الالتزاميّة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الالتزاميّة لا بُدَّ أن تكون تابعة للدلالة المطابقيّة ثبوتاً ووجوداً ولا يجب أن تكون تابعة لها حجّيّة وإثباتاً؛ إذ لا مانع من التفكيك بينهما في الجملة إذا ساعده الجمع العرفي كما في بعض الأمارات التي لا يكون المثِبت منها حجّة؛ فإنّ ذلك إنّما هو لعدم حجّيّة الدلالة الالتزاميّة مع حجّيّة الدلالة المطابقيّة، وكما في باب المتعارضين فإنّه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التعارض أنّ الوجه في بناء الأصحاب على حجّيّة المتعارضين في الدلالة على نفي الحكم الثّالث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على أصالة سقوط المتعارضين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التفكيك بين الدلالة المطابقيّة والالتزاميّة في الحجّيّة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خمسة من الأعلام قد التزموا بالتفكيك بين المدلولين، كما قد اتّضح ذلك من خلال كلماتهم التي نقلناها، وهناك غيرهم قد التزموا بذلك أيضاً، كالسّيّد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عرض كلمات أصحاب هذا الرأي ننتقل إلى عرض أدلتهم أو ما يمكن الاستدلال به لهم، مع عرض المناقشات التي سُجلت عليها، أو التي يمكن أن تُسجل عليها، وهي كالتالي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أصحاب هذا الرأي على أنّ دليل الحجّيّة شامل لكل من المدلولين في عرض واحد، فالمدلول المطابقي مشمول لدليل الحجّيّة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المدلول الالتزامي مشمول أيضاً له، فكلُّ واحدٍ منهما فرد من أفراد الحجّيّة بشكل مستقل عن الآخر، فإذا سقط أحدهما عن الحجّيّة لسببٍ وآخر لا يلزم منه سقوط الآخر عنها أيضاً</w:t>
      </w:r>
      <w:r>
        <w:rPr>
          <w:rFonts w:eastAsia="Amiri" w:cs="Amiri" w:ascii="Amiri" w:hAnsi="Amiri"/>
          <w:color w:val="111111"/>
          <w:sz w:val="28"/>
          <w:szCs w:val="28"/>
          <w:rtl w:val="true"/>
          <w:lang w:bidi="ar-SA"/>
        </w:rPr>
        <w:t xml:space="preserve">. </w:t>
      </w:r>
      <w:bookmarkStart w:id="302" w:name="pg9131_75904"/>
    </w:p>
    <w:p>
      <w:pPr>
        <w:pStyle w:val="BookText"/>
        <w:rPr/>
      </w:pPr>
      <w:bookmarkEnd w:id="302"/>
      <w:r>
        <w:rPr>
          <w:rFonts w:ascii="Amiri" w:hAnsi="Amiri" w:eastAsia="Amiri" w:cs="Amiri"/>
          <w:color w:val="111111"/>
          <w:sz w:val="28"/>
          <w:sz w:val="28"/>
          <w:szCs w:val="28"/>
          <w:rtl w:val="true"/>
          <w:lang w:bidi="ar-SA"/>
        </w:rPr>
        <w:t>ويمكن أن نصوغ هذا الدليل بشكل أكثر فنيّة،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الخبر عامّاً أو مطلقاً يشمل كل خبرٍ خبر، سواء الأخبار ذات المداليل المطابقيّة أو ذات المداليل الالتزاميّة، وسواء الأخبار المتعارضة فيما بينها أو غير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 تحت هذا العموم أو الإطلاق الخبران المتعارضان، وحيث إنّ المتيقّن منه خروج المدلولين المطابقيين، ولا يُعلم بخروج المدلولين الالتزاميين، نقتصر فيه على المتيقّن، ويبقى غيره تحت العامّ أو المطلق، بعد الالتفات إلى كون المدلول الالتزامي فرداً آخر من أفراد الحجّيّة كما ذكرنا،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التفكيك بين الدلالتين ليس بعزيز؛ إذ له شواهد متعددة،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لوكان المدلول المطابقي مجملاً، والمدلول الالتزامي مبيَّناً، فإنّه ممّا لا شكّ فيه يكون المدلول الالتزامي حجّة فيؤخذ به، بخلاف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تمام المطابقي لا يلازم سقوط المدلول التضمني،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إذا سقط بعضه فإنّ البعض الآخر يبقى على الحجّيّة ويؤخذ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سُجلت على هذا الدليل عدة إشكالات، أهمها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991844_2870459653"/>
      <w:bookmarkStart w:id="304" w:name="_Toc118"/>
      <w:bookmarkEnd w:id="303"/>
      <w:r>
        <w:rPr>
          <w:rtl w:val="true"/>
        </w:rPr>
        <w:t>الإشكال الأوَّل</w:t>
      </w:r>
      <w:r>
        <w:rPr>
          <w:rtl w:val="true"/>
        </w:rPr>
        <w:t xml:space="preserve">: </w:t>
      </w:r>
      <w:r>
        <w:rPr>
          <w:rtl w:val="true"/>
        </w:rPr>
        <w:t xml:space="preserve">ما ذكره المحقّق السّيّد الخوئي </w:t>
      </w:r>
      <w:r>
        <w:rPr>
          <w:rtl w:val="true"/>
        </w:rPr>
        <w:t>(</w:t>
      </w:r>
      <w:r>
        <w:rPr>
          <w:rtl w:val="true"/>
        </w:rPr>
        <w:t>قدس سره</w:t>
      </w:r>
      <w:r>
        <w:rPr>
          <w:rtl w:val="true"/>
        </w:rPr>
        <w:t xml:space="preserve">) </w:t>
      </w:r>
      <w:r>
        <w:rPr>
          <w:rtl w:val="true"/>
        </w:rPr>
        <w:t>نقضاً وحلّا ً</w:t>
      </w:r>
      <w:r>
        <w:rPr>
          <w:rtl w:val="true"/>
        </w:rPr>
        <w:t>..</w:t>
      </w:r>
      <w:bookmarkEnd w:id="304"/>
    </w:p>
    <w:p>
      <w:pPr>
        <w:pStyle w:val="Heading6"/>
        <w:numPr>
          <w:ilvl w:val="5"/>
          <w:numId w:val="1"/>
        </w:numPr>
        <w:rPr/>
      </w:pPr>
      <w:bookmarkStart w:id="305" w:name="__RefHeading___Toc2991846_2870459653"/>
      <w:bookmarkStart w:id="306" w:name="_Toc119"/>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أمّا النّقض فبعدة موارد، منها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991848_2870459653"/>
      <w:bookmarkStart w:id="308" w:name="_Toc120"/>
      <w:bookmarkEnd w:id="307"/>
      <w:r>
        <w:rPr>
          <w:rtl w:val="true"/>
        </w:rPr>
        <w:t>المورد الأوَّل</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قامت البيِّنة على ملاقاة الثّوب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علمنا من الخارج بكذب البيِّنة، أو عدم ملاقاة الثّوب للبول، ولكن احتملنا نجاسته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كملاقاته للدم مثلاً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يمكن الحكم بنجاسة الثّوب من جهة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البيِّنة المذكورة،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ملاقاة الثّوب للبول إخبارٌ عن نجاسته بالدلالة الالتزاميّة؛ لأنّ نجاسته لازمة لملاقاته للبول، وبعد سقوط البيِّنة عن الحجّيّة </w:t>
      </w:r>
      <w:bookmarkStart w:id="309" w:name="pg9131_75905"/>
    </w:p>
    <w:p>
      <w:pPr>
        <w:pStyle w:val="BookText"/>
        <w:rPr/>
      </w:pPr>
      <w:bookmarkEnd w:id="309"/>
      <w:r>
        <w:rPr>
          <w:rFonts w:ascii="Amiri" w:hAnsi="Amiri" w:eastAsia="Amiri" w:cs="Amiri"/>
          <w:color w:val="111111"/>
          <w:sz w:val="28"/>
          <w:sz w:val="28"/>
          <w:szCs w:val="28"/>
          <w:rtl w:val="true"/>
          <w:lang w:bidi="ar-SA"/>
        </w:rPr>
        <w:t>بالإضافة إلى الدلالة المطابقيّة من جهةِ مانعٍ لا موجب لسقوطها بالإضافة إلى الدلالة الالتزاميّة؛ لعدم المانع عنها أصلاً، ولا نظن أن يلتزم بذلك أحد حتّى من يدعي بأنّ سقوط الدلالة المطابقيّة عن الحجّيّة لا يستلزم سقوط الدلالة الالتزاميّة عنها، وهذا واضح جداً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المورد خارج عن محل الكلام؛ لأنّه يفترض كذب البيِّنة، أو العلم بخطئها، كما لو عُلم بعدم حصول الملاقاة؛ فإنّ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عند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كلامنا؛ لأنّ مفروض الكلام سقوط حجّيّة المدلول المطابقي فقط، لا سقوطه وجوداً وثبوتاً؛ فإنّ المورد سيكون من السّالبة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2991850_2870459653"/>
      <w:bookmarkStart w:id="311" w:name="_Toc121"/>
      <w:bookmarkEnd w:id="310"/>
      <w:r>
        <w:rPr>
          <w:rtl w:val="true"/>
        </w:rPr>
        <w:t>المورد الثّاني</w:t>
      </w:r>
      <w:bookmarkEnd w:id="3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كانت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يد زيد، وادّعاها عمرو وبكر، وأَخبرتْ بيِّنة على أنّها لعمرو، وأُخرى على أنّها لبكر فتساقطت البيِّنتان من جهة المعارضة بالإضافة إلى مدلولهما المطابقي، فلم يمكن الأخذ بهما ولا بإحداهما، فهل يمكن عندئذ الأخذ بالبيِّنتين في 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الدار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بينهما إنّما كان في مدلولهما المطابقي لا في مدلولهما الالتزامي، وبعد سقوطهما عن الحجّيّة في مدلولهما المطابقي لم يكن موجب لرفع اليد عنهما في 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الدار ليست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يعامل معها معاملة مجهول المالك؟ ولا نظن أن يلتزم به متفقه فضلاً عن الفقيه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12" w:name="pg9131_75906"/>
    </w:p>
    <w:p>
      <w:pPr>
        <w:pStyle w:val="BookText"/>
        <w:rPr/>
      </w:pPr>
      <w:bookmarkEnd w:id="31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بذلك، مع الالتفات إلى كونه من القائلين بالتفكيك كما تقدّمت عبارته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رجعنا إلى الروايات وكلمات الأعلام في هذا المجال نجدها تذكر التفصيل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بيِّنة على ملكيّة الدار لشخص، وقامت أُخرى على أنّها لشخص آخر، وكانت الدار في يد ثالث، وقد تكافأت البيِّنتان، فإن أقرّ الثّالث لأحدهما قُضي بها للمشهود له، وإن دفعهما قُضي لهما مناصفةً تبعاً لبعض الروايات، أو يُقرع بينهما، فمن خرج اسمه أُحلف وقُضي له، فإن نكل أُحلف الآخر، فإن حلف قُضي له، وإن نكل أيضاً نُصّفت بينهما على ما هو المشهور، تبعاً لبعض الروايات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القائلين بالتفكيك بين المدلولين لا يمكنهم المصير إلى ما يقتضيه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للدليل التعبدي في المسألة، وإمّا لأنّ الحكم بالمناصفة إعمالٌ لمقتضى المدلول المطابقي في كلٍّ منهما، الذي معه لا يُصار إلى ما يقتضيه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الحكم على وفق المدلول الالتزامي، لا من أجل تبعيّة المدلول الالتزامي للمطابقي في الحجّيّة وإنّما من أجل ما ذكرناه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991852_2870459653"/>
      <w:bookmarkStart w:id="314" w:name="_Toc122"/>
      <w:bookmarkEnd w:id="313"/>
      <w:r>
        <w:rPr>
          <w:rtl w:val="true"/>
        </w:rPr>
        <w:t>المورد الثالث</w:t>
      </w:r>
      <w:bookmarkEnd w:id="3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شهد واحد على أنّ الدار في المثال المزبور لعمرو، وشهد آخر على أنّها لبكر، والمفروض أنّ شهادة كلِّ واحد منهما ليست بحجّة في مدلولها المطابقي مع قطع النظر عن معارضة إحداهما مع الأُخرى، لتوقف حجّيّة شهادة الواحد على </w:t>
      </w:r>
    </w:p>
    <w:p>
      <w:pPr>
        <w:pStyle w:val="BookText"/>
        <w:rPr/>
      </w:pPr>
      <w:r>
        <w:rPr>
          <w:rFonts w:ascii="Amiri" w:hAnsi="Amiri" w:eastAsia="Amiri" w:cs="Amiri"/>
          <w:color w:val="111111"/>
          <w:sz w:val="28"/>
          <w:sz w:val="28"/>
          <w:szCs w:val="28"/>
          <w:rtl w:val="true"/>
          <w:lang w:bidi="ar-SA"/>
        </w:rPr>
        <w:t xml:space="preserve">ضمّ اليمين، ففي مثل هذا الفرض هل يمكن الأخذ بمدلولهما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هذه الدار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متوافقين فيه فلا حاجة إلى ضمّ اليمين في الحكم بأنّ الدار ليست لزيد؟ كلا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هذه النقوض ليس من باب سقوط الدلالة المطابقيّة بل من باب عدم ترتب الأثر عليها، لعدم توفّر شرائط الحجّيّة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عند القائل بالتبعيّة سقوط الدلالة الالتزاميّة بسقوط المطابقيّة، لا توقف حجّيّتها على حجّيّة المدلول المطابقي وترتب أثر شرعي عليه بالفعل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ليس بتام؛ وذلك لأنّ المراد من السقوط عدم الحجّيّة مطلقاً، أي سواء كان ذلك بسبب وجود مانع من تأثير المقتضي كما في المتعارضين، أو بسبب عدم تماميّة</w:t>
      </w:r>
    </w:p>
    <w:p>
      <w:pPr>
        <w:pStyle w:val="BookText"/>
        <w:rPr/>
      </w:pPr>
      <w:r>
        <w:rPr>
          <w:rFonts w:ascii="Amiri" w:hAnsi="Amiri" w:eastAsia="Amiri" w:cs="Amiri"/>
          <w:color w:val="111111"/>
          <w:sz w:val="28"/>
          <w:sz w:val="28"/>
          <w:szCs w:val="28"/>
          <w:rtl w:val="true"/>
          <w:lang w:bidi="ar-SA"/>
        </w:rPr>
        <w:t>المقتضي كما في المقام، فإنّ شهادة الواحد جزء المقتضي، ووجه الإطلاق وعدم الفرق واضح، فإنّ محل البحث توقف وجود المدلول الالتزامي على وجود المدلول المطابقي، سواء كان المدلول المطابقي حجّة أو لا، وسواء كان عدم الحجّيّة بسبب وجود المانع أو بسبب عدم تماميّة المقتضي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والمناسب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البيِّنة غير متحقّق في المقام ليكون مشمولاً لدليل حجّيّتها؛ وذلك لأنّ تحقّق موضوعها متوقف على توفّر شاهدين عادلين، مع عدم العلم بخطئهما أو أحدهما، وفي المقام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بكذب أحدهما، </w:t>
      </w:r>
      <w:bookmarkStart w:id="315" w:name="pg9131_75908"/>
    </w:p>
    <w:p>
      <w:pPr>
        <w:pStyle w:val="BookText"/>
        <w:rPr/>
      </w:pPr>
      <w:bookmarkEnd w:id="315"/>
      <w:r>
        <w:rPr>
          <w:rFonts w:ascii="Amiri" w:hAnsi="Amiri" w:eastAsia="Amiri" w:cs="Amiri"/>
          <w:color w:val="111111"/>
          <w:sz w:val="28"/>
          <w:sz w:val="28"/>
          <w:szCs w:val="28"/>
          <w:rtl w:val="true"/>
          <w:lang w:bidi="ar-SA"/>
        </w:rPr>
        <w:t>وإمّا بخطئه؛ فإنّ المفروض أنّ أحد الشاهدين قد شهد لعمرو، والآخر لبكر، ومدلولهما الالتزامي عدم كون الدار لزيد، فدليل البيِّنة ليس شاملاً لهذا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بكذب أحدهما أو خطئه لم يكن بلحاظ المدلول الالتزامي؛ إذ هما متفقان في ذلك، فلماذا لا يكون المدلول الالتزامي مشمولاً لدليل البيِّنة؟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بكذبه لا يتحقّق عنوان الشاهدين العادلين، وأمّا في صورة احتمال الخطأ فلا تبقى قيمة لشهادته؛ إذ الخطأ في المدلول المطابقي يلازم الخطأ في المدلول الالتزامي، وهو 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حجّيّة المدلول الالتزامي في المقام لا من أجل تبعيّته للمطابقي، وإنّما من أجل عدم كونه مشمولاً لدليل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عدم التزام الأعلام في المقام بحجّيّة المدلول الالتزامي لا يكشف عن بطلان نظريّة التفكيك، فلا يصلح المورد المذكور للنقض</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991854_2870459653"/>
      <w:bookmarkStart w:id="317" w:name="_Toc123"/>
      <w:bookmarkEnd w:id="316"/>
      <w:r>
        <w:rPr>
          <w:rtl w:val="true"/>
        </w:rPr>
        <w:t>المورد الرابع</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قامت البيِّنة على أنّ الدار التي في يد عمرو لزيد، ولكنّ زيداً قد أقرّ بأنّها ليست له، فلا محالة تسقط البيِّنة من جهة الإقرار، فإنّه مقدّم عليها، وبعد سقوط البيِّنة عن الحجّيّة بالإضافة إلى الدلالة المطابقيّة من جهة قيام الإقرار على خلافها، فهل يمكن الأخذ بها بالإضافة إلى الدلالة الالتزاميّة، والحكم بعدم كون الدار لعمرو؟ كلا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للخصم أن يدعي أنّ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غير أنّه لا يترجّح على أماريّة اليد، أو أنّ ترجحه ليس شيئاً واضحاً؛ لاقتران البيِّنة بتكذيب المشهود له،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التي تتقدّم على اليد هي البيِّنة غير المقرونة بتكذيب </w:t>
      </w:r>
    </w:p>
    <w:p>
      <w:pPr>
        <w:pStyle w:val="BookText"/>
        <w:rPr/>
      </w:pPr>
      <w:r>
        <w:rPr>
          <w:rFonts w:ascii="Amiri" w:hAnsi="Amiri" w:eastAsia="Amiri" w:cs="Amiri"/>
          <w:color w:val="111111"/>
          <w:sz w:val="28"/>
          <w:sz w:val="28"/>
          <w:szCs w:val="28"/>
          <w:rtl w:val="true"/>
          <w:lang w:bidi="ar-SA"/>
        </w:rPr>
        <w:t>المشهود له، فإنّ ذلك مضعّف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التزام الأعلام بمدلول البيِّنة الالتزامي في المقام لا لتبعيته للمطابقي في السقوط، وإنّما من أجل أقوائيّة اليد عليه لخصوصيةٍ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اتّضح أنّ النقوض التي سجّلها 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 الحلّي فقد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حلّا ً فلأنّ الدلالة الالتزاميّة ترتكز على ركيزتين من ضم إحداهما إلى الأُخرى يتشكل القياس على نحو الشّكل الأوَّل،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بينه وبين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 الصغرى إلى الكبرى تحصل النتيجة، وهي ثبوت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تثبت الصغرى أو الكبرى أو كلتاهما فلا يمكن إثبات اللّازم، وفي المقام بما أنّ المدلول الالتزامي لازم للمدلول المطابقي فثبوته يتوقف على ثبوت الملازمة وثبوت المدلول المطابقي، فإذا لم يثبت المدلول المطابقي أو ثبت ولكن لم تثبت الملازمة فلا يثبت المدلول الالتزامي لا محالة، ولا يفرّق في ذلك بين حدوثه وبقائه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الكلام في مدلوله الالتزامي وإن كان مغايراً لظهوره في مدلوله المطابقي، إلّا أنّ ظهوره في ثبوت المدلول الالتزامي ليس على نحو الإطلاق، بل هو ظاهر في ثبوت حصة خاصّة منه، وهي الحصة الملازمة للمدلول المطابقي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ملاقاة الثّوب للبول وإن كان إخباراً عن نجاسته أيضاً، إلّا أنّه ليس إخباراً عن نجاسته على الإطلاق بأيّ سبب كان، بل إخبار عن حصة خاصّة من النّجاسة، وهي الحصة الملازمة لملاقاة البول، بمعنى أنّه إخبار عن نجاسته المسبّبة عن ملاقاته للبول في مقابل نجاسته المسبّبة لملاقاته للدم أو نحوه، فإذا قيل إنّ هذا الثّوب </w:t>
      </w:r>
      <w:bookmarkStart w:id="318" w:name="pg9131_75910"/>
    </w:p>
    <w:p>
      <w:pPr>
        <w:pStyle w:val="BookText"/>
        <w:rPr/>
      </w:pPr>
      <w:bookmarkEnd w:id="318"/>
      <w:r>
        <w:rPr>
          <w:rFonts w:ascii="Amiri" w:hAnsi="Amiri" w:eastAsia="Amiri" w:cs="Amiri"/>
          <w:color w:val="111111"/>
          <w:sz w:val="28"/>
          <w:sz w:val="28"/>
          <w:szCs w:val="28"/>
          <w:rtl w:val="true"/>
          <w:lang w:bidi="ar-SA"/>
        </w:rPr>
        <w:t>نجس، يراد به أنّه نجس بالنّجاسة البولية، وعندئذ إذا ظهر كذب البيِّنة في إخبارها بملاقاة الثّوب للبول، فلا محالة يُعلم بكذبها في إخبارها بنجاسة الثّوب المسبّبة عن ملاقاته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نجاسته بسبب آخر وإن كانت محتملة، إلّا أنّها نجاسة أُخرى أجنبية عن مفاد البيِّنة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يمكن الأخذ بالدلالة الالتزامية بعد سقوط الدلالة المطابقية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الجوهرية التي يعتمد عليها هذا الإشكال هي أنّ الإخبار عن اللّازم ليس إخباراً عنه بشكلٍ مطلق، بل إخبار عن الحصة المقارنة للمدلول المطابقي، فالإخبار عن ملاقاة البول للثوب ليس إخباراً عن مطلق النّجاسة، وإنّما عن النّجاسة البوليّة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نسلّم بذلك، ولكن الكلام ليس في سقوط المدلول المطابقي وجوداً، وإنّما الكلام في سقوطه حجّةً، والمفروض في الإشكال العلم بكذب الخبر، أو اتّضاح اشتباهه، وقد ذكرنا عند تحرير محل النّزاع أنّ بعض الإشكالات تبتني على تصور النّزاع في حالات العلم بكذب الخبر أو خطئه، وهو شيء لا يدعيه أحد</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2991856_2870459653"/>
      <w:bookmarkStart w:id="320" w:name="_Toc124"/>
      <w:bookmarkEnd w:id="319"/>
      <w:r>
        <w:rPr>
          <w:rtl w:val="true"/>
        </w:rPr>
        <w:t>الإشكال الثاني</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المناسب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حجّيّة الخبر إمّا النّصوص، وإمّا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المقام من التمسّك بالعامّ في الشبهة المصداقيّة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كون كلٍّ من المدلول المطابقي والالتزامي فرداً مستقلاً للحجّيّة، وقد دلَّ الدليل على خروج المدلول المطابقي من تحت عموم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للتعارض، وإمّا لشيء آخر، فيبقى المدلول الالتزامي مشكوكاً؛ إذ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w:t>
      </w:r>
    </w:p>
    <w:p>
      <w:pPr>
        <w:pStyle w:val="BookText"/>
        <w:rPr/>
      </w:pPr>
      <w:r>
        <w:rPr>
          <w:rFonts w:ascii="Amiri" w:hAnsi="Amiri" w:eastAsia="Amiri" w:cs="Amiri"/>
          <w:color w:val="111111"/>
          <w:sz w:val="28"/>
          <w:sz w:val="28"/>
          <w:szCs w:val="28"/>
          <w:rtl w:val="true"/>
          <w:lang w:bidi="ar-SA"/>
        </w:rPr>
        <w:t xml:space="preserve">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مشمولاً للعامّ أو لا؟ وفي مثله لا يكون العامّ حجّة فيه؛ لأنّ العامّ لا يثبِت موضوع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دليل الحجّيّة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الاقتصار على المقدار المتيقن، وهو حجّيّة المدلول الالتزامي إذا كان المطابقي باقياً على الحجّيّة بالفعل، وأمّا في صورة سقوطه عن الحجّيّة فإنّنا نشكُّ في بقاء الالتزامي على الحجّيّة، ومعه لا يمكن التمسّك لإثبات حجّيّته بالسّيرة لأنّها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الشّاهدان المذكوران لصالح التفكيك فيمكن مناقشتهما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الشّاهد الأوَّل فإنّه أخصّ من المدعى؛ إذ المدعى بقاء حجّيّة المدلول الالتزامي بعد سقوط حجّيّة المطابقي مطلقاً، سواء كان السّقوط بسبب التعارض أو بسبب الإجمال أو غير ذلك، وأقصى ما يثبته الشّاهد إمكان التفكيك في صورة إجمال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يحتاج إلى تتبع الموارد التي يلتزم فيها الفقهاء بالتفكيك مع مساعدة العرف على ذلك، ليتّضح وجود سيرة على ذلك والتي هي العمدة في باب الظهورات أو عدم وجودها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الشّاهد الثّاني فيمكن مناقشته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ببعض الخبر إذا سقط بعضه الآخر ليس من المدلول الالتزامي وإنّما هو أخذٌ بالمدلول التضمّني، ولا ملازمة بين الأمرين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السّيرة العقلائيّة على الأخذ ببعض الخبر بعد عدم إمكان الأخذ بالكلّ أوَّل الكلام؛ إذ أنّنا نشكّك في جريان السّيرة على التفكيك في مدلول الخبر </w:t>
      </w:r>
      <w:bookmarkStart w:id="321" w:name="pg9131_75912"/>
    </w:p>
    <w:p>
      <w:pPr>
        <w:pStyle w:val="BookText"/>
        <w:rPr/>
      </w:pPr>
      <w:bookmarkEnd w:id="321"/>
      <w:r>
        <w:rPr>
          <w:rFonts w:ascii="Amiri" w:hAnsi="Amiri" w:eastAsia="Amiri" w:cs="Amiri"/>
          <w:color w:val="111111"/>
          <w:sz w:val="28"/>
          <w:sz w:val="28"/>
          <w:szCs w:val="28"/>
          <w:rtl w:val="true"/>
          <w:lang w:bidi="ar-SA"/>
        </w:rPr>
        <w:t>الواحد إذا كان السّياق واحداً، وفي مثله يكفي الشّكّ القاضي بعدم حجّيّتها، لكونها دليلاً لُبيّاً، الذي يحتاج في تماميّته إلى حصول اليقين أو الاطمئنان</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991858_2870459653"/>
      <w:bookmarkStart w:id="323" w:name="_Toc125"/>
      <w:bookmarkEnd w:id="322"/>
      <w:r>
        <w:rPr>
          <w:rtl w:val="true"/>
        </w:rPr>
        <w:t>الإشكال الثّالث</w:t>
      </w:r>
      <w:bookmarkEnd w:id="323"/>
    </w:p>
    <w:p>
      <w:pPr>
        <w:pStyle w:val="BookText"/>
        <w:rPr/>
      </w:pPr>
      <w:r>
        <w:rPr>
          <w:rFonts w:ascii="Amiri" w:hAnsi="Amiri" w:eastAsia="Amiri" w:cs="Amiri"/>
          <w:color w:val="111111"/>
          <w:sz w:val="28"/>
          <w:sz w:val="28"/>
          <w:szCs w:val="28"/>
          <w:rtl w:val="true"/>
          <w:lang w:bidi="ar-SA"/>
        </w:rPr>
        <w:t>إنّ الدلالة الالتزاميّة ليست من دلالة اللفظ على المعنى، وإنّما من دلالة المعنى على المعنى، فاللفظ يدل على المعنى المطابقي، ثمَّ يدل المعنى المطابقي على المعنى الالتزامي، كما هو الحال في الكنايات، فإذا سقطت الدلالة المطابقيّة لا يبقى ما يدل على الالتزاميّة، فتثبت التبعيّة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يفترض سقوط الدلالة المطابقيّة بكاملها، وفي مثله لا خلاف في سقوط الدلالة الالتزاميّة وجوداً فضلاً عن الحجّيّة؛ لأنّها من السّالبة بانتفاء الموضوع، كما تقدّم التنبيه على ذلك عند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انتهينا من عرض الرأي الأوَّل ومناقشته، وقد اتّضح أنّ الإشكال الثّاني وارد على هذا الرأي، بينما الإشكالان الأوَّل والثالث غير واردين</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991860_2870459653"/>
      <w:bookmarkStart w:id="325" w:name="_Toc126"/>
      <w:bookmarkEnd w:id="324"/>
      <w:r>
        <w:rPr>
          <w:rtl w:val="true"/>
        </w:rPr>
        <w:t>الرأي الثاني</w:t>
      </w:r>
      <w:r>
        <w:rPr>
          <w:rtl w:val="true"/>
        </w:rPr>
        <w:t xml:space="preserve">: </w:t>
      </w:r>
      <w:r>
        <w:rPr>
          <w:rtl w:val="true"/>
        </w:rPr>
        <w:t>التبعيّة مطلقاً</w:t>
      </w:r>
      <w:bookmarkEnd w:id="325"/>
    </w:p>
    <w:p>
      <w:pPr>
        <w:pStyle w:val="Heading5"/>
        <w:numPr>
          <w:ilvl w:val="4"/>
          <w:numId w:val="1"/>
        </w:numPr>
        <w:rPr/>
      </w:pPr>
      <w:bookmarkStart w:id="326" w:name="__RefHeading___Toc2991862_2870459653"/>
      <w:bookmarkStart w:id="327" w:name="_Toc12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وقد اتّضح وجهه من خلال عرض الرأي الأوَّل ومناقشاته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الالتزامي كما هو تابع للمدلول المطابقي في الوجود هو تابع له في الحجّيّة أيضاً، فمتى سقطت حجّيّة المطابقي سقطت حجّيّة الالتزامي؛ لأنَّها متفرّعة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هذا الرأي جماعة منهم 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ذلك من مناقشته للرأي الأوَّل، ومنهم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الميرزا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شيخنا الأستاذ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وغيرهم، ولننقل بعض عباراتهم</w:t>
      </w:r>
      <w:r>
        <w:rPr>
          <w:rFonts w:eastAsia="Amiri" w:cs="Amiri" w:ascii="Amiri" w:hAnsi="Amiri"/>
          <w:color w:val="111111"/>
          <w:sz w:val="28"/>
          <w:szCs w:val="28"/>
          <w:rtl w:val="true"/>
          <w:lang w:bidi="ar-SA"/>
        </w:rPr>
        <w:t xml:space="preserve">: </w:t>
      </w:r>
      <w:bookmarkStart w:id="328" w:name="pg9131_75913"/>
    </w:p>
    <w:p>
      <w:pPr>
        <w:pStyle w:val="Heading5"/>
        <w:numPr>
          <w:ilvl w:val="4"/>
          <w:numId w:val="1"/>
        </w:numPr>
        <w:rPr/>
      </w:pPr>
      <w:bookmarkStart w:id="329" w:name="__RefHeading___Toc2991864_2870459653"/>
      <w:bookmarkStart w:id="330" w:name="_Toc128"/>
      <w:bookmarkEnd w:id="328"/>
      <w:bookmarkEnd w:id="329"/>
      <w:r>
        <w:rPr/>
        <w:t>1</w:t>
      </w:r>
      <w:r>
        <w:rPr>
          <w:rtl w:val="true"/>
        </w:rPr>
        <w:t>.</w:t>
      </w:r>
      <w:r>
        <w:rPr>
          <w:rtl w:val="true"/>
        </w:rPr>
        <w:t xml:space="preserve">المحقّق النّراقي </w:t>
      </w:r>
      <w:r>
        <w:rPr>
          <w:rtl w:val="true"/>
        </w:rPr>
        <w:t>(</w:t>
      </w:r>
      <w:r>
        <w:rPr>
          <w:rtl w:val="true"/>
        </w:rPr>
        <w:t>قدس سره</w:t>
      </w:r>
      <w:r>
        <w:rPr>
          <w:rtl w:val="true"/>
        </w:rPr>
        <w:t>)..</w:t>
      </w:r>
      <w:bookmarkEnd w:id="330"/>
    </w:p>
    <w:p>
      <w:pPr>
        <w:pStyle w:val="BookText"/>
        <w:rPr/>
      </w:pPr>
      <w:r>
        <w:rPr>
          <w:rFonts w:ascii="Amiri" w:hAnsi="Amiri" w:eastAsia="Amiri" w:cs="Amiri"/>
          <w:color w:val="111111"/>
          <w:sz w:val="28"/>
          <w:sz w:val="28"/>
          <w:szCs w:val="28"/>
          <w:rtl w:val="true"/>
          <w:lang w:bidi="ar-SA"/>
        </w:rPr>
        <w:t xml:space="preserve">ذكر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فرع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 مقصوده من التفرّع ولكن اتّضح مقصوده من خلال الأمثلة التي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 الأمور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الالتزامي للفظ فرع مدلوله المطابقي وتابع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المطابقي ينتفي الالتزامي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جاء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تزوج باكراً بإذن وليّها خاصّة ثبت لها حقّ المضاجعة، فمدلوله المطابقي ثبوت حقّ المضاجعة للزوجة، ويدل بالالتزام الشّرعي على وجوب النفقة، ولمحقِّق الزوجيّة، وصحة النّكاح،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جاء خبر يدل على عدم ثبوت حقّ المضاجعة لها أو لمطلق الزوجيّة، وترجّح على الخبر الأوَّل عند فقيه، وَرَدَّ الخبر الأوَّل لأجل تلك المعارضة، لا يمكنه القول بثبوت الزوجيّة والنّفقة المفهومين من الخبر الأوَّل، حيث إنَّ المعارض مخصوص بحقّ المضاجعة؛ لأنّ الزوجيّة والنّفقة كانتا تابعتين لثبوت حقّ المضاجعة، فإذا لم يثبت فأين الدال على الزوجيّة والنّفقة؟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المدلول الالتزامي للفظ فرع مدلوله المطابقي وتابع له، فإذا انتفى المطابقي ينتفي الالتزامي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لم يصّرح فيه بالتبعيّة في الحجّيّة إلّا أنّه يمكن استفادة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نفس إطلاق العبارة، وإمّا من خلال المثال الذي ذكره، فإنّه لم يفرض سقوط الخبر الأوَّل وجوداً وإنَّما فرض وقوع التعارض بينه وبين خبرٍ آخر، وتقدّمه عليه، وهذا يعني سقوط حجّيّته فقط</w:t>
      </w:r>
      <w:r>
        <w:rPr>
          <w:rFonts w:eastAsia="Amiri" w:cs="Amiri" w:ascii="Amiri" w:hAnsi="Amiri"/>
          <w:color w:val="111111"/>
          <w:sz w:val="28"/>
          <w:szCs w:val="28"/>
          <w:rtl w:val="true"/>
          <w:lang w:bidi="ar-SA"/>
        </w:rPr>
        <w:t xml:space="preserve">. </w:t>
      </w:r>
      <w:bookmarkStart w:id="331" w:name="pg9131_75914"/>
    </w:p>
    <w:p>
      <w:pPr>
        <w:pStyle w:val="Heading5"/>
        <w:numPr>
          <w:ilvl w:val="4"/>
          <w:numId w:val="1"/>
        </w:numPr>
        <w:rPr/>
      </w:pPr>
      <w:bookmarkStart w:id="332" w:name="__RefHeading___Toc2991866_2870459653"/>
      <w:bookmarkStart w:id="333" w:name="_Toc129"/>
      <w:bookmarkEnd w:id="331"/>
      <w:bookmarkEnd w:id="332"/>
      <w:r>
        <w:rPr/>
        <w:t>2</w:t>
      </w:r>
      <w:r>
        <w:rPr>
          <w:rtl w:val="true"/>
        </w:rPr>
        <w:t>.</w:t>
      </w:r>
      <w:r>
        <w:rPr>
          <w:rtl w:val="true"/>
        </w:rPr>
        <w:t xml:space="preserve">المجدد الميرزا الشّيرازي </w:t>
      </w:r>
      <w:r>
        <w:rPr>
          <w:rtl w:val="true"/>
        </w:rPr>
        <w:t>(</w:t>
      </w:r>
      <w:r>
        <w:rPr>
          <w:rtl w:val="true"/>
        </w:rPr>
        <w:t>قدس سره</w:t>
      </w:r>
      <w:r>
        <w:rPr>
          <w:rtl w:val="true"/>
        </w:rPr>
        <w:t>)..</w:t>
      </w:r>
      <w:bookmarkEnd w:id="333"/>
    </w:p>
    <w:p>
      <w:pPr>
        <w:pStyle w:val="BookText"/>
        <w:rPr/>
      </w:pPr>
      <w:r>
        <w:rPr>
          <w:rFonts w:ascii="Amiri" w:hAnsi="Amiri" w:eastAsia="Amiri" w:cs="Amiri"/>
          <w:color w:val="111111"/>
          <w:sz w:val="28"/>
          <w:sz w:val="28"/>
          <w:szCs w:val="28"/>
          <w:rtl w:val="true"/>
          <w:lang w:bidi="ar-SA"/>
        </w:rPr>
        <w:t>جاء في تقريرات درسه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اللفظيّة طريقيّتها بالنسبة إلى المداليل الالتزاميّة ليست أصليّة في عرض كشفها عن المداليل المطابقيّة، بل إنّما هي تابعة لطريقيّتها حينئذٍ إلى المداليل المطابقيّة، فإذا سقطت عن كونها طريقاً إلى المدلول المطابقي بسبب التعارض، وصار اللفظ مجملاً فيه، 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طريقيّتها وكشفها عن المدلول الالتزامي، فإنّه كان لازماً عند العقل لإرادة الملزوم، فإذا لم يُعلم إرادته فلا يعقل الظن من اللفظ بإرادة اللّازم، فعلى هذا فالحقّ هو التساقط رأساً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2991868_2870459653"/>
      <w:bookmarkStart w:id="335" w:name="_Toc130"/>
      <w:bookmarkEnd w:id="334"/>
      <w:r>
        <w:rPr/>
        <w:t>3</w:t>
      </w:r>
      <w:r>
        <w:rPr>
          <w:rtl w:val="true"/>
        </w:rPr>
        <w:t xml:space="preserve">. </w:t>
      </w:r>
      <w:r>
        <w:rPr>
          <w:rtl w:val="true"/>
        </w:rPr>
        <w:t xml:space="preserve">المحقّق السّيّد الخوئي </w:t>
      </w:r>
      <w:r>
        <w:rPr>
          <w:rtl w:val="true"/>
        </w:rPr>
        <w:t>(</w:t>
      </w:r>
      <w:r>
        <w:rPr>
          <w:rtl w:val="true"/>
        </w:rPr>
        <w:t>قدس سره</w:t>
      </w:r>
      <w:r>
        <w:rPr>
          <w:rtl w:val="true"/>
        </w:rPr>
        <w:t>)..</w:t>
      </w:r>
      <w:bookmarkEnd w:id="335"/>
    </w:p>
    <w:p>
      <w:pPr>
        <w:pStyle w:val="BookText"/>
        <w:rPr/>
      </w:pPr>
      <w:r>
        <w:rPr>
          <w:rFonts w:ascii="Amiri" w:hAnsi="Amiri" w:eastAsia="Amiri" w:cs="Amiri"/>
          <w:color w:val="111111"/>
          <w:sz w:val="28"/>
          <w:sz w:val="28"/>
          <w:szCs w:val="28"/>
          <w:rtl w:val="true"/>
          <w:lang w:bidi="ar-SA"/>
        </w:rPr>
        <w:t xml:space="preserve">تقدّم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عرض مناقشته للرأي الأوَّل</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991870_2870459653"/>
      <w:bookmarkStart w:id="337" w:name="_Toc131"/>
      <w:bookmarkEnd w:id="336"/>
      <w:r>
        <w:rPr/>
        <w:t>4</w:t>
      </w:r>
      <w:r>
        <w:rPr>
          <w:rtl w:val="true"/>
        </w:rPr>
        <w:t xml:space="preserve">. </w:t>
      </w:r>
      <w:r>
        <w:rPr>
          <w:rtl w:val="true"/>
        </w:rPr>
        <w:t xml:space="preserve">الميرزا التبريزي </w:t>
      </w:r>
      <w:r>
        <w:rPr>
          <w:rtl w:val="true"/>
        </w:rPr>
        <w:t>(</w:t>
      </w:r>
      <w:r>
        <w:rPr>
          <w:rtl w:val="true"/>
        </w:rPr>
        <w:t>قدس سره</w:t>
      </w:r>
      <w:r>
        <w:rPr>
          <w:rtl w:val="true"/>
        </w:rPr>
        <w:t>)..</w:t>
      </w:r>
      <w:bookmarkEnd w:id="337"/>
    </w:p>
    <w:p>
      <w:pPr>
        <w:pStyle w:val="Heading6"/>
        <w:numPr>
          <w:ilvl w:val="5"/>
          <w:numId w:val="1"/>
        </w:numPr>
        <w:rPr/>
      </w:pPr>
      <w:bookmarkStart w:id="338" w:name="__RefHeading___Toc2991872_2870459653"/>
      <w:bookmarkStart w:id="339" w:name="_Toc132"/>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فإنّه بعد عرضه لاستدلال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نظريته في التفكيك قال ما نصّه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يخفى ما فيه؛ فإنّ الإخبار عن المدلول الالتزامي إنّما هو بفرض ثبوت المدلول المطابقي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سُئِلَ مِن المخبِر لو اتفق في الواقع عدم ثبوت للمدلول المطابقي في خبرك فهل تخبر مع ذلك بثبوت المدلول الالتزامي؟ يكون جوابه النفي، فالمعارضة المفروضة بين الخبرين المتعارضين في مدلولهما المطابقي تجري في مدلوليهما الالتزاميين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أخبر شخص بإصابة البول لمايع فهو إخبار بنجاسته المترتّبة على إصابته، فإنْ أخبر شخص آخر أنّه أصابه الخمر دون البول فهو أيضاً إخبار بنجاسته المترتّبة على إصابة الخمر فلا تثبت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النّجاسة المترتّبة </w:t>
      </w:r>
      <w:bookmarkStart w:id="340" w:name="pg9131_75915"/>
    </w:p>
    <w:p>
      <w:pPr>
        <w:pStyle w:val="BookText"/>
        <w:rPr/>
      </w:pPr>
      <w:bookmarkEnd w:id="340"/>
      <w:r>
        <w:rPr>
          <w:rFonts w:ascii="Amiri" w:hAnsi="Amiri" w:eastAsia="Amiri" w:cs="Amiri"/>
          <w:color w:val="111111"/>
          <w:sz w:val="28"/>
          <w:sz w:val="28"/>
          <w:szCs w:val="28"/>
          <w:rtl w:val="true"/>
          <w:lang w:bidi="ar-SA"/>
        </w:rPr>
        <w:t>على ذلك المايع نجاسة خاصّة ينفيها من يخبر بإصابة الخمر إيّاه لا البول، وأيضاً لا يؤخذ المال من ذي اليد إذا أخبر عدل بأنّ ذلك المال لعمرو، وأخبر عدل آخر أنّه ليس لعمرو بل هو لبكر، فلا يقال إنّ خبرهما في موردٍ يعتبر بيّنة على أنّ المال ليس لذي اليد إلى غير ذلك</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جانب من كلمات بعضهم واستدلالاتهم، وفيما يلي نستعرض أهم أدلتهم مع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أدلّة هذا الرأي قد تقدّمت، وتقدّمت مناقشتها أيضاً، كالذي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فإنّه مناقشة للرأي الأوَّل وفي نفس الوقت تشييد لهذا الرأي فلا نعيد ذكره والمناقشة التي سُجلت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الأدلة فهي</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2991874_2870459653"/>
      <w:bookmarkStart w:id="342" w:name="_Toc133"/>
      <w:bookmarkEnd w:id="341"/>
      <w:r>
        <w:rPr>
          <w:rtl w:val="true"/>
        </w:rPr>
        <w:t>الدليل الأوَّل</w:t>
      </w:r>
      <w:r>
        <w:rPr>
          <w:rtl w:val="true"/>
        </w:rPr>
        <w:t xml:space="preserve">: </w:t>
      </w:r>
      <w:r>
        <w:rPr>
          <w:rtl w:val="true"/>
        </w:rPr>
        <w:t xml:space="preserve">ما ذكره السّيّد الشّهيد محمَّد باقر الصدر </w:t>
      </w:r>
      <w:r>
        <w:rPr>
          <w:rtl w:val="true"/>
        </w:rPr>
        <w:t>(</w:t>
      </w:r>
      <w:r>
        <w:rPr>
          <w:rtl w:val="true"/>
        </w:rPr>
        <w:t>قدس سره</w:t>
      </w:r>
      <w:r>
        <w:rPr>
          <w:rtl w:val="true"/>
        </w:rPr>
        <w:t xml:space="preserve">) </w:t>
      </w:r>
      <w:r>
        <w:rPr>
          <w:rtl w:val="true"/>
        </w:rPr>
        <w:t>بقوله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الحجّيّة في الدلالتين واحد فلا تبقى نكتة لحجّيّة الدلالة الالتزاميّة إذا سقطت الدلالة المطابقيّة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نكتة الحجّيّة وملاكها في الإخبار والحكاية إنّما هو أصالة عدم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الشّامل للاشتباه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الإنشاء والقضايا المجعولة أصالة الظهور وإرادة المعنى من اللفظ، وإذا سقطت الدلالة المطابقيّة بظهور كذبها في باب الإخبار أو عدم إرادتها في باب الإنشاء فافتراض عدم ثبوت المدلول الالتزامي لها لا يستدعي افتراض كذب زائد في الإخبار أو مخالفة زائدة في الإنشاء؛ لأنّ هذه الدلالة لم تكن بدال إخباري أو إنشاء مستقل وإنّما كانت من جهة الملازمة بين المدلولين فتكون من دلالة المدلول </w:t>
      </w:r>
    </w:p>
    <w:p>
      <w:pPr>
        <w:pStyle w:val="BookText"/>
        <w:rPr/>
      </w:pPr>
      <w:r>
        <w:rPr>
          <w:rFonts w:ascii="Amiri" w:hAnsi="Amiri" w:eastAsia="Amiri" w:cs="Amiri"/>
          <w:color w:val="111111"/>
          <w:sz w:val="28"/>
          <w:sz w:val="28"/>
          <w:szCs w:val="28"/>
          <w:rtl w:val="true"/>
          <w:lang w:bidi="ar-SA"/>
        </w:rPr>
        <w:t>على المدلول وليست دلالة واجدة لملاك مستقل للكاشفيّة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صحّ التفصيل في التبعيّة بين الدلالة الالتزاميّة البيِّنة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الالتزاميّة غير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التصديقيّة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نلتزم بالتبعيّة في الأولى؛ إذ لو كانت الدلالة الالتزاميّة بدرجة من الوضوح بحيث تشكّل ظهوراً في الكلام زائداً على مدلوله المطابقي فسوف يكون عدم إرادة المتكلم لها مخالفة إضافية زائداً على ما يستلزمه عدم إرادته للمدلول المطابقي فيكون مثل هذه الدلالة الالتزاميّة مستقلة عن الدلالة المطابقيّة في ملاك الحجّيّة فلا تتبعها في السقوط</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تلخيص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المدلول الالتزامي لا يستدعي مخالفة زائدة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النّقطة الأولى يمكن التفصيل في التبعيّة؛ إذ أنّ المدلول الالتزامي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مدلول التزامي بيّن يشكّل في نظر العرف مدلولاً مستقلاً؛ لأنّ مخالفته تستدعي مخالفة زائدة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النحو لا نقول بالتبعيّة؛ إذ سقوط الالتزامي يحتاج إلى بيان 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مدلول التزامي غير بيّن لا يشكّل مدلولاً مستقلاً، في نظر العرف، وفي هذا النّحو نلتزم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دخول صورة العلم بكذب الخبر أو الاشتباه في محلّ </w:t>
      </w:r>
      <w:bookmarkStart w:id="343" w:name="pg9131_75917"/>
    </w:p>
    <w:p>
      <w:pPr>
        <w:pStyle w:val="BookText"/>
        <w:rPr/>
      </w:pPr>
      <w:bookmarkEnd w:id="343"/>
      <w:r>
        <w:rPr>
          <w:rFonts w:ascii="Amiri" w:hAnsi="Amiri" w:eastAsia="Amiri" w:cs="Amiri"/>
          <w:color w:val="111111"/>
          <w:sz w:val="28"/>
          <w:sz w:val="28"/>
          <w:szCs w:val="28"/>
          <w:rtl w:val="true"/>
          <w:lang w:bidi="ar-SA"/>
        </w:rPr>
        <w:t>النّزاع، وقد تقدّم أنّ هذه الصورة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تتنافى مع التفصيل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المدلول الالتزامي بيِّناً واضحاً، وبين كونه غير بيِّن؛ وذلك لأنّ المخالفة الزائدة تفترض كذب المُخبر بلحاظ مدلوله المطابقي، ومعه كيف يُعقل بقاء المدلول الالتزامي سواء كان بيِّناً أو غير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نلتزم بالتفصيل، ولكن لا لما ذكره من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جهة ٍ أخرى سنشير إليها عند عرض الرأي الثّالث</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991876_2870459653"/>
      <w:bookmarkStart w:id="345" w:name="_Toc134"/>
      <w:bookmarkEnd w:id="344"/>
      <w:r>
        <w:rPr>
          <w:rtl w:val="true"/>
        </w:rPr>
        <w:t>الدليل الثّاني</w:t>
      </w:r>
      <w:r>
        <w:rPr>
          <w:rtl w:val="true"/>
        </w:rPr>
        <w:t xml:space="preserve">: </w:t>
      </w:r>
      <w:r>
        <w:rPr>
          <w:rtl w:val="true"/>
        </w:rPr>
        <w:t>ما يُستفاد من بعض الكلمات المتقدّمة</w:t>
      </w:r>
      <w:bookmarkEnd w:id="345"/>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المعارضة على مستوى المدلول المطابقي توجب إجمال الدليل فيسري هذا الإجمال إلى المدلول الالتزامي أيضاً، ومعه لا يمكن الالتزام بالتفكيك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أخصّ من المدعى؛ إذ أقصى ما يثبته هو تبعيّة المدلول الالتزامي للمطابقي في صورة المعارضة فقط، أو في صورة إجمال المطابقي، بينما المدعى ثبوت التبعيّة مطلقاً، أي حتى في صورة عدم المعارضة وعدم الإجمال كما في صورة عجز المكلّف عن امتثال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سريان الإجمال إلى المدلول الالتزامي دائماً، بل نسلّمه في الجملة، كما سيتضح ذلك لاحقاً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991878_2870459653"/>
      <w:bookmarkStart w:id="347" w:name="_Toc135"/>
      <w:bookmarkEnd w:id="346"/>
      <w:r>
        <w:rPr>
          <w:rtl w:val="true"/>
        </w:rPr>
        <w:t>الدليل الثّالث</w:t>
      </w:r>
      <w:r>
        <w:rPr>
          <w:rtl w:val="true"/>
        </w:rPr>
        <w:t>..</w:t>
      </w:r>
      <w:bookmarkEnd w:id="3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الخبر هو السّيرة، وهي دليل لبّيّ يُقتصر فيه على القدر المتيقن، والقدر المتيقن هو حجّيّة المدلول الالتزامي حال بقاء المطابقي على الحجّيّة، </w:t>
      </w:r>
      <w:bookmarkStart w:id="348" w:name="pg9131_75918"/>
    </w:p>
    <w:p>
      <w:pPr>
        <w:pStyle w:val="BookText"/>
        <w:rPr/>
      </w:pPr>
      <w:bookmarkEnd w:id="348"/>
      <w:r>
        <w:rPr>
          <w:rFonts w:ascii="Amiri" w:hAnsi="Amiri" w:eastAsia="Amiri" w:cs="Amiri"/>
          <w:color w:val="111111"/>
          <w:sz w:val="28"/>
          <w:sz w:val="28"/>
          <w:szCs w:val="28"/>
          <w:rtl w:val="true"/>
          <w:lang w:bidi="ar-SA"/>
        </w:rPr>
        <w:t>وأمّا في صورة الافتراق فلا يُعلم انعقاد سيرتهم على بقاء حجّيّة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قيام السّيرة العقلائية على التفكيك بين المدلولين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سيتضح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إمكانيّة التفكيك عرفاً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الرأي الثّاني مع مناقشته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991880_2870459653"/>
      <w:bookmarkStart w:id="350" w:name="_Toc136"/>
      <w:bookmarkEnd w:id="349"/>
      <w:r>
        <w:rPr>
          <w:rtl w:val="true"/>
        </w:rPr>
        <w:t>الرأي الثالث</w:t>
      </w:r>
      <w:r>
        <w:rPr>
          <w:rtl w:val="true"/>
        </w:rPr>
        <w:t xml:space="preserve">: </w:t>
      </w:r>
      <w:r>
        <w:rPr>
          <w:rtl w:val="true"/>
        </w:rPr>
        <w:t>التفصيل</w:t>
      </w:r>
      <w:r>
        <w:rPr>
          <w:rtl w:val="true"/>
        </w:rPr>
        <w:t>..</w:t>
      </w:r>
      <w:bookmarkEnd w:id="350"/>
    </w:p>
    <w:p>
      <w:pPr>
        <w:pStyle w:val="Heading5"/>
        <w:numPr>
          <w:ilvl w:val="4"/>
          <w:numId w:val="1"/>
        </w:numPr>
        <w:rPr/>
      </w:pPr>
      <w:bookmarkStart w:id="351" w:name="__RefHeading___Toc2991882_2870459653"/>
      <w:bookmarkStart w:id="352" w:name="_Toc137"/>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وقد اختلف أصحاب هذا الرأي في أساس التفصيل، على أنحاءٍ</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991884_2870459653"/>
      <w:bookmarkStart w:id="354" w:name="_Toc138"/>
      <w:bookmarkEnd w:id="353"/>
      <w:r>
        <w:rPr>
          <w:rtl w:val="true"/>
        </w:rPr>
        <w:t>التفصيل الأوَّل</w:t>
      </w:r>
      <w:r>
        <w:rPr>
          <w:rtl w:val="true"/>
        </w:rPr>
        <w:t xml:space="preserve">: </w:t>
      </w:r>
      <w:r>
        <w:rPr>
          <w:rtl w:val="true"/>
        </w:rPr>
        <w:t xml:space="preserve">ما ذهب إليه المحقّق الأصفهاني </w:t>
      </w:r>
      <w:r>
        <w:rPr>
          <w:rtl w:val="true"/>
        </w:rPr>
        <w:t>(</w:t>
      </w:r>
      <w:r>
        <w:rPr>
          <w:rtl w:val="true"/>
        </w:rPr>
        <w:t>قدس سره</w:t>
      </w:r>
      <w:r>
        <w:rPr>
          <w:rtl w:val="true"/>
        </w:rPr>
        <w:t>)..</w:t>
      </w:r>
      <w:bookmarkEnd w:id="354"/>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التصديقيّة متقوّمة بالقصد والالتفات، فإذا كان اللّازم مقصوداً للمخِبر وملتفتاً إليه فهو حجّة حتى في صورة سقوط المدلول المطابقي عن الحجّيّة، أو فيما إذا كان المدلول الالتزامي مدلولاً عرفياً عادياً ثابتاً لدى العرف، بحيث لا يتأتى للمتكلم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المحكم تبني هذا التفصيل مع زيادة في البيان والتوضيح،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يساق الكلام لبيانه ببيان الملزوم، بأن يكون المتكلم في مقام الحكاية عنه، نظير الكنايات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لا يستفاد من الكلام إلّا لمحض الملازمة الواقعيّة بينه وبين مؤداه من دون أن يكون المتكلم في مقام بيانه ولا بصدد الحكاية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لاعتقاده عدم الملازمة، أو غفلته عنها، أو عدم تعلّق غرضه ببيان 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فيصدق عليه عنوان الخبر والشهادة وظاهر الكلام ونحوها من موضوعات الحجّيّة كما تصدق على المدلول المطابقي، ويشتركان معاً في الدخول تحت عموم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ما سبق في توجيه التفكيك بينهما في السّقوط عن الحجّيّة من لزوم الاقتصار على المدلول المطابقي لاختصاص المانع عن الحجّيّة به، ويبقى المدلول الالتزامي حجّة بمقتضى العموم بعد كونه فرداً آخر له في قبال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تصدق عليه عناوين موضوعات الحجّج من الخبر والشّهادة ونحوهما، لتوقفها على قصد الحكاية وبيان المؤدّى، وإنّما بني على الحجّيّة فيها توسعاً في إعمال عمومها في المدلول المطابقي وتبعاً له بضميمة المرتكزات العقلائيّة التي يبتني عليها عموم الحجّيّة، من دون أن يكون فرداً آخر للعموم في قبال المدلول المطابقي، على ما سبق التعرّض له في لواحق مبحث الأصل المثبت في بيان الفرق بين الأمارة والأصل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والمقدار الذي أضافه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بيان مستند الحجّيّة، ففي الحالة الأولى يدخل المدلول الالتزامي تحت عنوان الظهور بشكل مستقل؛ لأنّ الكلام قد سيق لبيانه كما في مثل الكناية، بينما في الحالة الثانية لا يدخل تحت عنوان الظهور لعدم سوق الكلام لبيانه، وإنّما فُهم من الكلام بتبع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صورة كون المدلول الالتزامي لازماً عرفيّاً بيِّناً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مع المحقّق الأصفهاني؛ إذ المدار على الظهور وعدمه، واللّازم إذا كان واضحاً عرفاً بيِّناً لا يتأتى للمتكلم إنكاره يدخل تحت عنوان الظهور العرفي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ويُسجّل 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الالتزامي إذا كان هو المقصود للمتكلم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كالكنايات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التفكيك بين المدلول المطابقي والمدلول الالتزامي في الحجّيّة؟ إذ المدلول المطابقي ليس مقصوداً للمتكلم، وإنّما هو مجرد طريق للالتزامي ليس إلّا، والتفكيك المبحوث بين المدلولين إنّما يكون في صورة وجود مدلولين مستقلين في الوجود والحجّيّة، والمفروض بناءً على ما ذكره أنْ لا وجود لمدلولٍ مطابقيّ مستقلٍ وإنّما وجوده مرآة وطريق للالتزامي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الحكيم شيئاً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ملاحظة بناء العقلاء ومرتكزاتهم في عموم الحجّيّة للّازم أو قصورها عمّا إذا لم يكن الدليل حجّة في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يختلف باختلاف منشأ عدم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ناشئاً من قصور في طريقيّة الطريق كان مستتبعاً لعدم حجّيّته في اللّازم، لتفرّع طريقيّته عليه عندهم على طريقيّته على الملزوم، سواء كان ذلك لعدم طريقيّته رأساً، كما لو علم بكذبه فيه، وإن احتمل تحقّق اللّازم، أم لعدم طريقيّته شرعاً، كما لو شهد كل من الشّاهدين بأمرٍ مباينٍ لما شهد به الآخر، واشترك كلا الأمرين المشهود بهما في لازم واحد، أو شهدت البيِّنة في الحسيات عن حدس، كالشّهادة اعتماداً على الحساب بهلال شهرٍ إذا استلزم تعيين هلال شهر آخر، وغير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عدم حجّيّة الطريق في المدلول المطابقي ناشئاً من خصوصية فيه يمتاز بها عن اللّازم تمنع من ثبوته بالطريق من دون قصور في طريقيّة الطريق ولا في كاشفيّته، فلا يكون مستتبعاً لعدم حجّيّة الطريق في اللّازم بعد فرض عدم اشتماله على الخصوصية المذكورة وصلوحه لأنْ يثبت بالطريق المذكور، كما لو أُخذ في حجّيّة الطريق عنوان لا ينطبق على المدلول المطابقي، كالإقرار المتقوّم بكون موضوعه حقّاً على الُمقرّ، حيث قد لا يتضمن الخبر حقّاً على المخبر بمدلوله المطابقي، بل بلازمه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فُرِّق بين الموضوعات </w:t>
      </w:r>
      <w:bookmarkStart w:id="355" w:name="pg9131_75921"/>
    </w:p>
    <w:p>
      <w:pPr>
        <w:pStyle w:val="BookText"/>
        <w:rPr/>
      </w:pPr>
      <w:bookmarkEnd w:id="355"/>
      <w:r>
        <w:rPr>
          <w:rFonts w:ascii="Amiri" w:hAnsi="Amiri" w:eastAsia="Amiri" w:cs="Amiri"/>
          <w:color w:val="111111"/>
          <w:sz w:val="28"/>
          <w:sz w:val="28"/>
          <w:szCs w:val="28"/>
          <w:rtl w:val="true"/>
          <w:lang w:bidi="ar-SA"/>
        </w:rPr>
        <w:t>في حجّيّة الطريق بنحو لا ينطبق على المدلول المطابقي، كما في السّرقة التي هي موضوع الحدّ، حيث لا تثبت بالشّاهد واليمين، لأنْ الحدّ من حقوق الله تعالى، فإنّه حيث لا يرجع إلى قصور في طريقيّة الشّاهد واليمين المتضمنين للسرقة، بل لخصوصية في السّرقة تمنع من ثبوتها بهما، تعيّن ثبوت لازمها بها إذا كان حقّاً للناس، كالضمان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متين جداً، ولكن السّؤال ما هو المرجع في تحديد كون الطريق إلى المدلول الالتزامي كاشفاً لا قصور في كاشفيته، ليُقال بأنّ المدلول الالتزامي لا تتضرر حجّيّته من جرّاء سقوط حجّيّة المدلول المطابقي؟</w:t>
      </w:r>
    </w:p>
    <w:p>
      <w:pPr>
        <w:pStyle w:val="BookText"/>
        <w:rPr/>
      </w:pPr>
      <w:r>
        <w:rPr>
          <w:rFonts w:ascii="Amiri" w:hAnsi="Amiri" w:eastAsia="Amiri" w:cs="Amiri"/>
          <w:color w:val="111111"/>
          <w:sz w:val="28"/>
          <w:sz w:val="28"/>
          <w:szCs w:val="28"/>
          <w:rtl w:val="true"/>
          <w:lang w:bidi="ar-SA"/>
        </w:rPr>
        <w:t>فلا بُدَّ من إبراز هذا المرجع ليكون التفصيل المذكور تامّاً</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991886_2870459653"/>
      <w:bookmarkStart w:id="357" w:name="_Toc139"/>
      <w:bookmarkEnd w:id="356"/>
      <w:r>
        <w:rPr>
          <w:rtl w:val="true"/>
        </w:rPr>
        <w:t>التفصيل الثّاني</w:t>
      </w:r>
      <w:bookmarkEnd w:id="357"/>
    </w:p>
    <w:p>
      <w:pPr>
        <w:pStyle w:val="Heading6"/>
        <w:numPr>
          <w:ilvl w:val="5"/>
          <w:numId w:val="1"/>
        </w:numPr>
        <w:rPr/>
      </w:pPr>
      <w:bookmarkStart w:id="358" w:name="__RefHeading___Toc2991888_2870459653"/>
      <w:bookmarkStart w:id="359" w:name="_Toc140"/>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ما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سقوط حجّيّة المدلول المطابقي متعدّدة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بسبب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بسبب العجز وعدم القدرة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بسبب إجمال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بسبب قصور المدلول المطابقي عن إثبات الحجّيّة له لانخرام شرط عرفي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الأسباب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بعض الأعلام قد لاحظ بعض هذه الأسباب، بينما البعض الآخر قد لاحظ بعضاً آخر، فالذي يُرجِع المسألة إلى الإجمال لاحظ السّبب الثّالث، وألحق به السّبب الأوَّل، والذي لاحظ السّبب الرابع أهمل بقية الأسباب 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360" w:name="pg9131_75922"/>
    </w:p>
    <w:p>
      <w:pPr>
        <w:pStyle w:val="BookText"/>
        <w:rPr/>
      </w:pPr>
      <w:bookmarkEnd w:id="360"/>
      <w:r>
        <w:rPr>
          <w:rFonts w:ascii="Amiri" w:hAnsi="Amiri" w:eastAsia="Amiri" w:cs="Amiri"/>
          <w:color w:val="111111"/>
          <w:sz w:val="28"/>
          <w:sz w:val="28"/>
          <w:szCs w:val="28"/>
          <w:rtl w:val="true"/>
          <w:lang w:bidi="ar-SA"/>
        </w:rPr>
        <w:t xml:space="preserve">والتحقيق يقتضي ملاحظة جميع الصور، بل ملاحظة الصورة الواحدة واختلافها بحسب الموارد،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تقتضي الإجمال الساري إلى الالتزامي، وقد لا تقتضي ذلك، وحيث لا توجد ضابطة يمكن الركون إليها والاعتماد عليها نوكل الأمر إلى ركيزتين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فإذا فهم منه التفكيك أُخذ به، وإلّا يُرجع إلى الركيزة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فإذا فَهِمَ التفكيك فهو المرجع؛ لأنّ المسألة من صغريات الظهور الذي يعتمد في حجّيّته على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ولنلاحظ المثالين التاليين</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991890_2870459653"/>
      <w:bookmarkStart w:id="362" w:name="_Toc141"/>
      <w:bookmarkEnd w:id="361"/>
      <w:r>
        <w:rPr>
          <w:rtl w:val="true"/>
        </w:rPr>
        <w:t>المثال الأوَّل</w:t>
      </w:r>
      <w:r>
        <w:rPr>
          <w:rtl w:val="true"/>
        </w:rPr>
        <w:t xml:space="preserve">: </w:t>
      </w:r>
      <w:r>
        <w:rPr>
          <w:rtl w:val="true"/>
        </w:rPr>
        <w:t>ما ورد في الإقرار</w:t>
      </w:r>
      <w:r>
        <w:rPr>
          <w:rtl w:val="true"/>
        </w:rPr>
        <w:t>..</w:t>
      </w:r>
      <w:bookmarkEnd w:id="362"/>
    </w:p>
    <w:p>
      <w:pPr>
        <w:pStyle w:val="BookText"/>
        <w:rPr/>
      </w:pPr>
      <w:r>
        <w:rPr>
          <w:rFonts w:ascii="IRNazanin" w:hAnsi="IRNazanin" w:eastAsia="IRNazanin"/>
          <w:color w:val="111111"/>
          <w:sz w:val="28"/>
          <w:sz w:val="28"/>
          <w:szCs w:val="28"/>
          <w:rtl w:val="true"/>
          <w:lang w:bidi="fa-IR"/>
        </w:rPr>
        <w:t xml:space="preserve">جاء في روايات الإقرار أنّ مَن أقرّ على نفسه ثمَّ أنكر لزمه الحدّ؛ من قبيل موثقة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رجل أقرّ على نفسه بحدّ ثم جحد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على نفسه عند الإمام أنّه سرق ثم جحد، قُطعت يده وإن رغم أنفه، وإن أقرّ على نفسه أنّه شرب خمراّ، أو بفرية فاجلدوه ثمانين جلدة،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على نفسه بحدّ يجب فيه الرجم، أكنتَ راجمه؟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كنتُ ضاربه الحدّ</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غيرها بالمضمون نفسه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الإقرار بالجناية والفرية مدلول مطابقي، بينما ثبوت الحدّ مدلول التزامي، فمع إنكاره للمدلول المطابقي لم يسقط المدلول الالتزامي حيث رتّب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وهذا يدلّ على عدم الملازمة بين المدلولين في هذا المورد</w:t>
      </w:r>
      <w:r>
        <w:rPr>
          <w:rFonts w:eastAsia="IRNazanin" w:cs="IRNazanin"/>
          <w:color w:val="111111"/>
          <w:sz w:val="28"/>
          <w:szCs w:val="28"/>
          <w:rtl w:val="true"/>
          <w:lang w:bidi="fa-IR"/>
        </w:rPr>
        <w:t xml:space="preserve">. </w:t>
      </w:r>
      <w:bookmarkStart w:id="363" w:name="pg9131_75923"/>
    </w:p>
    <w:p>
      <w:pPr>
        <w:pStyle w:val="BookText"/>
        <w:rPr/>
      </w:pPr>
      <w:bookmarkEnd w:id="363"/>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بالمدلول الالتزامي في صورة استحقاق الرجم، ألا يدلُّ هذا على التبعيّة؟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بالمدلول الالتزامي في حدّ الرجم وأخذه به في بقية الحدود دليل على التفكيك التعبدي، ومعلوم من حال الشّارع تحفظه في موارد الدماء والفروج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لم يتّضح من الرواية سقوط المدلول المطابقي لتكون شاهداً لصالح التفكيك؛ اذ لا يُعلم من إنكاره كذب مدلوله المطابقي، فكما يُحتمل كذبه عند الإقرار يُحتمل كذبه عند الإنكار أيضاً، فلا يُعلم حينئذٍ حاله، ومعه كيف يُعلم سقوط المدلول المطابقي؟</w:t>
      </w:r>
    </w:p>
    <w:p>
      <w:pPr>
        <w:pStyle w:val="BookText"/>
        <w:rPr/>
      </w:pPr>
      <w:r>
        <w:rPr>
          <w:rFonts w:ascii="Amiri" w:hAnsi="Amiri" w:eastAsia="Amiri" w:cs="Amiri"/>
          <w:color w:val="111111"/>
          <w:sz w:val="28"/>
          <w:sz w:val="28"/>
          <w:szCs w:val="28"/>
          <w:rtl w:val="true"/>
          <w:lang w:bidi="ar-SA"/>
        </w:rPr>
        <w:t>ويمكن أنْ يُجاب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في المسألة كون المدلول الالتزامي قضيةً مستقلةً عن قضية المدلول المطابقي تلازمها في الوجود والثبوت، وفي مقامنا ليس الأمر كذلك؛ إذ الإقرار موضوع لإقامة الحدّ، وحيث يثبت الموضوع يثبت الحكم، فثبوت الحدّ في الرواية كاشف عن تحقّق موضوعه وهو الإقرار، وهذا يعني أنّ الإقرار مطلقاً سواء لحقه الإنكار أو لا، يُحقِّق موضوع الحكم بإقامة الحدّ</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2991892_2870459653"/>
      <w:bookmarkStart w:id="365" w:name="_Toc142"/>
      <w:bookmarkEnd w:id="364"/>
      <w:r>
        <w:rPr>
          <w:rtl w:val="true"/>
        </w:rPr>
        <w:t>المثال الآخر</w:t>
      </w:r>
      <w:r>
        <w:rPr>
          <w:rtl w:val="true"/>
        </w:rPr>
        <w:t xml:space="preserve">: </w:t>
      </w:r>
      <w:r>
        <w:rPr>
          <w:rtl w:val="true"/>
        </w:rPr>
        <w:t xml:space="preserve">ما ذكره المحقّق النّراقي </w:t>
      </w:r>
      <w:r>
        <w:rPr>
          <w:rtl w:val="true"/>
        </w:rPr>
        <w:t>(</w:t>
      </w:r>
      <w:r>
        <w:rPr>
          <w:rtl w:val="true"/>
        </w:rPr>
        <w:t>قدس سره</w:t>
      </w:r>
      <w:r>
        <w:rPr>
          <w:rtl w:val="true"/>
        </w:rPr>
        <w:t xml:space="preserve">) </w:t>
      </w:r>
      <w:r>
        <w:rPr>
          <w:rtl w:val="true"/>
        </w:rPr>
        <w:t>في باب الشّهادات من الأمثلة</w:t>
      </w:r>
      <w:r>
        <w:rPr>
          <w:rtl w:val="true"/>
        </w:rPr>
        <w:t>..</w:t>
      </w:r>
      <w:bookmarkEnd w:id="365"/>
    </w:p>
    <w:p>
      <w:pPr>
        <w:pStyle w:val="BookText"/>
        <w:rPr/>
      </w:pP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للشهادات التي قد يُدّعى اتفاقها أو اختلافها في المشهود به، ثُمَّ علّق عليها، بإمكان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بتماميّة الشّهادة بلحاظ المدلول الالتزامي، مع عدم تماميّتها بلحاظ المدلول المطابقي، وفيما يلي نذكر خلاصة ما ذكره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ذكر هذه القضيّة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يشترط في قبول شهادة الشّاهدين ورودهما على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نوعين من 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الفقهاء قد التزموا فيها بعدم قبول الشّهادة،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يشهد أحد الشّاهدين بالبيع، والآخر بالإقرار بالبيع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يشهد أحدهما أنّه أقرّ على نفسه بغصبيّة ثوبٍ،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على نفسه بغصبيّة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يشهد أحدهما أنّه قذف غدوة،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قذف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الفقهاء قد قبلوا فيها الشّهادة،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 أحدهما أنّه أقرّ بقتلٍ أو دينٍ أو غصبٍ ببغداد أو يوم الخميس أو بالعربية، والآخر أنّه أقرّ بذلك بعينه بالكوفة أو يوم الجمعة أو بالفارسيّة، ثبت المقرّ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 أحدهما أنّه أقرّ لزيد بألف، والآخر أنّ له ألفين، ثبت الألف بهما، والألف الآخر بانضمام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 أحدهما أنّه سرق ثوباً قيمته دينار، والآخر أنّه سرق ثوباً قيمته ديناران، ثبت الدينار بشهادتهما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 أحدهما أنّه أوصى لزيد بمائة يوم الخميس، أو في المرض الفلاني، أو في مكان كذا، وبوصايته على صغيره كذا، وشهد الآخر بأنّه أوصى به يوم الجمعة، أو في المرض الآخر، أو في مكان آخر، لم أعثر فيه على تصريح منهم على أنّه من قبيل النّوع الأوَّل، أو النّوع الثاني، إلا أنّ ظاهرهم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استشكل في الفرق بين كثير من فروع النّوع الأوَّل، وفروع النّوع الثّاني، وطرح حلّا َ لذلك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جميع هذه الفروع مداليلَ مطابقيّة، وأخرى التزامية،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كان التغاير والاختلاف بين الشّهادتين الثّابت لهما على مستوى المدلول المطابقي يسري ويتعدى إلى المدلول الالتزامي لم تُسمع الشّهادة؛ لأنّه إمّا غير متحقّق الوجود، وإمّا غير متحدّ من حيث الشّهادة، كما في فروع النّوع الأوَّل؛ لأنّه إن أُخذ المشهود به جنس هذه الأمور بلا فصلٍ لم يمكن وجوده خارجاً وإن اتحد في الشّهادتين، وإنْ أُخذ الجنس مع الفصل فإنّه وإن أمكن وجوده خارجاً، ولكن فصله المشهود به متغاير فلا تثبت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التغاير مسرياً ومتعدياً إلى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مسرياً ومتعدياً إلى اللّازم، وكان اللّازم ممكن التحقّق في الخارج فتُسمع الشّهادة عليه ويثبت المشهود به، كمثال الإقرار والوصية من فروع النّوع الثّاني؛ وذلك لأنَّ المدلول المطابقي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وإن تغاير في الشّهادتين وقتاً وقدراً ولكن لازمهما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تعلّق حقّ المُقرّ له بالمُقرّ به، أو القدر الناقص، أو استحقاق الموصى له للموصى به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ممكن الوجود في الخارج، والمشخصان المذكوران في الشّهادة ليسا مشخصين للّازم أصلاً، فيكون اللّازم مشهوداً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بيان بعض مشخصاته وهو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ما ذكره إلى أنّ أدلة الشّهادة قاصرة عن شمول المدلول المطابقي في هذه الفروع، وعدم قصورها عن شمول المدلول الالتزامي، فتثبت في الثّاني دون الأوَّل، فيكون ذلك من أمثلة التفكيك في الحجّيّة بين المدلول المطابقي والمدلول الالتزامي فيما لو ساعد الفهم العرفي على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المذكورة لا تصلح شاهداً لصالح القائلين بالتفكيك في بعض </w:t>
      </w:r>
    </w:p>
    <w:p>
      <w:pPr>
        <w:pStyle w:val="BookText"/>
        <w:rPr/>
      </w:pPr>
      <w:r>
        <w:rPr>
          <w:rFonts w:ascii="Amiri" w:hAnsi="Amiri" w:eastAsia="Amiri" w:cs="Amiri"/>
          <w:color w:val="111111"/>
          <w:sz w:val="28"/>
          <w:sz w:val="28"/>
          <w:szCs w:val="28"/>
          <w:rtl w:val="true"/>
          <w:lang w:bidi="ar-SA"/>
        </w:rPr>
        <w:t>الصور والحالات لخروجها عن حريم النزاع تخصصاً؛ إذ الخلاف بين الأعلام قائم فيما لو سقطت حجّيّة المدلول المطابقي بسبب المعارضة، لا بسبب القصور في مقتضي الحجّيّة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نجيب بجوابين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المهم إنّما هو سقوط حجّيّة المدلول المطابقي مع بقاء حجّيّة المدلول الالتزامي سواء كان السّقوط بسبب المعارضة أو بسبب القصور في المقتضي، أو بسبب الإجمال، أو نحو ذلك، وسواء ثبتت الحجّيّة للمطابقي أوَّلاً ثم سقطت، أو لم تثبت له من البداية أصلاً، فإنّ المطلوب تفرّع حجّيّة المدلول الالتزامي عن حجّيّة المدلول المطابقي أو عدم تفرّعها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بعض الأعلام دخول هذه الصورة في محل النّزاع، فالمحقّق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بعض الموارد التي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في المدلول الالتزامي تتوقف على القول بعدم التبعيّة، فراجع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السّيّد الشّهيد محمّد باقر الصدر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المدلول الالتزامي وشمول أدلة البيِّنة له على الرغم من عدم حجّيّة المدلول المطابقي فيما كان من هذا القبيل، فليراجع</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66" w:name="pg9131_75927"/>
    </w:p>
    <w:p>
      <w:pPr>
        <w:pStyle w:val="Heading3"/>
        <w:numPr>
          <w:ilvl w:val="2"/>
          <w:numId w:val="1"/>
        </w:numPr>
        <w:rPr/>
      </w:pPr>
      <w:bookmarkStart w:id="367" w:name="__RefHeading___Toc2991894_2870459653"/>
      <w:bookmarkStart w:id="368" w:name="_Toc143"/>
      <w:bookmarkEnd w:id="366"/>
      <w:bookmarkEnd w:id="367"/>
      <w:r>
        <w:rPr>
          <w:rtl w:val="true"/>
        </w:rPr>
        <w:t>البحث الثّالث</w:t>
      </w:r>
      <w:r>
        <w:rPr>
          <w:rtl w:val="true"/>
        </w:rPr>
        <w:t xml:space="preserve">: </w:t>
      </w:r>
      <w:r>
        <w:rPr>
          <w:rtl w:val="true"/>
        </w:rPr>
        <w:t>الرأي المختار</w:t>
      </w:r>
      <w:r>
        <w:rPr>
          <w:rtl w:val="true"/>
        </w:rPr>
        <w:t>..</w:t>
      </w:r>
      <w:bookmarkEnd w:id="368"/>
    </w:p>
    <w:p>
      <w:pPr>
        <w:pStyle w:val="BookText"/>
        <w:rPr/>
      </w:pPr>
      <w:r>
        <w:rPr>
          <w:rFonts w:ascii="Amiri" w:hAnsi="Amiri" w:eastAsia="Amiri" w:cs="Amiri"/>
          <w:color w:val="111111"/>
          <w:sz w:val="28"/>
          <w:sz w:val="28"/>
          <w:szCs w:val="28"/>
          <w:rtl w:val="true"/>
          <w:lang w:bidi="ar-SA"/>
        </w:rPr>
        <w:t xml:space="preserve">قد اتّضح ممّا سبق أنّ القول الأوَّل القائل بالتفكيك مطلقاً ليس بتام، وهكذا القول الثاني القائل بالتبعيّة مطلقاً، فيبقى القول بالتفصيل هو المناسب، ولكنّه لا يبتني على الأساس الذي ذكره العلمان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يبتني على تتبع الموارد والحالات، بحسب أدلتها الشّرعيّة التي تقتضي التبعيّة تارةً، وأخرى عدم التبعيّة، وملاحظة الفهم العرفي في غير ذلك، وقد اتّضح أنّ ما كان من قبيل القصور في المقتضي يمكن الالتزام فيه بالتفكيك، وأمّا بقيّة الموارد فتحتاج إلى أمثلة وتطبيقات ليتضح الحال فيها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خير خلقه محمَّد وآله الطاهرين</w:t>
      </w:r>
      <w:r>
        <w:rPr>
          <w:rFonts w:eastAsia="Amiri" w:cs="Amiri" w:ascii="Amiri" w:hAnsi="Amiri"/>
          <w:color w:val="111111"/>
          <w:sz w:val="28"/>
          <w:szCs w:val="28"/>
          <w:rtl w:val="true"/>
          <w:lang w:bidi="ar-SA"/>
        </w:rPr>
        <w:t>.</w:t>
      </w:r>
      <w:bookmarkStart w:id="369" w:name="pg9131_75928"/>
    </w:p>
    <w:p>
      <w:pPr>
        <w:pStyle w:val="Heading3"/>
        <w:numPr>
          <w:ilvl w:val="2"/>
          <w:numId w:val="1"/>
        </w:numPr>
        <w:rPr/>
      </w:pPr>
      <w:bookmarkStart w:id="370" w:name="__RefHeading___Toc2991896_2870459653"/>
      <w:bookmarkStart w:id="371" w:name="_Toc144"/>
      <w:bookmarkEnd w:id="369"/>
      <w:bookmarkEnd w:id="370"/>
      <w:r>
        <w:rPr>
          <w:rtl w:val="true"/>
        </w:rPr>
        <w:t>المصادر والمراجع</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آية الله العظمى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السّيّد محمود الهاشمي،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معارف الفقه الإسلامي طبقاً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محمد،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المجدد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المولى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درر الفوائد في الحاشية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الأصولي الشيخ محمد كاظم الهروي </w:t>
      </w:r>
    </w:p>
    <w:p>
      <w:pPr>
        <w:pStyle w:val="BookText"/>
        <w:rPr/>
      </w:pP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في مسائل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الميرزا جواد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الصدّيقة الشّهيدة،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الغروي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الدراسات والأبحاث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السياسي،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ذي الحجة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نافعة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الشّيخ باقر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خالد السويعدي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الأميرة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 النّاشر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العراقي والسّيّد منذر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الهادي،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مطبعة العروج</w:t>
      </w:r>
      <w:r>
        <w:rPr>
          <w:rFonts w:eastAsia="Amiri" w:cs="Amiri" w:ascii="Amiri" w:hAnsi="Amiri"/>
          <w:color w:val="111111"/>
          <w:sz w:val="28"/>
          <w:szCs w:val="28"/>
          <w:rtl w:val="true"/>
          <w:lang w:bidi="ar-SA"/>
        </w:rPr>
        <w:t xml:space="preserve">. </w:t>
      </w:r>
      <w:bookmarkStart w:id="372" w:name="pg9131_75931"/>
    </w:p>
    <w:p>
      <w:pPr>
        <w:pStyle w:val="Heading2"/>
        <w:numPr>
          <w:ilvl w:val="1"/>
          <w:numId w:val="1"/>
        </w:numPr>
        <w:rPr/>
      </w:pPr>
      <w:bookmarkStart w:id="373" w:name="__RefHeading___Toc2991898_2870459653"/>
      <w:bookmarkStart w:id="374" w:name="_Toc145"/>
      <w:bookmarkEnd w:id="372"/>
      <w:bookmarkEnd w:id="373"/>
      <w:r>
        <w:rPr>
          <w:rtl w:val="true"/>
        </w:rPr>
        <w:t xml:space="preserve">جعل الأمارة وثمرات تتميم الكشف </w:t>
      </w:r>
      <w:r>
        <w:rPr>
          <w:rtl w:val="true"/>
        </w:rPr>
        <w:t xml:space="preserve">- </w:t>
      </w:r>
      <w:r>
        <w:rPr>
          <w:rtl w:val="true"/>
        </w:rPr>
        <w:t xml:space="preserve">الشيخ علي العقيلي </w:t>
      </w:r>
      <w:r>
        <w:rPr>
          <w:rtl w:val="true"/>
        </w:rPr>
        <w:t>(</w:t>
      </w:r>
      <w:r>
        <w:rPr>
          <w:rtl w:val="true"/>
        </w:rPr>
        <w:t>دام عزه</w:t>
      </w:r>
      <w:r>
        <w:rPr>
          <w:rtl w:val="true"/>
        </w:rPr>
        <w:t>)</w:t>
      </w:r>
      <w:bookmarkEnd w:id="374"/>
    </w:p>
    <w:p>
      <w:pPr>
        <w:pStyle w:val="Heading3"/>
        <w:numPr>
          <w:ilvl w:val="2"/>
          <w:numId w:val="1"/>
        </w:numPr>
        <w:rPr/>
      </w:pPr>
      <w:bookmarkStart w:id="375" w:name="__RefHeading___Toc2991900_2870459653"/>
      <w:bookmarkStart w:id="376" w:name="_Toc146"/>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لا شكّ في أنّ مبحث الأمارة من أهمّ الأبحاث، وله أثر كبير في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الّتي بين أيدينا تتضمّن محاولة لبيان ما هو المجعول في الأمارة على أهم مسالك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تتضمّن ذكر أهمّ الثمرات المترتّبة على مسلك تتميم الكشف الذي شيّد أركانه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الثمرات مهمّةٌ لكونها تدخل في كثير من مباحث علم الأصول</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9131_75933"/>
      <w:bookmarkStart w:id="378" w:name="pg9131_75933"/>
      <w:bookmarkEnd w:id="378"/>
    </w:p>
    <w:p>
      <w:pPr>
        <w:pStyle w:val="Heading3"/>
        <w:numPr>
          <w:ilvl w:val="2"/>
          <w:numId w:val="1"/>
        </w:numPr>
        <w:rPr/>
      </w:pPr>
      <w:bookmarkStart w:id="379" w:name="pg9131_75933"/>
      <w:bookmarkStart w:id="380" w:name="__RefHeading___Toc2991902_2870459653"/>
      <w:bookmarkStart w:id="381" w:name="_Toc147"/>
      <w:bookmarkEnd w:id="379"/>
      <w:bookmarkEnd w:id="380"/>
      <w:r>
        <w:rPr>
          <w:rtl w:val="true"/>
        </w:rPr>
        <w:t>تمهيد</w:t>
      </w:r>
      <w:bookmarkEnd w:id="3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علم الأصول يعدُّ منطق علم الفقه، فهو علم موضوع لتكوين القواعد العامة والنظريات المشتركة وفق الشروط المسموح بها شرعاً، وعلم الفقه هو الموضوع لتطبيق تلك القواعد على عناصرها الخاصة، وتلك العملية التطبيقية تسمى بعملية الاستنباط والاجتهاد، والنتيجة من هذه العملية هي المسألة الفقهية والحكم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غالب الأحكام الشرعية الفقهية هي أحكام نظرية تحتاج إلى تلك العملية الاستنباطية، والعمدة في عملية الاستنباط والاجتهاد هي حجّية ظواهر الألفاظ وحجّية الأخبار، وهما من الظنون الخاصة والأمارات المعمول بها في استنباط الأحكام الشرعية الخارجة عن أصل عدم الحجّية، وعن أصالة حرمة العمل بما سوى العلم والاطمئنان في الشرعيّات، ومن هنا تُعدّ مسألة حجّية خبر الواحد من أهمّ المسائل الأصولية، وبإثباتها ينفتح باب العلميّ في الأحكام الشرعية، وينسدّ باب الانسداد، وبنفيها ينسدّ باب العلميّ ويأتي البحث عن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الفقيه إذا لم يحصل عنده القطع الوجداني أو الاطمئنان بالحكم ينتهي إلى الحكم عن طريق وظيفة ظاهرية مقرّرة من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معتبرة سنداً وتامة دلالة ومتناً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 عملي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دراسةٌ تتناول مسألة جعل الأمارة والتركيز على مسلك تتميم الكشف </w:t>
      </w:r>
    </w:p>
    <w:p>
      <w:pPr>
        <w:pStyle w:val="BookText"/>
        <w:rPr/>
      </w:pPr>
      <w:r>
        <w:rPr>
          <w:rFonts w:ascii="Amiri" w:hAnsi="Amiri" w:eastAsia="Amiri" w:cs="Amiri"/>
          <w:color w:val="111111"/>
          <w:sz w:val="28"/>
          <w:sz w:val="28"/>
          <w:szCs w:val="28"/>
          <w:rtl w:val="true"/>
          <w:lang w:bidi="ar-SA"/>
        </w:rPr>
        <w:t xml:space="preserve">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والاستفادة منه في تخريج جملة من المسائل التي وقعت محلّ بحث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سيكون منهج الدراسة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معنى الأمارة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المراد منها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أدلّة الأمارات من جهة وجود جعل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رأيان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جعل ومجعول في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جعل ومجعول فيها، وسنقتصر على أهمّ المسالك المذكورة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الكشف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الثمرات الأصولية المترتّبة على المسلك الثالث</w:t>
      </w:r>
      <w:r>
        <w:rPr>
          <w:rFonts w:eastAsia="Amiri" w:cs="Amiri" w:ascii="Amiri" w:hAnsi="Amiri"/>
          <w:color w:val="111111"/>
          <w:sz w:val="28"/>
          <w:szCs w:val="28"/>
          <w:rtl w:val="true"/>
          <w:lang w:bidi="ar-SA"/>
        </w:rPr>
        <w:t xml:space="preserve">. </w:t>
      </w:r>
      <w:bookmarkStart w:id="382" w:name="pg9131_75935"/>
    </w:p>
    <w:p>
      <w:pPr>
        <w:pStyle w:val="Heading3"/>
        <w:numPr>
          <w:ilvl w:val="2"/>
          <w:numId w:val="1"/>
        </w:numPr>
        <w:rPr/>
      </w:pPr>
      <w:bookmarkStart w:id="383" w:name="__RefHeading___Toc2991904_2870459653"/>
      <w:bookmarkStart w:id="384" w:name="_Toc148"/>
      <w:bookmarkEnd w:id="382"/>
      <w:bookmarkEnd w:id="383"/>
      <w:r>
        <w:rPr>
          <w:rtl w:val="true"/>
        </w:rPr>
        <w:t>المقدّمة</w:t>
      </w:r>
      <w:bookmarkEnd w:id="384"/>
    </w:p>
    <w:p>
      <w:pPr>
        <w:pStyle w:val="BookText"/>
        <w:rPr/>
      </w:pPr>
      <w:r>
        <w:rPr>
          <w:rFonts w:ascii="Amiri" w:hAnsi="Amiri" w:eastAsia="Amiri" w:cs="Amiri"/>
          <w:color w:val="111111"/>
          <w:sz w:val="28"/>
          <w:sz w:val="28"/>
          <w:szCs w:val="28"/>
          <w:rtl w:val="true"/>
          <w:lang w:bidi="ar-SA"/>
        </w:rPr>
        <w:t>الأمارة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العلامة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اصطلاح الأصوليين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الأدلة الظنية العقلائية التي لها نحو كشف ناقص عن الواقع فلا تصل لمرتبة اليقين والقطع في كشف مؤدّاها عن الحكم الواقعي وبمطابقة مدلولها للواقع، وعليه فإنّما تكون الأمارة حجّة شرعاً ويصحّ التعبد بها ويعوّل عليها في استكشاف الحكم إذا قام الدليل القطعي على حجّيتها شرعاً؛ فهي إذاً مفتقرة إلى الجعل والاعتبار، فحجّية الأمارات حجّية مجعولة لا ذاتية كالقطع، ولولا الجعل والاعتبار لما كانت مؤهّلة وصالحة للدليلية والكاشفية والوسطية في الإثبات، ولما صحّ ترتيب الأثر على مؤدّاها لعدم إحراز الواقع بها؛ لأنّها دليل ظنّي، والذي له حقّ اعتبار الحجّية للدليل الظنّي هو الشارع المقدس؛ لأنّ الذي يراد التعرّف عليه بواسطة الأمارة هو الحكم الشرعي، ويثبت للشارع الاحتجاج على المكلّف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وإنْ كان فيه رجحان ولكنّه ليس بحجّة ولا يجوز العمل به عقلاً، وإنّما حجّيته تحتاج إلى جعل شرعي، ووقوع التعبّد من الشرع بالأمارة والظنّ أمر ممكن، فالمشهور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وقوعه، ولا يلزم من إمكان وقوع التعبّد بالظن مفسدة ومحال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كاجتماع الضدين أو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محاذير في استحالة وقوع ذلك ثبوتاً مدفوع</w:t>
      </w:r>
      <w:r>
        <w:rPr>
          <w:rStyle w:val="FootnoteAnchor"/>
          <w:rtl w:val="true"/>
        </w:rPr>
        <w:footnoteReference w:id="345"/>
      </w:r>
      <w:r>
        <w:rPr>
          <w:rFonts w:ascii="Amiri" w:hAnsi="Amiri" w:eastAsia="Amiri" w:cs="Amiri"/>
          <w:color w:val="111111"/>
          <w:sz w:val="28"/>
          <w:sz w:val="28"/>
          <w:szCs w:val="28"/>
          <w:rtl w:val="true"/>
          <w:lang w:bidi="ar-SA"/>
        </w:rPr>
        <w:t xml:space="preserve">، والتعبّد بالظن واقع، فقد وقع التعبّد بأمارات كخبر الواحد وظواهر </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الأمارات في الفقه الظواهر وخبر الثقة</w:t>
      </w:r>
      <w:r>
        <w:rPr>
          <w:rStyle w:val="FootnoteAnchor"/>
          <w:rtl w:val="true"/>
        </w:rPr>
        <w:footnoteReference w:id="3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معنى اعتبار الأمارة هو أنّه إذا قامت على حكم أو موضوع ذي حكم يجب ترتيب آثار القطع بهما عليها، فكما أنّ القطع بهما منجّزٌ وموجب لوجوب العمل على وفقه عقلاً كذلك الأمارات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صلاة الجمعة مشكوكاً فيها وقامت الأمارة على وجوبها وحكم الشارع باعتبار تلك الأمارة يجب عقلاً ترتيب آثار القطع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حياة زيد فقامت على حياته، يجب ترتيب آثار القطع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يصير منجّزاً بالأمارة المعتبرة كتنجّزه بالقطع بلا افتراق بينهما من هذه الحيثية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اختلاف في بيان مفاد أدلة اعتبار الطرق والأمارات، فقيل بأنّه لا جعل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الكلام على الثاني في أنّه ما هو المجعول في </w:t>
      </w:r>
      <w:bookmarkStart w:id="385" w:name="pg9131_75937"/>
    </w:p>
    <w:p>
      <w:pPr>
        <w:pStyle w:val="BookText"/>
        <w:rPr/>
      </w:pPr>
      <w:bookmarkEnd w:id="385"/>
      <w:r>
        <w:rPr>
          <w:rFonts w:ascii="Amiri" w:hAnsi="Amiri" w:eastAsia="Amiri" w:cs="Amiri"/>
          <w:color w:val="111111"/>
          <w:sz w:val="28"/>
          <w:sz w:val="28"/>
          <w:szCs w:val="28"/>
          <w:rtl w:val="true"/>
          <w:lang w:bidi="ar-SA"/>
        </w:rPr>
        <w:t>باب الأمارات، أي ما هو مدلول أدلة الأمارات</w:t>
      </w:r>
      <w:r>
        <w:rPr>
          <w:rStyle w:val="FootnoteAnchor"/>
          <w:rtl w:val="true"/>
        </w:rPr>
        <w:footnoteReference w:id="348"/>
      </w:r>
      <w:r>
        <w:rPr>
          <w:rFonts w:ascii="IRNazanin" w:hAnsi="IRNazanin" w:eastAsia="IRNazanin"/>
          <w:color w:val="111111"/>
          <w:sz w:val="28"/>
          <w:sz w:val="28"/>
          <w:szCs w:val="28"/>
          <w:rtl w:val="true"/>
          <w:lang w:bidi="fa-IR"/>
        </w:rPr>
        <w:t>؟</w:t>
      </w:r>
    </w:p>
    <w:p>
      <w:pPr>
        <w:pStyle w:val="Heading3"/>
        <w:numPr>
          <w:ilvl w:val="2"/>
          <w:numId w:val="1"/>
        </w:numPr>
        <w:rPr/>
      </w:pPr>
      <w:bookmarkStart w:id="386" w:name="__RefHeading___Toc2991906_2870459653"/>
      <w:bookmarkStart w:id="387" w:name="_Toc149"/>
      <w:bookmarkEnd w:id="386"/>
      <w:r>
        <w:rPr>
          <w:rtl w:val="true"/>
        </w:rPr>
        <w:t>المقام الأوَّل</w:t>
      </w:r>
      <w:bookmarkEnd w:id="387"/>
    </w:p>
    <w:p>
      <w:pPr>
        <w:pStyle w:val="Heading4"/>
        <w:numPr>
          <w:ilvl w:val="3"/>
          <w:numId w:val="1"/>
        </w:numPr>
        <w:rPr/>
      </w:pPr>
      <w:bookmarkStart w:id="388" w:name="__RefHeading___Toc2991908_2870459653"/>
      <w:bookmarkStart w:id="389" w:name="_Toc150"/>
      <w:bookmarkEnd w:id="388"/>
      <w:r>
        <w:rPr>
          <w:rtl w:val="true"/>
        </w:rPr>
        <w:t>اشارة</w:t>
      </w:r>
      <w:bookmarkEnd w:id="3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أنّ القاعدة الأولية</w:t>
      </w:r>
      <w:r>
        <w:rPr>
          <w:rStyle w:val="FootnoteAnchor"/>
          <w:rtl w:val="true"/>
        </w:rPr>
        <w:footnoteReference w:id="349"/>
      </w:r>
      <w:r>
        <w:rPr>
          <w:rFonts w:ascii="Amiri" w:hAnsi="Amiri" w:eastAsia="Amiri" w:cs="Amiri"/>
          <w:color w:val="111111"/>
          <w:sz w:val="28"/>
          <w:sz w:val="28"/>
          <w:szCs w:val="28"/>
          <w:rtl w:val="true"/>
          <w:lang w:bidi="ar-SA"/>
        </w:rPr>
        <w:t>المستفادة من حكم العقل وعمومات النقل عند الشك في إنشاء الحجية هي الحرمة وعدم الحجية الفعلية</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ترتيب آثار الحجية من صحّة الاستناد إليها في مقام العمل، وعدم صحّة إسناد مؤداها إلى الشارع، ولا شبهة في أنّ الاستناد والإسناد من آثار حجية الأمارة بوجودها العلميّ؛ فحرمة الاستناد والإسناد مترتّبان على عدم العلم بالحجّية الأعم منه ومن العلم بالعدم، فمع عدم العلم والإذعان بحكم الشارع يكون الإسناد والاستناد تشريعاً قولياً وعملياً وقد قامت الأدلة على حرمته فيكون إسناداً بلا إذن منه سبحانه، وافتراءً عليه تعالى، وإسناد ما لم يعلم أنّه من الدين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وقع الكلام في ما هو </w:t>
      </w:r>
      <w:bookmarkStart w:id="390" w:name="pg9131_75938"/>
    </w:p>
    <w:p>
      <w:pPr>
        <w:pStyle w:val="BookText"/>
        <w:rPr/>
      </w:pPr>
      <w:bookmarkEnd w:id="390"/>
      <w:r>
        <w:rPr>
          <w:rFonts w:ascii="Amiri" w:hAnsi="Amiri" w:eastAsia="Amiri" w:cs="Amiri"/>
          <w:color w:val="111111"/>
          <w:sz w:val="28"/>
          <w:sz w:val="28"/>
          <w:szCs w:val="28"/>
          <w:rtl w:val="true"/>
          <w:lang w:bidi="ar-SA"/>
        </w:rPr>
        <w:t>المستفاد من أدلّة اعتبار الأمارات من ناحية وجود جعل وعدمه؟ رأيان رئيسان</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991910_2870459653"/>
      <w:bookmarkStart w:id="392" w:name="_Toc151"/>
      <w:bookmarkEnd w:id="391"/>
      <w:r>
        <w:rPr>
          <w:rtl w:val="true"/>
        </w:rPr>
        <w:t>الرأي الأوّل</w:t>
      </w:r>
      <w:r>
        <w:rPr>
          <w:rtl w:val="true"/>
        </w:rPr>
        <w:t xml:space="preserve">: </w:t>
      </w:r>
      <w:r>
        <w:rPr>
          <w:rtl w:val="true"/>
        </w:rPr>
        <w:t>عدم تضمّن تلك الأدلّة لوجود جعل في البين</w:t>
      </w:r>
      <w:bookmarkEnd w:id="392"/>
    </w:p>
    <w:p>
      <w:pPr>
        <w:pStyle w:val="BookText"/>
        <w:rPr/>
      </w:pPr>
      <w:r>
        <w:rPr>
          <w:rFonts w:ascii="Amiri" w:hAnsi="Amiri" w:eastAsia="Amiri" w:cs="Amiri"/>
          <w:color w:val="111111"/>
          <w:sz w:val="28"/>
          <w:sz w:val="28"/>
          <w:szCs w:val="28"/>
          <w:rtl w:val="true"/>
          <w:lang w:bidi="ar-SA"/>
        </w:rPr>
        <w:t xml:space="preserve">ذهب بعض الأصوليين إلى عدم وجود جعل في الأمارات من قبل الشارع أصلاً، وإنّما هي طرق عقلائية دائرة بينهم، غاية الأمر أنّه يستكشف الإمضاء والرضا بها من قبل الشارع من خلال عدم ردعه عنها، فالموجود من قبل الشارع ليس هو إلّا الإمضاء والتقرير لما بنى عليه العقلاء من العمل بأخبار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فيها من نكتة أقربيتها إلى الواقع وأقوائية كشفها عنه من غيرها من الأخبار، فلا جعل في باب الأمارات ولا مجعول لا من قبل العقلاء ولا من قبل الشارع، فليس هناك جعل من قبل الشارع حتى يكون المجعول هو العلم التعبدي والكاشفية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هو الإمضاء لهذا الكشف الناقص عن الواقع، وهذا الإمضاء مستفاد من سكوت الشارع عن السيرة العقلائية الجارية على الأخذ بخبر الثقة والظواهر، فينتزع العقل الحجية، فالحجية أمر انتزاعي عقلي، فتترتب المنجزية والمعذرية، فمضافاً إلى حكم العقل بحجية العلم والقطع الوجداني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أيضاً بحجية الأمارة تعبداً بعد أنْ أمضى الشارع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جعل شرعي أساساً في باب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أصلاً إلى البحث عن تعيين ما هو المجعول، ويكون الأمر من قبيل السالبة بانتفاء الموضوع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هذا المسلك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تقرير ذلك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 الأمارات المتداولة على ألسنة أصحابنا المحققين كلّها من الأمارات العقلانية التي يعمل بها العقلاء في معاملاتهم وسياساتهم وجميع أمورهم، بحيث لو </w:t>
      </w:r>
    </w:p>
    <w:p>
      <w:pPr>
        <w:pStyle w:val="BookText"/>
        <w:rPr/>
      </w:pPr>
      <w:r>
        <w:rPr>
          <w:rFonts w:ascii="Amiri" w:hAnsi="Amiri" w:eastAsia="Amiri" w:cs="Amiri"/>
          <w:color w:val="111111"/>
          <w:sz w:val="28"/>
          <w:sz w:val="28"/>
          <w:szCs w:val="28"/>
          <w:rtl w:val="true"/>
          <w:lang w:bidi="ar-SA"/>
        </w:rPr>
        <w:t xml:space="preserve">ردع الشارع عن العمل بها لاختل نظام المجتمع، ووقفت رحى الحياة الاجتماعية، وما هذا حاله لا معنى لجعل الحجية له وجعله كاشفاً محرزاً للواقع بعد كونه كذلك عند كافة العقلاء، وها هي الطرق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الظواهر، وقول اللغوي، وخبر الثقة، واليد، وأصالة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العقلاء كافة يعملون بها من غير انتظار جعل وتنفيذ من الشارع، بل لا دليل على حجّيتها بحيث يمكن الركون إليه إلّا بناء العقلاء، وإنّما الشارع عمل بها كأنّه أحد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حجية خبر الثقة واليد بعض الروايات التي يظهر منها بأتمّ ظهور أنّ العمل بهما باعتبار الأمارية العقلائية، وليس في أدلّة الأمارات ما يظهر منه بأدنى ظهور جعل الحجية وتتميم الكشف، بل لا معنى له أصلاً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علم أنّ قيام الأمارات مقام القطع بأقسامه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القطع الموضوعي فواضح؛ فإنّ الجعل الشرعي قد عرفت حاله وأنّه لا واقع له، بل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العقلاء بالعمل بالأمارات فليس وجهه تنزيل المؤدى منزلة الواقع، ولا تنزيل الظن منزلة القطع، ولا إعطاء جهة الكاشفية والطريقية أو تتميم الكشف لها، بل لهم طرق معتبرة يعملون بها في معاملاتهم وسياساتهم من غير تنزيل واحد منها مقام الآخر، ولا التفات إلى تلك المعاني الاختراعية والتخيلية، كما يظهر لمن يرى طريقة العقلاء ويتأمل فيها 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حال القطع الطريقي، فإنّ عمل العقلاء بالطرق المتداولة حال عدم العلم ليس من باب قيامها مقام العلم، بل من باب العمل بها مستقلاً ومن غير التفات إلى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القطع طريق عقلي مقدم على الطرق العقلائية، والعقلاء إنّما يعملون بها عند فَقْدِ القطع، وذلك لا يلزم أنْ يكون عملهم بها من باب قيامها مقامه، حتى يكون الطريق منحصراً بالقطع عندهم، ويكون </w:t>
      </w:r>
    </w:p>
    <w:p>
      <w:pPr>
        <w:pStyle w:val="BookText"/>
        <w:rPr/>
      </w:pPr>
      <w:r>
        <w:rPr>
          <w:rFonts w:ascii="Amiri" w:hAnsi="Amiri" w:eastAsia="Amiri" w:cs="Amiri"/>
          <w:color w:val="111111"/>
          <w:sz w:val="28"/>
          <w:sz w:val="28"/>
          <w:szCs w:val="28"/>
          <w:rtl w:val="true"/>
          <w:lang w:bidi="ar-SA"/>
        </w:rPr>
        <w:t>العمل بغيره بعناية التنزيل والقيام مقامه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اختاره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جعل ولا مجعول في باب الأمارات أصلاً وإنّما هو إمضاء وتقرير من الشارع لما بنى عليه العقلاء من العمل بأخبار الثقة على أساس ما فيها من النكتة المبرّرة لذلك البناء، وهو أقربيتها إلى الواقع من غيرها، وهذا القول هو الصحيح</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في غير مورد أنْ لا جعل ولا مجعول في باب الأمارات في مقتضى دليل حجّيتها، لا الطريقية والكاشفية، ولا المنجّزية والمعذّرية، ولا الحكم الظاهري المماثل للحكم الواقعي في صورة المطابقة والمخالفة في صورة عدم المطابقة؛ لما ذكرناه من أنَّ عمدة الدليل على حجيتها بناء العقلاء على العمل بها وإمضاء الشارع لهذا البناء، وقد تقدّم أنّه يكفي في الإمضاء السكوت وعدم الردع؛ فلهذا ليس في هذا الباب شيء مجعول من قبل الشارع فضلاً عن كون المجعول الطريقية والعلم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عملهم بها لا يمكن أنْ يكون جزافاً وبلا نكتة، فالنكتة فيه قوة درجة الكشف النوعي لأخبار الثقة عن الواقع من أخبار غير الثقة فلا جعل في البين من قبل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قبل الشارع فلا يكون إلّا إمضاء هذه السيرة وتقريرها، ويكفي في الإمضاء السكوت وعدم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الإمضاء يكون منشأ لانتزاع الحجية لها بمعنى المنجّزية والمعذّرية، وهذا معنى ما ذكرناه من أنّه لا جعل ولا مجعول في باب الأمارات</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المقدس قام بإقرار بعض الطرق ورفض بعضها </w:t>
      </w:r>
    </w:p>
    <w:p>
      <w:pPr>
        <w:pStyle w:val="BookText"/>
        <w:rPr/>
      </w:pPr>
      <w:r>
        <w:rPr>
          <w:rFonts w:ascii="Amiri" w:hAnsi="Amiri" w:eastAsia="Amiri" w:cs="Amiri"/>
          <w:color w:val="111111"/>
          <w:sz w:val="28"/>
          <w:sz w:val="28"/>
          <w:szCs w:val="28"/>
          <w:rtl w:val="true"/>
          <w:lang w:bidi="ar-SA"/>
        </w:rPr>
        <w:t xml:space="preserve">الآخر، وليس هذا إلّا بنكتة قوة الكاشفية والطريقية الثابتة عن الواقع عند عدم توفّر القطع بالواقع، وهو بعدما أمضى وأقرّ طريقة العقلاء بالعمل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به فهذا يعني أنّه اعتبر العمل به طريقاً إلى الواقع، ويقوم مقام القطع فيترتب عليه الأثر من المنجّزية والمعذّرية، في مقابل ردعه وعدم موافقته على بعض الطرق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كردعه عن القياس، أو الاستحسان، أو النهي عن بيع الموزون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فالظن حجيته وطريقيته ليست ذاتية فلا بُدَّ أنْ تكون بجعل جاعل وهو ينقسم إلى ما يكون حجّة مجعولة وما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الشارع وعدم ردعه عن بعض الطرق يكون دالاً على الالتزام بها، وأنّها لا تخالف مرامه، ويكشف عن اعتباره لها وإعطائها صفة الحجية، فسكوته نفسه معناه جعل الاعتبار لها في مقابل ما نهى عنه من الطرق، فمفاد أدلة اعتبار الأمارات هو وجود جعل واعتبار للحجية كحكم شرعي ظاهري، وهذه المرحلة بيد المولى، وهذه الحجية الإمضائية المجعولة تستلزم وتستتبع المنجّزية والمعذّرية في الموقف العملي للمكلّف تجاه المولى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في مقابل رفضه لبعض الطرق الظنية والذي يعني عدم إعطائه صفة الحجية لها وسلبها عنها، توجد موافقة وإمضاء منه لبعض الطرق العقلائية، وهذا يعني إعطاءه صفة الحجية لها، وهذا الإمضاء ناتج عن عدم الردع، وهو يعني اعتبارها، بمعنى جعل الحجّية لها والطريقية، وجعل الحجية بعدم الردع الملازم للإمضاء والارتضاء هو كجعل الحجّية التأسيسية لشيء من الأشياء، وهذه الحجية الإمضائية</w:t>
      </w:r>
      <w:r>
        <w:rPr>
          <w:rStyle w:val="FootnoteAnchor"/>
          <w:rtl w:val="true"/>
        </w:rPr>
        <w:footnoteReference w:id="354"/>
      </w:r>
      <w:r>
        <w:rPr>
          <w:rFonts w:ascii="Amiri" w:hAnsi="Amiri" w:eastAsia="Amiri" w:cs="Amiri"/>
          <w:color w:val="111111"/>
          <w:sz w:val="28"/>
          <w:sz w:val="28"/>
          <w:szCs w:val="28"/>
          <w:rtl w:val="true"/>
          <w:lang w:bidi="ar-SA"/>
        </w:rPr>
        <w:t xml:space="preserve">لبعض الأمارات والتقنين لها أثرها من التنجيز والتعذير عقلاً، فإنْ </w:t>
      </w:r>
    </w:p>
    <w:p>
      <w:pPr>
        <w:pStyle w:val="BookText"/>
        <w:rPr/>
      </w:pPr>
      <w:r>
        <w:rPr>
          <w:rFonts w:ascii="Amiri" w:hAnsi="Amiri" w:eastAsia="Amiri" w:cs="Amiri"/>
          <w:color w:val="111111"/>
          <w:sz w:val="28"/>
          <w:sz w:val="28"/>
          <w:szCs w:val="28"/>
          <w:rtl w:val="true"/>
          <w:lang w:bidi="ar-SA"/>
        </w:rPr>
        <w:t>أصابت فهي منجزة وإلّا فهي معذّرة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ولا غائلة من جعل الحجية الإمضائية بمعنى اعتبار العمل الخارجي وأنّه حجّة يوافق مرام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ضرورة لأنْ يكون المراد من الجعل في الكلمات هو خصوص الجعل التأسيسي والأمارة التأسيسية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لا جعل أساساً من الشارع، لاسيّما مع التفات القائلين بوجود الجعل إلى أنّها طرق إمضائية موجودة عند العقلاء يعملون بها وليست تأسيسية مخترعة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مراد النافي نفيه الجعل التأسيسي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الأمارات طرقاً يعتمد عليها العقلاء في أمورهم وبيان مراداتهم لعدم اعتنائهم باحتمال مخالفتها وجعلها كالعدم، والبناء على أنّها كالعلم بنظرهم لا ينافي ولا يمنع من الجعل التشريعي على هذا البناء العقلائي، حيث وقع الإمضاء على هذا البناء بإلغاء احتمال الخلاف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الأمارة طريقاً عقلائياً وليست طريقاً شرعياً ابتدائياً لا يمنع من جعلها الإمضائي شرعاً، ولا مقتضي لتخصيص الجعل بخصوص الطريق التأسيسي المحض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الحجية في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معتبرة عند المولى ويُستند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عقلائي حيث يمكن أنْ يكون الشيءُ حجّةً عقلائيةً يحتجّ به عندهم مع ردع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العكس</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المرتكزات العقلائية تقتضي أنّ الإمضاء يدل على الجعل الإلزامي الشرعي، </w:t>
      </w:r>
    </w:p>
    <w:p>
      <w:pPr>
        <w:pStyle w:val="BookText"/>
        <w:rPr/>
      </w:pPr>
      <w:r>
        <w:rPr>
          <w:rFonts w:ascii="Amiri" w:hAnsi="Amiri" w:eastAsia="Amiri" w:cs="Amiri"/>
          <w:color w:val="111111"/>
          <w:sz w:val="28"/>
          <w:sz w:val="28"/>
          <w:szCs w:val="28"/>
          <w:rtl w:val="true"/>
          <w:lang w:bidi="ar-SA"/>
        </w:rPr>
        <w:t>وإلّا فما ذكر من مجرّد ارتضاء ذلك بلا جعل لا يقتضي الإلزام من ناحية الأحكام والتكاليف الشرعية الإلهية التي هي بيد المولى تشريعاً، وكذلك بيده اعتبار طرق الوصول إليها التي يحتج بها على العبد، والعقلاء يرتبون آثار الأمر عند اعتباره ممّن بيده الاعتبار، فالمجعول الشرعي في باب الأمارات يكون على ما استقر عليه بناء العقلاء، ولم يتعلق بناؤهم على جعل حكم تكليفي في موارد الطرق، بل يحتجون بها ويتعاملون بها عملياً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الارتكازات مقتضية بأنّ جعل الأمارة هو جعل نفس الحجية وصحة الاحتجاج بها من معتبرها، وأنّه يستند إليها ويحتجّ بها على الغير وأنّ هذه الطرق حجّة على مؤدياتها كالقطع، وبالتالي تُحمل أدلّة اعتبار الأمارة على ذلك، وتترتب على ذلك الأحكام العقلية من المنجّزية والمعذّرية عند الموافقة والمخالفة للواقع؛ فإنّ ارتضاء الأمارة يدل على اعتبار الحجية لها بهدف ترتيب آثار العلم عليها من كونها طريقاً مجعولاً إلى الواقع فيترتب عليها عقلاً صحة المؤاخذة والاعتذار، وليست الحجية المجعولة عين المنجّزية والمعذّرية بل هي غيرهما، وهما متفرعان عنها، ومترتبان عليها، ولازمان لها عقلاً، فإذا لم يُجعل الشيء أوّلاً حجّة صالحاً للاحتجاج به لا يصحّ الاحتجاج وإلزام الغير به، ولا تترتب عليه صحة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لازم جعل الحجية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الموضوع للمنجّزية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والمعذّرية عقلاً، وهما من مختصّات العقل غير القابلة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باحتمال الخلاف، وذلك لا يعني العلمية بالضرورة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مرجع التعبّد بالشيء ظاهر في جعله، والأحكام التكليفية وكذلك </w:t>
      </w:r>
      <w:bookmarkStart w:id="393" w:name="pg9131_75944"/>
    </w:p>
    <w:p>
      <w:pPr>
        <w:pStyle w:val="BookText"/>
        <w:rPr/>
      </w:pPr>
      <w:bookmarkEnd w:id="393"/>
      <w:r>
        <w:rPr>
          <w:rFonts w:ascii="Amiri" w:hAnsi="Amiri" w:eastAsia="Amiri" w:cs="Amiri"/>
          <w:color w:val="111111"/>
          <w:sz w:val="28"/>
          <w:sz w:val="28"/>
          <w:szCs w:val="28"/>
          <w:rtl w:val="true"/>
          <w:lang w:bidi="ar-SA"/>
        </w:rPr>
        <w:t>الحجية من الأحكام القابلة للجعل التشريعي</w:t>
      </w:r>
      <w:r>
        <w:rPr>
          <w:rStyle w:val="FootnoteAnchor"/>
          <w:rtl w:val="true"/>
        </w:rPr>
        <w:footnoteReference w:id="356"/>
      </w:r>
      <w:r>
        <w:rPr>
          <w:rFonts w:ascii="Amiri" w:hAnsi="Amiri" w:eastAsia="Amiri" w:cs="Amiri"/>
          <w:color w:val="111111"/>
          <w:sz w:val="28"/>
          <w:sz w:val="28"/>
          <w:szCs w:val="28"/>
          <w:rtl w:val="true"/>
          <w:lang w:bidi="ar-SA"/>
        </w:rPr>
        <w:t>، وبعد أنْ يجعل الشارع الحجية للأمارة يلزم من ذلك عقلاً استلزام العقاب أو الأمان</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991912_2870459653"/>
      <w:bookmarkStart w:id="395" w:name="_Toc152"/>
      <w:bookmarkEnd w:id="394"/>
      <w:r>
        <w:rPr>
          <w:rtl w:val="true"/>
        </w:rPr>
        <w:t>الرأي الثاني</w:t>
      </w:r>
      <w:r>
        <w:rPr>
          <w:rtl w:val="true"/>
        </w:rPr>
        <w:t xml:space="preserve">: </w:t>
      </w:r>
      <w:r>
        <w:rPr>
          <w:rtl w:val="true"/>
        </w:rPr>
        <w:t>تضمّن أدلة اعتبار الأمارات وجود جعل</w:t>
      </w:r>
      <w:bookmarkEnd w:id="395"/>
    </w:p>
    <w:p>
      <w:pPr>
        <w:pStyle w:val="Heading5"/>
        <w:numPr>
          <w:ilvl w:val="4"/>
          <w:numId w:val="1"/>
        </w:numPr>
        <w:rPr/>
      </w:pPr>
      <w:bookmarkStart w:id="396" w:name="__RefHeading___Toc2991914_2870459653"/>
      <w:bookmarkStart w:id="397" w:name="_Toc153"/>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وبناءً على تكفّل أدلّة اعتبار الأمارة بوجود جعل فما هو المجعول فيها؟ فيه عدّة مسالك</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991916_2870459653"/>
      <w:bookmarkStart w:id="399" w:name="_Toc154"/>
      <w:bookmarkEnd w:id="398"/>
      <w:r>
        <w:rPr>
          <w:rtl w:val="true"/>
        </w:rPr>
        <w:t>المسلك الأوَّل</w:t>
      </w:r>
      <w:r>
        <w:rPr>
          <w:rtl w:val="true"/>
        </w:rPr>
        <w:t xml:space="preserve">: </w:t>
      </w:r>
      <w:r>
        <w:rPr>
          <w:rtl w:val="true"/>
        </w:rPr>
        <w:t>جعل الحكم المماثل</w:t>
      </w:r>
      <w:bookmarkEnd w:id="399"/>
    </w:p>
    <w:p>
      <w:pPr>
        <w:pStyle w:val="BookText"/>
        <w:rPr/>
      </w:pPr>
      <w:r>
        <w:rPr>
          <w:rFonts w:ascii="Amiri" w:hAnsi="Amiri" w:eastAsia="Amiri" w:cs="Amiri"/>
          <w:color w:val="111111"/>
          <w:sz w:val="28"/>
          <w:sz w:val="28"/>
          <w:szCs w:val="28"/>
          <w:rtl w:val="true"/>
          <w:lang w:bidi="ar-SA"/>
        </w:rPr>
        <w:t xml:space="preserve">نُسب إلى المشهور أنّ المجعول في باب الأمارات هو الحكم الظاهري المماثل للواقع لما أدت إليه الأمارة، فالأمارة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جعل الشارع حكماً وجوبياً تكليفياً ظاهرياً لصلاة الجمعة مماثلاً لمضمون الأمارة، فما تقوله الأمارة يجعل الشارع مماثله من الحكم، ثم نحن ننتزع الحجية من ذلك الحكم التكليفي والوجوب الشرعي المجعول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مؤديات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ظاهرية شرعية، أو قل أحكام واقعية ثانوية قد جُعِلت للموضوع الذي قامت عليه الأمارة بسبب قيامها عليه، فمعنى حجية الأمارة هو جعل الحكم المماثل لمؤداها، فإذا دلّت على الوجوب فدليل حجيتها يجعل وجوباً مماثلاً لمؤداها، وإذا دلت حجيتها على الحرمة يجعل حرمة مماثلة، وإذا أخبرت الأمارة بطهارة ثوب ثبتت طهارة ظاهرية مماثلة للطهارة التي أخبرت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بينهم كما اعترف به صاحب الكفاية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هذا المسلك يظهر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دليل الانسداد في ردّ الوجه الثاني من أدلة القائلين باعتبار الظن في المسائل الأصولية دون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هداية المسترشدين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تفريغ الذمة عمّا اشتغلت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بفعل نفس ما أراده الشارع في ضمن الأوامر الواقعية، وإمّا بفعل ما حكم حكماً جعلياً بأنّه نفس المراد وهو مضمون الطرق المجعولة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بحث دليل 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حجّيّة الخبر مع الانفتاح تخيّر المكلّف بين امتثال ما علم كونه حكماً واقعياً بتحصيل العلم به، وبين امتثال مؤدّى الطريق المجعول الذي عُلِمَ جعله بمنزلة الواقع، فكلّ من الواقع ومؤدّى الطريق مبرئ مع العلم به، فإذا انسد باب العلم التفصيلي بأحدهما تعيّن الآخر، وإذا انسد باب العلم التفصيلي بهما تعيّن العمل فيهما بالظن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وحكي هذا المسلك عن الآخوند في حاشيته على الرسائل وأنّه يستفاد من دليل الأمارة تنزيل مؤدياتها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المسلك المعروف من أنّ المجعول في باب الطرق والأمارات هو</w:t>
      </w:r>
    </w:p>
    <w:p>
      <w:pPr>
        <w:pStyle w:val="BookText"/>
        <w:rPr/>
      </w:pPr>
      <w:r>
        <w:rPr>
          <w:rFonts w:ascii="Amiri" w:hAnsi="Amiri" w:eastAsia="Amiri" w:cs="Amiri"/>
          <w:color w:val="111111"/>
          <w:sz w:val="28"/>
          <w:sz w:val="28"/>
          <w:szCs w:val="28"/>
          <w:rtl w:val="true"/>
          <w:lang w:bidi="ar-SA"/>
        </w:rPr>
        <w:t>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تنزيل المؤدى منزلة الواقع وجعل الحكم الظاهري المماثل للحكم الواقعي على تقدير الإصابة كما بنى عليه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مهم الأقوال في المجعول في الأمارة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مختاره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فيها هو الحكم الطريقي، وهو جعل حكم على طبقها بعنوان أنّه هو الواقع، وهو ما يظهر من الشيخ الأعظم في رسائله وسيأتي تقريبه عند تعرض المصنف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فيها هو الحكم النفسي، وهو المنسوب إلى المشهور لظاهر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ظنية الطريق لا تنافي قطعية الحكم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على هذا المسلك يكون مفاد دليل الأمارة ابتداءً هو جعل أحكام شرعية وإحداث أحكام مماثلة على طبق مؤديات الأمارة، ثم بعد ذلك تنتزع الحجية من تلك الأحكام، وهذا بخلافه على المسلكين الآتيين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المنجّزية والمعذّرية،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يتضمّنان جعل حكمٍ أصلاً وإنّما يتضمّنان جعل المنجزية أو جعل العلمية لا أكثر، فالحجية المجعولة للأمارات لا تستتبع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فمؤدّيات الطرق والأمارات المعتبرة ليست بأحكام حقيقية نفسية ولو قيل بكونها أحكاماً طريقية، وقد مرّ غير مرة إمكان منع كونها أحكاماً كذلك أيضاً وأنّ قضية حجيتها ليست إلّا تنجيز مؤدياتها عند إصابتها والعذر عند خطئها، فلا يكون حكماً أصلاً إلّا الحكم الواقعي</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والمراد من الحكم الحقيقي النفسي هو الحكم الناشئ عن مصلحة في نفسه أو في متعلقه وكونه كسائر الأحكام الواقعية، ويقابل ذلك الحكم الطريقي الغيري وهو ما ينشأ عن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مصلحة في نفس متعلقه تنشأ بسبب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 الأمارة موجب لجعل حكم طريقي غيري كما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أنّ المجعول في باب الأمارة هو الحجية ونفى كون المراد من جعل الحجية إنشاء أحكام ظاهرية شرعية على طبق مؤدّى الأمارة في أكثر من مورد</w:t>
      </w:r>
      <w:r>
        <w:rPr>
          <w:rStyle w:val="FootnoteAnchor"/>
          <w:rtl w:val="true"/>
        </w:rPr>
        <w:footnoteReference w:id="361"/>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المستفاد من أخبار باب الاستصحاب أنَّ المجعول فيه إنشاء الحكم المماثل</w:t>
      </w:r>
      <w:r>
        <w:rPr>
          <w:rStyle w:val="FootnoteAnchor"/>
          <w:rtl w:val="true"/>
        </w:rPr>
        <w:footnoteReference w:id="362"/>
      </w:r>
      <w:r>
        <w:rPr>
          <w:rFonts w:ascii="Amiri" w:hAnsi="Amiri" w:eastAsia="Amiri" w:cs="Amiri"/>
          <w:color w:val="111111"/>
          <w:sz w:val="28"/>
          <w:sz w:val="28"/>
          <w:szCs w:val="28"/>
          <w:rtl w:val="true"/>
          <w:lang w:bidi="ar-SA"/>
        </w:rPr>
        <w:t xml:space="preserve">، وسيأتي في الوجه الآتي التعرّض لكلمات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يلاحظ على مسلك جعل الحكم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ظاهر إثباتاً في جعل المؤدّى وتنزيله منزلة الواقع، وظهور الأدلة في التعبد بلحاظ العمل لا يدلّ على أنَّ ذلك بعناية التنزيل، بل غاية ما يقتضيه دليل التعبد كونها مورداً للعمل كالواقع ولزوم البناء على كون مضمونها هو الواقع لا تنزيل أمر آخر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أدلة الأمارات والعمل بها هو بناء العقلاء، وهو دليل لبّي، ولا لسان للسيرة حتى يستفاد منها التنزيل، فغاية ما يستفاد هو لزوم المتابعة عملاً بلا تفريع ذلك على عناية التنزيل وجعل الحكم المماثل، أو التنزيل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الطرق حجيتها بالبناء العقلائي الممضى، ومقتضى المرتكزات العقلائية التنزيل على ذلك، فتحمل أدلة الإمضاء على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من البناء هو العمل بالطرق وترتيب مضمونها عملاً، وعدم الاعتناء باحتمال الخطأ، فيقتصر على ذلك، فالارتكازات والسيرة دليل لبّي لا لفظي حتى يصح التنزيل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بناء العقلاء لا يقتضي كون العمل بها بعناية التنزيل، ولم يتعلق بناؤهم على جعل حكم تكليفي في موارد الطرق</w:t>
      </w:r>
      <w:r>
        <w:rPr>
          <w:rFonts w:eastAsia="Amiri" w:cs="Amiri" w:ascii="Amiri" w:hAnsi="Amiri"/>
          <w:color w:val="111111"/>
          <w:sz w:val="28"/>
          <w:szCs w:val="28"/>
          <w:rtl w:val="true"/>
          <w:lang w:bidi="ar-SA"/>
        </w:rPr>
        <w:t xml:space="preserve">. </w:t>
      </w:r>
      <w:bookmarkStart w:id="400" w:name="pg9131_75948"/>
    </w:p>
    <w:p>
      <w:pPr>
        <w:pStyle w:val="BookText"/>
        <w:rPr/>
      </w:pPr>
      <w:bookmarkEnd w:id="400"/>
      <w:r>
        <w:rPr>
          <w:rFonts w:ascii="Amiri" w:hAnsi="Amiri" w:eastAsia="Amiri" w:cs="Amiri"/>
          <w:color w:val="111111"/>
          <w:sz w:val="28"/>
          <w:sz w:val="28"/>
          <w:szCs w:val="28"/>
          <w:rtl w:val="true"/>
          <w:lang w:bidi="ar-SA"/>
        </w:rPr>
        <w:t>وما استدل به من الأدلة اللفظية هو في مقام التأكيد لما بنى عليه العقلاء والإمضاء له، ومفادها الإرشاد إلى ما هو المرتكز في أذهان العرف والعقلاء، والثابت في أعماق نفوسهم، وهو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ثبوتاً أنْ يكون مراد دليل الاعتبار جعل المؤدّى وتنزيله منزلة الواقع وجعله كالواقع، فإنّ هذا يستلزم جعل الحكم الظاهري في قبال الحكم الواقعي، وهو محل إشكال، إذ يستلزم التصويب وتبعية الواقع لقيام الطريق، وهو خلاف مذهب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لو فرضنا ورود التنزيل فهو يحمل على الكناية عن حجية الأمارة وإحراز الواقع وترتيب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أثر الواقع على المؤدّى ليس متوقفاً على توسط عناية التنزيل، بل يكفي في ذلك اتصاف الأمارة بالحجية ابتداءً من خلال إمضاء الشارع لبناء العقلاء على العمل بها</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991918_2870459653"/>
      <w:bookmarkStart w:id="402" w:name="_Toc155"/>
      <w:bookmarkEnd w:id="401"/>
      <w:r>
        <w:rPr>
          <w:rtl w:val="true"/>
        </w:rPr>
        <w:t>المسلك الثاني</w:t>
      </w:r>
      <w:r>
        <w:rPr>
          <w:rtl w:val="true"/>
        </w:rPr>
        <w:t xml:space="preserve">: </w:t>
      </w:r>
      <w:r>
        <w:rPr>
          <w:rtl w:val="true"/>
        </w:rPr>
        <w:t>المنجّزية والمعذّرية</w:t>
      </w:r>
      <w:bookmarkEnd w:id="402"/>
    </w:p>
    <w:p>
      <w:pPr>
        <w:pStyle w:val="BookText"/>
        <w:rPr/>
      </w:pPr>
      <w:r>
        <w:rPr>
          <w:rFonts w:ascii="Amiri" w:hAnsi="Amiri" w:eastAsia="Amiri" w:cs="Amiri"/>
          <w:color w:val="111111"/>
          <w:sz w:val="28"/>
          <w:sz w:val="28"/>
          <w:szCs w:val="28"/>
          <w:rtl w:val="true"/>
          <w:lang w:bidi="ar-SA"/>
        </w:rPr>
        <w:t xml:space="preserve">نسب إلى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 باب الأمارات هو جعل نفس المنجّزية والمعذّرية، فالمقصود من كون الأمارة حجّة وكون الخبر حجّةً هو أنّه ينجّز الحكم الواقعي في ظرف إصابته له؛ بمعنى استحقاق العقوبة على المخالفة ويكون معذّراً في فرض الخطأ، فالوجوب الواقعي لصلاة الجمعة مثلاً بما أنّه مجهول لا يكون منجَّزاً، ولكن إذا دلّ عليه خبر الثقة صار منجَّزاً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محاضرات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44/69</w:t>
      </w:r>
      <w:r>
        <w:rPr>
          <w:rFonts w:ascii="Amiri" w:hAnsi="Amiri" w:eastAsia="Amiri" w:cs="Amiri"/>
          <w:color w:val="111111"/>
          <w:sz w:val="28"/>
          <w:sz w:val="28"/>
          <w:szCs w:val="28"/>
          <w:rtl w:val="true"/>
          <w:lang w:bidi="ar-SA"/>
        </w:rPr>
        <w:t xml:space="preserve">، نشر مؤسسة الإمام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اعتبار الأمارة هو بمعنى حجيتها وجعلها منجِّزة للواقع في ظرف الإصابة </w:t>
      </w:r>
    </w:p>
    <w:p>
      <w:pPr>
        <w:pStyle w:val="BookText"/>
        <w:rPr/>
      </w:pPr>
      <w:r>
        <w:rPr>
          <w:rFonts w:ascii="Amiri" w:hAnsi="Amiri" w:eastAsia="Amiri" w:cs="Amiri"/>
          <w:color w:val="111111"/>
          <w:sz w:val="28"/>
          <w:sz w:val="28"/>
          <w:szCs w:val="28"/>
          <w:rtl w:val="true"/>
          <w:lang w:bidi="ar-SA"/>
        </w:rPr>
        <w:t>فيستحق العبد المؤاخذة لو خالف التكليف الإلزامي، وأنّها معذِّرة للمكلف في ظرف الخطأ إذا عمل المكلف بها، وأنّ فوت الواقع عنه لا يوجب الذم واللوم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الحجية هو جعل المنجّزية والمعذّرية بجعل ذلك شرعاً وتعبداً، وليس المستفاد من الحجية هو جعل الحكم النفسي الثانوي على طبق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الحكم المماثل الطريقي الذي لازمه جعل الحكم المماثل في حال الإصابة، لا في حال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حكم في مرحلة الظاهر وليس هناك حكم غيرَ الحكم الواقعي أصلاً، وإنّما الغرض هو الطريقية إلى الحكم الواقعي غاية الأمر عند عدم الإصابة يكون العامل على طبق الأمارة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والاتجاه لعلّه يظهر من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كلامه في مبحث الظن بصورة واضحة أنّ مفاد أدلة اعتبار الطرق والأمارات هو جعل نفس الحجية، وهي مستلزمة ومستتبعة وموجبة للمنجّزية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واقعهما حكمان عقليان منتزعان من جعل الشارع الحجية بالجعل الشرعي الإمضائي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المجعول هو عين المنجّزية والمعذّرية، ويدل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الظن، في جوابه الأول عمّا ذكره عن أدلة استحالة اعتبار </w:t>
      </w:r>
    </w:p>
    <w:p>
      <w:pPr>
        <w:pStyle w:val="BookText"/>
        <w:rPr/>
      </w:pPr>
      <w:r>
        <w:rPr>
          <w:rFonts w:ascii="Amiri" w:hAnsi="Amiri" w:eastAsia="Amiri" w:cs="Amiri"/>
          <w:color w:val="111111"/>
          <w:sz w:val="28"/>
          <w:sz w:val="28"/>
          <w:szCs w:val="28"/>
          <w:rtl w:val="true"/>
          <w:lang w:bidi="ar-SA"/>
        </w:rPr>
        <w:t xml:space="preserve">الأمارة وجعلها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ادعي لزومه إمّا غير لازم، أو غير باطل؛ وذلك لأنّ التعبد بطريق غير علمي إنّما هو بجعل حجيته، والحجية المجعولة غير مستتبعة لإنشاء أحكام تكليفية بحسب ما أدى إليه الطريق، بل إنّما تكون موجبة لتنجيز التكليف به إذا أصاب، وصحة الاعتذار به إذا أخطأ، ولكون مخالفته وموافقته تجرياً وانقياداً مع عدم إصابته كما هو شأن الحجّة غير المجعولة، فلا يلزم اجتماع حكمين مثلين أو ضدين، ولا طلب الضدين، ولا اجتماع المفسدة والمصلحة، ولا الكراهة والإرادة، كما لا يخفى</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أنّ نفس الأمارة لا دلالة لها إلّا على الحكم الواقعي، وقضية حجيتها ليس إلّا لزوم العمل على وفقها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قضية الحجية شرعاً إلّا لزوم العمل على وفق الحجّة عقلاً وتنجيز الواقع مع المصادفة، وعدم تنجّزه في صورة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دليل الاعتبار هو وجوب إلغاء احتمال الخلاف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احتمالات،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نفاه، والثاني هو احتمال كون المجعول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هنا كاحتمال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الأول فقد فسّر بأنّ المراد منه جعل الحكم المماثل لمؤدى الأمارة على اعتبار أنّ الاحتمالات في دليل حجية الأمارة ثلاثة، وبما أنّ الأخيرين واضحان فيكون المراد من الاحتمال الأول هو 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الآخوند من الاحتمال الأوَّل هو جعل نفس الحجية،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صريحاً أن يكون المراد من جعل الحجية في باب الأمارات إنشاء أحكام ظاهرية شرعية على طبق مؤدى الأمارة كما هو المنسوب للمشهور في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 من تنبيهات الاستصحاب، وص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في الاستدلال على جواز تقليد الميت بقاءً بالاستصحاب والمناقشة فيه،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التخطئة والتصويب في مباحث الاجتهاد،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حصر لاحتمالات دليل حجية الأمارة في ثلاثة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العبارة تدل على أنّ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هو نفس الحجية الصرفة والطريقية</w:t>
      </w:r>
      <w:r>
        <w:rPr>
          <w:rStyle w:val="FootnoteAnchor"/>
          <w:rtl w:val="true"/>
        </w:rPr>
        <w:footnoteReference w:id="367"/>
      </w:r>
      <w:r>
        <w:rPr>
          <w:rFonts w:ascii="Amiri" w:hAnsi="Amiri" w:eastAsia="Amiri" w:cs="Amiri"/>
          <w:color w:val="111111"/>
          <w:sz w:val="28"/>
          <w:sz w:val="28"/>
          <w:szCs w:val="28"/>
          <w:rtl w:val="true"/>
          <w:lang w:bidi="ar-SA"/>
        </w:rPr>
        <w:t xml:space="preserve">لا غير؛ بمعنى أنّها لا تستتبع ولا توجب جعل الحكم النفسي المماثل لما أدت إليه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تستتبع ولا توجب جعل الحكم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بتبع جعل الحجية، أو من غير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تستتبع وتوجب المنجزية لو أصابت، والمعذرية لو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الطريق لا تماثل الحكم الواقعي الثابت ولا تضادّه، وترتبُ العمل على الحجية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على أنَّ المجعول هو نفس الحجية، وهي من الأحكام الوضعية القابلة للجعل بالاستقلال شرعاً، وتترتب عليها آثارها الأربعة من تنجيز التكليف الواقعي على تقدير إصابة الأمارة له، والتعذير مع عدمها، وكون مخالفتها تجرياً، وموافقتها انقياداً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المنجّزية والمعذّرية ولزوم الإطاعة وعدم المعصية من مختصات العقل غير القابلة للجعل شرعاً، وإنّما يكون للشارع جعلُ موضوعاتها، وهي الأحكام التكليفية أو الحجية أو نحوهما، وبناءً على تمامية هذا الفهم لا يُشكل بأنّ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حكمان عقليان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قابلين للجعل الشرعي في غير موضوعهما؛ فلا يصحّ جعل المنجزية والمعذرية في صورة الأمارة غير العلمية؛ فإنّ لازمه التخصيص في حكم العقل، وحكم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w:t>
      </w:r>
      <w:r>
        <w:rPr>
          <w:rFonts w:eastAsia="Amiri" w:cs="Amiri" w:ascii="Amiri" w:hAnsi="Amiri"/>
          <w:color w:val="111111"/>
          <w:sz w:val="28"/>
          <w:szCs w:val="28"/>
          <w:rtl w:val="true"/>
          <w:lang w:bidi="ar-SA"/>
        </w:rPr>
        <w:t xml:space="preserve">. </w:t>
      </w:r>
      <w:bookmarkStart w:id="403" w:name="pg9131_75952"/>
    </w:p>
    <w:p>
      <w:pPr>
        <w:pStyle w:val="BookText"/>
        <w:rPr/>
      </w:pPr>
      <w:bookmarkEnd w:id="403"/>
      <w:r>
        <w:rPr>
          <w:rFonts w:ascii="Amiri" w:hAnsi="Amiri" w:eastAsia="Amiri" w:cs="Amiri"/>
          <w:color w:val="111111"/>
          <w:sz w:val="28"/>
          <w:sz w:val="28"/>
          <w:szCs w:val="28"/>
          <w:rtl w:val="true"/>
          <w:lang w:bidi="ar-SA"/>
        </w:rPr>
        <w:t xml:space="preserve">ولا يخفى أنّ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الظن هي الأساس؛ لأنّها هي محل البحث في المجعول في الأمارة، وهو الموضع الأصلي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كلماته الأخرى التي فيها ذكر المنجّزية والمعذّرية فيمكن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ذَكرهما وركّز عليهما باعتبارهما الأثر المهم لحجية الأمارة أو ذَكرهما باعتبار نفيه لجعل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فالمجعول هو الحجية، أو جعل ما يصح الاحتجاج به على المكلف ممّا يستلزم المنجّزية والمعذّرية عقلاً، أو قل جعل المنجّزية والمعذّرية الشرعية، ولازم ذلك المنجّزية والمعذّرية العقلية، وحكم العقل بالمنجّزيّة والمعذّريّة موضوعه الأعمّ من العلم الوجداني والعلم التعبدي والحجيّة التعبديّة، فالمجعول هو الحجيّة الشرعيّة، أو قل المنجّزية والمعذّريّة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يبعد أن يكون المجعول في الأمارة هو ما تقدّم</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991920_2870459653"/>
      <w:bookmarkStart w:id="405" w:name="_Toc156"/>
      <w:bookmarkEnd w:id="404"/>
      <w:r>
        <w:rPr>
          <w:rtl w:val="true"/>
        </w:rPr>
        <w:t>المسلك الثالث</w:t>
      </w:r>
      <w:r>
        <w:rPr>
          <w:rtl w:val="true"/>
        </w:rPr>
        <w:t xml:space="preserve">: </w:t>
      </w:r>
      <w:r>
        <w:rPr>
          <w:rtl w:val="true"/>
        </w:rPr>
        <w:t>مسلك تتميم الكشف</w:t>
      </w:r>
      <w:bookmarkEnd w:id="405"/>
    </w:p>
    <w:p>
      <w:pPr>
        <w:pStyle w:val="BookText"/>
        <w:rPr/>
      </w:pPr>
      <w:r>
        <w:rPr>
          <w:rFonts w:ascii="Amiri" w:hAnsi="Amiri" w:eastAsia="Amiri" w:cs="Amiri"/>
          <w:color w:val="111111"/>
          <w:sz w:val="28"/>
          <w:sz w:val="28"/>
          <w:szCs w:val="28"/>
          <w:rtl w:val="true"/>
          <w:lang w:bidi="ar-SA"/>
        </w:rPr>
        <w:t xml:space="preserve">تبنّى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المجعول في باب الأمارات هو تتميم الكشف وجعل العلمية التعبدية، فالخبر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ظنّ وليس علماً وقطعاً، وهو طريق ناقص لا تامّ، فإذا اعتبره الشارع فذلك يعني جعله فرداً من العلم وطريقاً تامّاً بعد أنْ كان ظناً وطريقاً ناقصاً، فدور الجعل هو اعتبار الأمارة الظنية علماً تعبداً وتتميم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اعتبار الأمارة توسّع خاصيّة الكشف التامّ للأعمّ من القطع والأمارة وبالتالي قيام الأمارة يوجب العلم بالواقع تعبداً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جهات ثلاث تمثّل خواصّ العلم الوجداني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الجهات الثلاث كلها مجتمعة في العلم وتكون من لوازم ذات العلم، حيث إنّ حصول الصورة عبارة عن حقيقة العلم ومحرزيّته وجدانيّ والبناء العمليّ عليه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المجعول في باب الطرق والأمارات هي الجهة الثانية من جهات العلم، وفي باب </w:t>
      </w:r>
    </w:p>
    <w:p>
      <w:pPr>
        <w:pStyle w:val="BookText"/>
        <w:rPr/>
      </w:pPr>
      <w:r>
        <w:rPr>
          <w:rFonts w:ascii="Amiri" w:hAnsi="Amiri" w:eastAsia="Amiri" w:cs="Amiri"/>
          <w:color w:val="111111"/>
          <w:sz w:val="28"/>
          <w:sz w:val="28"/>
          <w:szCs w:val="28"/>
          <w:rtl w:val="true"/>
          <w:lang w:bidi="ar-SA"/>
        </w:rPr>
        <w:t>الأصول المحرزة هي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المجعول في باب الأمارات نفس الطريقيّة والمحرزيّة والكاشفيّة، بناءً على ما هو الحق عندنا من تعلّق الجعل بنفس الطريقيّة، لا بمنشأ انتزاعها،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إن شاء الله تفصيله 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تصوير ما يكون منشأ لانتزاع الطريقية في غاية الإشكال، بل كاد أنْ يكون من 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المجعول في باب الأمارات هو المؤدّى بحيث يتعلق حكم بالمؤدّى غير ما للمؤدّى من الحكم الواقعي، فإنّ ذلك غير معقول كما سيأتي، بل المجعول هو الطريقية والوسطية في الإثبات والكاشفية عن الواقع، أيْ تتميم الكاشفية بعد ما كان في الطرق والأمارات جهة كشف في حدّ أنفسها، غايته أنّ كشفها ناقص وليس ككاشفية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اعتبرنا في كون الشيء أمارة من أن يكون له في حدّ ذاته جهة كشف، والشارع في مقام الشارعيّة تمّم كشفه وجعله محرزاً للواقع ووسطاً لإثباته، فكأنّ الشارع في عالم التشريع جعل الظنّ علماً من حيث الكاشفية والمحرزية بلا تصرف في الواقع ولا في المؤدّى، بل المؤدّى بعدُ باقٍ على ما هو عليه من الحكم الواقعي صادفت الأمارة للواقع أو خالفت، لأنّه يكون من مصادفة الطريق أو مخالفة الطريق لذي الطريق من دون توسعة في الواقع وتنزيل شيء آخر منزلة الواقع، فإنّ كل ذلك لم يكن، بل المجعول هو نفس الطريقية والكاشفية والمحرزية التي كان القطع واجداً لها بذاته والظن يكون واجداً لها بالتعبد والجعل الشرعي، فهذا هو المجعول في باب الطرق والأمارات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وفرّع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مسلكه أموراً كثيرةً كقيام الأمارة مقام كلا قسمي القطع وتقدّم الأمارات على الأصول وغير ذلك كما سيتضح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التحقيق أنّ المجعول في باب الأمارات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بعض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هو المرتبة الثانية من العلم الطريقي وهي المحرزية والوسطية في الإثبات دون الأحكام التكليفية البعثية أو الزجرية على ما سيجيء في بحث الاستصحاب من كون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الجزئية والشرطية والسببية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تنالها بأنفسها يد الجعل تشريعاً وليست هي منتزعة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الوضعي بنفسه قابلاً للجعل كالحكم التكليفي ولم يكن هناك مقتض لتخصيص المجعول الشرعي بخصوص الحكم التكليفي فلا مانع من كون المجعول في باب الطرق والأمارات نفس صفة المحرزية والوسطية في الإثبات؛ إذ هي نظير الملكية والزوجية والرقية وغيرها في كونها قابلة للاعتبار ممّن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المجعول في باب الطرق محض صفة المحرزية ليس إلّا أنّه ليس في الشريعة طريق مجعول ابتدائي أبداً، وإنّما الطرق الشرعية هي التي يعتمد عليها العقلاء في أمور معاشهم ومعادهم لما يرونها طرقاً متقنة نظير العلم الوجداني ولا يعتنون باحتمال مخالفة الطريق للواقع بل يفرضون هذا الاحتمال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الطرق المجعولة طرقاً عقلائية ولم يكن للشارع بالإضافة إليها تصرف إلّا إمضاؤها فلا بدّ وأنْ يكون المجعول محض صفة الطريقية والمحرزية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جعل الأحكام التكليفية في موارد تلك الطرق </w:t>
      </w:r>
    </w:p>
    <w:p>
      <w:pPr>
        <w:pStyle w:val="BookText"/>
        <w:rPr/>
      </w:pPr>
      <w:r>
        <w:rPr>
          <w:rFonts w:ascii="Amiri" w:hAnsi="Amiri" w:eastAsia="Amiri" w:cs="Amiri"/>
          <w:color w:val="111111"/>
          <w:sz w:val="28"/>
          <w:sz w:val="28"/>
          <w:szCs w:val="28"/>
          <w:rtl w:val="true"/>
          <w:lang w:bidi="ar-SA"/>
        </w:rPr>
        <w:t>غير محتمل من العقلاء بالكلية، بل شأنهم أنّما هو إلغاء احتمال الخلاف الموجود في موارد تلك الطرق وجعله كالعدم والمعاملة معها معاملة الطرق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أنّ لاحتمال كون الحجية منتزعة من الحكم التكليفي مجالاً واسعاً على تقدير كون الطرق مجعولات شرعية ابتدائية لكنّه ليس له مجال على تقدير كونها مجعولات إمضائية، كما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الإشكال إنّما يتوجّه على من ذهب إلى عدم استقلال الحجّية بالمجعولية، وإنّما هي تنتزع من الحكم التكليفي، وبعد البناء على كونها بنفسها قابلة للجعل من دون أن يكون في موردها حكم تكليفي غير الأحكام الواقعية يندفع الإشكال ويكون انتفاء التضاد بين الحكم الواقعي والظاهري من باب السالبة بانتفاء الموضوع</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وبملاحظة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الشارع المقدّس جعل الطريقية والحجية، وليست الحجية منتزعة من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جعل الحجّية للأمارة هو تتميم كاشفية الأمارة واعتبارها علماً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الأمارة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التنزيل يحاول توسيع الآثار الثابتة للمنزّل عليه للمنزّل فالشارع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إثبات أحكام الصلاة للطواف، وللشارع ذلك باعتبار أنّ جعل الأحكام الشرعية بيده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ومحرزيتها للواقع كإحراز القطع والعلم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محرزية القطع للواقع ذاتية لا</w:t>
      </w:r>
    </w:p>
    <w:p>
      <w:pPr>
        <w:pStyle w:val="BookText"/>
        <w:rPr/>
      </w:pPr>
      <w:r>
        <w:rPr>
          <w:rFonts w:ascii="Amiri" w:hAnsi="Amiri" w:eastAsia="Amiri" w:cs="Amiri"/>
          <w:color w:val="111111"/>
          <w:sz w:val="28"/>
          <w:sz w:val="28"/>
          <w:szCs w:val="28"/>
          <w:rtl w:val="true"/>
          <w:lang w:bidi="ar-SA"/>
        </w:rPr>
        <w:t xml:space="preserve">تحتاج إلى جعل واعتبار بخلافه في الأمارة فهي بواسطة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لها نفس الدور الثابت للقطع، وهو الوسطية في الإثبات والكاشفية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لا تقتضي تبدّل الواقع، بل الواقع باقٍ على ما هو عليه، كما أنّه لا يُتصرّف في الواقع بجعل مؤدّى الأمارة وما تكشف عنه واقعاً تنزيلاً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وقد أورد على هذا المبنى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التصويب، والمراد من التصويب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التصويب المعتزلي والذي يعني تبدّل الواقع عمّا هو عليه وانقلابه، إلى ما يتناسب مع مؤدى الأمارة والأصل، أو بمعنى انخلاق واقع جديد بسبب قيام الأمارة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صاحب هذا المبنى يلتزم بانحفاظ الواقع فالظاهر أنّ المعنى الثاني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شيء من أدلة الحجية للأمارات تصلح لإثبات تنزيل مؤديات الأمارات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أحد المباني والمسالك فيما هو المجعول في الأمارات هو مبنى تنزيل الأمارة منزلة القطع من حيث العمل بمؤداها، فالتنزيل هنا بلحاظ الأثر التكويني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المنجزية والمعذرية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الحجية للأمارة عبارة عن التصرّف في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بتوسيع دائرته واعتبار الأمارة فرداً منه ادعاءً على طريقة المجاز السكاكي، فهو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الفقّاع خمر استصغره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الفقّاع مباين لواقع الخمر، لكنّ تنزيل الشارع له منزلة الخمر لغرض ترتيب الآثار الثابتة للخمر على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المبنى أنّ المنجزية والمعذرية من الآثار العقلية للقطع وعندئذ لا يكون للشارع بما هو شارع التصرف في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بتوسيع دائرته لغرض تعدية آثاره العقلية للمنزّل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الشارع بما هو شارع ليس له شأنية التصرّف في الآثار التكوينية، إذ إنّها تابعة لأسبابها الواقعية فهي غير قابلة للتصرف، وهذا ما يعبّر عن أنّ المنجزية والمعذرية لو كانت ثابتة للأمارة فهي ثابتة بواسطة الاعتبار الشرعي ابتداءً نتيجة مبررات نشأ عنها الاعتبار، ومن هنا لو كان دليل الحجية ظاهراً في التنزيل فلا بدّ من التصرّف فيه بما يتناسب مع هذا المحذور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أنّه لا يُجعل</w:t>
      </w:r>
    </w:p>
    <w:p>
      <w:pPr>
        <w:pStyle w:val="BookText"/>
        <w:rPr/>
      </w:pPr>
      <w:r>
        <w:rPr>
          <w:rFonts w:ascii="Amiri" w:hAnsi="Amiri" w:eastAsia="Amiri" w:cs="Amiri"/>
          <w:color w:val="111111"/>
          <w:sz w:val="28"/>
          <w:sz w:val="28"/>
          <w:szCs w:val="28"/>
          <w:rtl w:val="true"/>
          <w:lang w:bidi="ar-SA"/>
        </w:rPr>
        <w:t xml:space="preserve">حكم مماثل للأمارة، وإنّما جعل الشارع الأمارة في عالم التشريع علماً ووسّع خاصية الكشف التامّ للأعمّ من القطع والأمارة، فالمجعول في أدلة الحجية ليس هو التنزيل ولا الحكم المماثل، بل جعل الظنّ علماً على حدّ المجاز الادعائي عند السكاكي، واستفاد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في التخلّص من محذور المنافاة مع القاعدة العقلية وغيره، كما سيأتي في ثمرات مسلك تتميم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الشارع المقدس جعل الأمارة فرداً تشريعياً من العلم بتتميم كشف الأمارة ولو إمضاءً بإلغاء احتمال الخلاف تشريعاً، كما أنّ احتمال الخلاف في العلم ملغىً تكويناً، وهذا بخلاف الأصل فإنّ المجعول فيه هو الجري العملي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المجعول في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نفس صفة المحرزية والوسطية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فرد تشريعي من العلم، وهذا بخلاف الأصل، فإنّ المجعول فيه هو الجري العملي مطلقاً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يكون دور الأمارة دور الوسطية في الإثبات كما هو حال القطع، ويترتب على ذلك ثبوت المنجزية والمعذرية، غايته أنّ موضوعية القطع للتنجيز والتعذير ثابتة </w:t>
      </w:r>
    </w:p>
    <w:p>
      <w:pPr>
        <w:pStyle w:val="BookText"/>
        <w:rPr/>
      </w:pPr>
      <w:r>
        <w:rPr>
          <w:rFonts w:ascii="Amiri" w:hAnsi="Amiri" w:eastAsia="Amiri" w:cs="Amiri"/>
          <w:color w:val="111111"/>
          <w:sz w:val="28"/>
          <w:sz w:val="28"/>
          <w:szCs w:val="28"/>
          <w:rtl w:val="true"/>
          <w:lang w:bidi="ar-SA"/>
        </w:rPr>
        <w:t>بالوجدان وموضوعية الأمارة لهما ثابتة بالتعبد والجعل الشرعي، فبالتعبّد أخرجت الأمارة حقيقة من الظنون بعد إعطائها خاصيّة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الوجه في اختيار كون المجعول في الأمارات هو الطريقية وتتميم الكشف هو أنّ الأمارات ليست مخترعةً من الشارع، وإنّما هي طرق معتمدة عند العقلاء في أمورهم وبيان مراداتهم، وبملاحظة العقلاء نجد أنّهم لا يعتنون باحتمال مخالفتها ويجعلونه كالعدم، ويبنون على الأمارات باعتبارها كالعلم الوجداني في نظرهم، فجاء الجعل التشريعي عليه حيث وقع الإمضاء على هذا البناء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تجتمع فيه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صفة قائمة بنفس العالم من حيث إنشاء النفس صورة على طبق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إضافة الصورة لذي الصورة وهي جهة كشفه عن المعلوم ومحرزيته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البناء والجري العملي على وفق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والمجعول في باب الأمارات الجهة الثانية، وفي الأصول المحرزة الجهة الثالثة، ففي مثل الأمارات والطرق الناظرة إلى الواقع يكون المجعول الشرعي الطريقية إلى الواقع كما أنّ القطع طريق إليه، وفي مثل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 الشك في موضوعها، وليس لها نظر إلى الواقع ولكن حكم الشارع مع فرض الشك بالبناء على الواقع وبعدم الاعتناء بوجوده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المجعول الشرعي الجري العملي، وفي كل منهما يكون لأدلّة اعتبارهما حكومة ظاهرية على الأدلّة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الأصول العملية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تنزيلي، ومحرز، وصرف غير التنزيلي وغير المحرز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كأصالة الطهارة وأصالة الحل، فيُراد بهما تنزيل المشكوك منزلة الطاهر والحلال، فالشارع المقدّس لا يلاحظ الاحتمال بل مباشرة يعطينا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كالاستصحاب، فالشارع هنا يلاحظ الاحتمال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كالبراءة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فيهما صفة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الأصل العملي المحرز وبين جعل العلمية للأمارة أنّ الملاحظ في الأول هو فقط خصوصية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فالملاحظ هو خصوصية الكاشفية التامة،</w:t>
      </w:r>
    </w:p>
    <w:p>
      <w:pPr>
        <w:pStyle w:val="BookText"/>
        <w:rPr/>
      </w:pPr>
      <w:r>
        <w:rPr>
          <w:rFonts w:ascii="Amiri" w:hAnsi="Amiri" w:eastAsia="Amiri" w:cs="Amiri"/>
          <w:color w:val="111111"/>
          <w:sz w:val="28"/>
          <w:sz w:val="28"/>
          <w:szCs w:val="28"/>
          <w:rtl w:val="true"/>
          <w:lang w:bidi="ar-SA"/>
        </w:rPr>
        <w:t>والجري العملي إنّما جاء من الانكشاف</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الفروق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الفروق الأخرى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ذاتها ومع قطع النظر عن حجيتها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فيها حيثية الكشف عن الواقع، وهذا بخلاف الأصول فإنّها لم تلحظ فيها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مثبتات الأمارة حجّة دون مثبتات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حاكمة على الأصول، بمعنى أنّها رافعة لموضوع الأصول وهو الشك، فموضوع الأصول يرتفع بوجود الدليل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الأمارات ليس هو مجرد تطبيق العمل على المؤدّى،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تطبيق العمل على المؤدّى من لوازم المجعول فيها، وإنّما المجعول أولاً وبالذات نفس الإحراز والوسطية في الإثبات، وبتوسطه يلزم تطبيق العمل على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المجعول في باب الأصول العملية مطلقاً هو مجرد تطبيق العمل على مؤدّى الأصل، إذ ليس في الأصول العملية ما يقتضي الكشف والإحراز، وليست هي طريقاً إلى المؤدّى، بل إنّما تكون وظائف تعبدية للمتحير والشاك لا تقتضي أزيد من تطبيق العمل على المؤدّى</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والوسطية في الإثبات بنفسها ممّا تنالها يد الجعل بتتميم كشفه، فإنّه لا بُدّ في الأمارة من أنْ يكون لها جهة كشف عن الواقع كشفاً ناقصاً، فللشارع تتميم كشفها ولو إمضاء بإلغاء احتمال الخلاف في عالم التشريع، كما ألقى احتمال الخلاف في العلم في عالم التكوين، فكأنّ الشارع أوجد في عالم التشريع فرداً من العلم، وجعل الطريق محرزاً للواقع كالعلم بتتميم نقص كشفه وإحرازه، ولذا قامت الطرق والأمارات مقام العلم المأخوذ في الموضوع على وجه الطريقية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المجعول في باب الطرق والأمارات هو الكاشفية والطريقية بتتميم الكشف، بمعنى أنّ الشارع يعتبر الكاشف الناقص كاشفاً تامّاً، والأمارة غير العلمية علماً، إذ عليه يكون التعبد ناظراً إلى نفس الطريقية والكاشفية، بلا حاجة إلى كون المؤدى حكماً شرعياً أو ذا أثر شرعي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حاولوا تخريج قيام الأمارة مقام العلم الطريقي على أحد أساسين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 الأمارات هو الطريقية </w:t>
      </w:r>
    </w:p>
    <w:p>
      <w:pPr>
        <w:pStyle w:val="BookText"/>
        <w:rPr/>
      </w:pPr>
      <w:r>
        <w:rPr>
          <w:rFonts w:ascii="Amiri" w:hAnsi="Amiri" w:eastAsia="Amiri" w:cs="Amiri"/>
          <w:color w:val="111111"/>
          <w:sz w:val="28"/>
          <w:sz w:val="28"/>
          <w:szCs w:val="28"/>
          <w:rtl w:val="true"/>
          <w:lang w:bidi="ar-SA"/>
        </w:rPr>
        <w:t>واعتبار الأمارة علماً من دون تنزيل وإسراء فيرتفع اللابيان وينقلب بياناً وعلماً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ذهبت إليه مدرسة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ادعت أنّ التنزيل بحسب الحقيقة لمؤدّى الأمارة منزلة المقطوع؛ لأنّ المؤدّى إمّا حكم شرعي أو موضوع لحكم شرعي فيكون قابلاً للإسراء الشرعي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على مسلك تتميم الكشف يكون المراد من حجّية الأمارة هو اعتبارها فرداً من العلم، وبعد صيرورتها علماً تترتب عليها آثار العلم قهراً من التنجيز والتعذير، لا تنزيلها منزلة العلم، والفارق بين عمليتي الاعتبار والتنزيل أنّه في الأول تصير الأمارة فرداً من العلم من قبيل المجاز السكاكي وتترتب عليها آثاره قهراً، وهذا بخلافه في الثاني فإنّه تبقى الأمارة ظناً، غاية الأمر ترتب عليها آثار العلم فالمنظور ابتداءً في باب التنزيل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يصح الإيراد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الأمارة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تنزيلها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أخرى عن جعل أحكام العلم من التنجيز والتعذير لها، والمفروض استحالة ذلك، لأنّه يجاب بأنّه ليس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الأمارة منزلة العلم في الآثار، بل مقصوده اعتبار الأمارة علماً ثم يرتّب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الاعتبار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 واستفاد المحقّق النائيني على مسلكه في موارد كثيرة وسيأتي التعرض لذلك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يلاحظ على مسلك تتميم الكشف وجعل الأمارة تعبداً من حيث كونه طريقاً وكاشفاً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ثبوتاً لاعتبار الطرق علماً، وإنّما التعبد والاعتبار يتناول الحقائق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ما ليس بعلم علماً يستحيل صدوره عن الحكيم حيث لا يترتّب عليه أثر؛ لأنّ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ظواهر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كشفه غير تام وطريقيته ناقصة، فطريقية الأمارات ذاتية غايته ظناً نوعاً، أو قل تفيد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طريقية القطع ذاتية وتكوينية غير قابلة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بالأمر والجعل التشريعي جعل العلمية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جعل الطريقية والكاشفية الاعتبارية التشريعية لا جعل الطريقية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أثر له فهو لا يزيد في طريقية أخبار الثقة، فوجود الطريقية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جعل الطريقية لأخبار الثقة إلى تنزيل أخبار الثقة 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مدرسة المحقق النائيني تنفي تنزيل الأمارات منزلة العلم، بل تقول بالطريقية تعبداً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والقول بإمكان الجعل المذكور، فإنّه إثباتاً لا مجال لاستفادته من الأدلّة؛ لعدم تضمّن أدّلة الاعتبار توصيف الطرق بأنّها علم وبالتالي جعل العلمية يحتاج إلى مثبت، فالسيرة القطعية الجارية عند العقلاء على العمل بأخبار الثقة</w:t>
      </w:r>
      <w:r>
        <w:rPr>
          <w:rStyle w:val="FootnoteAnchor"/>
          <w:rtl w:val="true"/>
        </w:rPr>
        <w:footnoteReference w:id="379"/>
      </w:r>
      <w:r>
        <w:rPr>
          <w:rFonts w:ascii="Amiri" w:hAnsi="Amiri" w:eastAsia="Amiri" w:cs="Amiri"/>
          <w:color w:val="111111"/>
          <w:sz w:val="28"/>
          <w:sz w:val="28"/>
          <w:szCs w:val="28"/>
          <w:rtl w:val="true"/>
          <w:lang w:bidi="ar-SA"/>
        </w:rPr>
        <w:t>في أغراضهم الاجتماعية والشخصية والدينية وغيرها لا تدلّ على جعل العلمية، وما استدل به من الآيات والروايات على حجية أخبار الآحاد تفيد التأكيد لا التأسيس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 الأدلّة على ذلك بقرينة ورودها مورد الإمضاء لبناء العقلاء، وعملهم بالطرق مبنيٌ على معاملتها معاملة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بنائهم هو العمل وترتيب مضمونها وعدم الاعتناء عملاً باحتمال خطئها والخلاف، وأمّا البناء تشريعاً على كونها علماً والتعبد بذلك فهو بحاجة إلى دليل، ولا يستفاد من سيرة العقلاء وارتكازاتهم، فالدليل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خبر الثقة هو السيرة، وهي لا لسان لها يدلّ على جعل ما ليس بعلم علماً، فالسيرة كما لا تدلّ على جعل الأحكام الظاهرية المماثلة كذلك لا تدلّ على جعل العلمية، وغاية ما هو ثابت في نفوس العقلاء هو العمل على طبق الأمارة ومن يخالف يستحق العقوبة، ولا تدلّ سيرتهم على أنّهم يجعلون خبر الثقة علماً ثم يرتبون عليه المنجزية والمعذرية كالقطع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العقوبة هو أثر ومعلول عقلي للعلم والقطع ولا يقبل الجعل، فإذاً العقلاء مسبقاً يعتبرون الأمارة علماً، فيترتّب قهراً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أثر عقلي للعلم وليس أثراً عقلياً للأمارة، ثم إنَّ الأثر العقلي يمكن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والعقلاء ببابك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باتباع أمر ولدي، ومن خالف سأعاقبه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المراد أنَّ دليل حجية الأمارة يدلّ مباشرة على أنَّ خبر الثقة معناه جعله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أنَّ دليل حجية الأمارة يجعل الأمارة موجبة لاستحقاق العقوبة، ونستكشف أنَّ المولى قد جعلها علماً من باب الدلالة الالتزامية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لجعل الأمارة علماً وجدانياً؛ لأنّ كلّ حاكم يتصرّف في موضوع الأحكام الصادرة عنه دون الصادرة عن غيره، والعقل يحكم باستحقاق العقوبة بخصوص العلم </w:t>
      </w:r>
    </w:p>
    <w:p>
      <w:pPr>
        <w:pStyle w:val="BookText"/>
        <w:rPr/>
      </w:pPr>
      <w:r>
        <w:rPr>
          <w:rFonts w:ascii="Amiri" w:hAnsi="Amiri" w:eastAsia="Amiri" w:cs="Amiri"/>
          <w:color w:val="111111"/>
          <w:sz w:val="28"/>
          <w:sz w:val="28"/>
          <w:szCs w:val="28"/>
          <w:rtl w:val="true"/>
          <w:lang w:bidi="ar-SA"/>
        </w:rPr>
        <w:t>الوجداني، فلا معنى لأنْ يأتي غيره ويوسّع ذلك إلى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يعقل هو أنْ يكون حكم العقل من البداية معلقاً على ما إذا لم يجعل الشارع الأمارة علماً، ولكن هذا لا يتوقف على خصوص جعل العلمية للأمارة فالعقل يمكن أنْ يقول إذا أمر الشارع باتباع الأمارة فأنا أرفع اليد عن حكمي بكون المنجّز هو خصوص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يبعد أنَّ الأقرب هو كون مفاد أدلّة اعتبار الأمارة جعل واعتبار نفس الحجية لها، كما تقدّم بيان ذلك في التعليق على الوجه الأول، وكذلك في الوجه الثالث،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ظاهر عبارة الآخوند في باب الظن وتقدّم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ظهور للأدلة في كون لسانها لسان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تنزيل المؤدّى منزلة الواقع أم التنزيل منزلة العلم وإلغاء احتمال الخلاف معها ادعاءً لأجل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يتضمّن لسانها جعل العلمية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إشكال في ثبوته وظهوره من أدلّة الاعتبار هو التعبد بلحاظ العمل، ولزوم البناء على كون مضمونها هو الواقع والتعبّد بذلك، والإحراز له إثباتاً، وبيان جعل الحجية لهذه الطرق، وأنّها حجة في مؤدّياتها كالقطع في ظرف الجهل بالواقع، ومعنى جعل الحجية أنّها معتبرة عند معتبرها أي يستند إليها في الاحتجاج فالخبر إذا كان حجّة يحتجّ به، وبالتالي لازم ذلك عقلاً المنجزية والمعذرية، وهذا المعنى من الحجية عقلائي وهو مرتكز عرفاً دون جعل الحكم المماثل أو تتميم الكشف، فالمرتكز في أذهان العرف والعقلاء والثابت في أعماق نفوسهم هو العمل بالطرق والاعتناء بمضمونها عملاً وعدم الاعتناء باحتمال خطئها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يعتنون بخبر الثقة عملاً ويرونه طريقاً متقناً ولا يعتنون باحتمال الخلاف، ومن لم يعمل بخبر الثقة يلام عندهم، فخبر الثقة حجّة يحتجّ به، ويكفي في ترتيب أثر الواقع اتصاف الأمارة بالحجية من خلال إمضاء الشارع لبناء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العقلاء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بجعل العلمية أو بجعل حكم تكليفي مماثل فهذا بحاجة إلى مثبت واضح وإلى كلفة ومؤونة زائدة، ولا دليل من بناء العقلاء على ذلك، والعقل يدرك حجية الأمارة شرعاً بعد إمضاء الشارع لهذا البناء، فالمنجّز عقلاً القطع وكذلك ما جعله الشارع من خلال الحجية الإمضائية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06" w:name="pg9131_75966"/>
    </w:p>
    <w:p>
      <w:pPr>
        <w:pStyle w:val="Heading3"/>
        <w:numPr>
          <w:ilvl w:val="2"/>
          <w:numId w:val="1"/>
        </w:numPr>
        <w:rPr/>
      </w:pPr>
      <w:bookmarkStart w:id="407" w:name="__RefHeading___Toc2991922_2870459653"/>
      <w:bookmarkStart w:id="408" w:name="_Toc157"/>
      <w:bookmarkEnd w:id="406"/>
      <w:bookmarkEnd w:id="407"/>
      <w:r>
        <w:rPr>
          <w:rtl w:val="true"/>
        </w:rPr>
        <w:t>المقام الثاني</w:t>
      </w:r>
      <w:bookmarkEnd w:id="408"/>
    </w:p>
    <w:p>
      <w:pPr>
        <w:pStyle w:val="Heading4"/>
        <w:numPr>
          <w:ilvl w:val="3"/>
          <w:numId w:val="1"/>
        </w:numPr>
        <w:rPr/>
      </w:pPr>
      <w:bookmarkStart w:id="409" w:name="__RefHeading___Toc2991924_2870459653"/>
      <w:bookmarkStart w:id="410" w:name="_Toc158"/>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مسلك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شيّد أركانه المحقّق النائيني 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ترتّبت عليه كثير من الثمرات، الأعم من اختصاص ترتبها على هذا المسلك ومن كونها توظيفات وتفريعات عنه ونتائج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جملة منها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991926_2870459653"/>
      <w:bookmarkStart w:id="412" w:name="_Toc159"/>
      <w:bookmarkEnd w:id="411"/>
      <w:r>
        <w:rPr/>
        <w:t>1</w:t>
      </w:r>
      <w:r>
        <w:rPr>
          <w:rtl w:val="true"/>
        </w:rPr>
        <w:t xml:space="preserve">- </w:t>
      </w:r>
      <w:r>
        <w:rPr>
          <w:rtl w:val="true"/>
        </w:rPr>
        <w:t>الجواب عن شبهة ابن قِبة</w:t>
      </w:r>
      <w:r>
        <w:rPr>
          <w:rtl w:val="true"/>
        </w:rPr>
        <w:t>..</w:t>
      </w:r>
      <w:bookmarkEnd w:id="412"/>
    </w:p>
    <w:p>
      <w:pPr>
        <w:pStyle w:val="BookText"/>
        <w:rPr/>
      </w:pPr>
      <w:r>
        <w:rPr>
          <w:rFonts w:ascii="Amiri" w:hAnsi="Amiri" w:eastAsia="Amiri" w:cs="Amiri"/>
          <w:color w:val="111111"/>
          <w:sz w:val="28"/>
          <w:sz w:val="28"/>
          <w:szCs w:val="28"/>
          <w:rtl w:val="true"/>
          <w:lang w:bidi="ar-SA"/>
        </w:rPr>
        <w:t>يوجد في باب الظنّ عدّة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ثبوتي في أنَّ الظن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الرجحان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لا يجوز العمل به عقلاً، وإنّما تحتاج حجيته إلى عناية جعل شرعي، أو تطرأ حالة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كالانسداد لباب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عرف ممّا تقدّم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يوجد بحث ثبوتي آخر في إمكان وقوع التعبد من الشرع بالظن ولا يلزم من وقوع التعبد محال، فالظنّ ليس بممتنع أنْ يجعل الشارع الحجّية له عقلاً، بل هو ممكن</w:t>
      </w:r>
      <w:r>
        <w:rPr>
          <w:rStyle w:val="FootnoteAnchor"/>
          <w:rtl w:val="true"/>
        </w:rPr>
        <w:footnoteReference w:id="381"/>
      </w:r>
      <w:r>
        <w:rPr>
          <w:rFonts w:ascii="Amiri" w:hAnsi="Amiri" w:eastAsia="Amiri" w:cs="Amiri"/>
          <w:color w:val="111111"/>
          <w:sz w:val="28"/>
          <w:sz w:val="28"/>
          <w:szCs w:val="28"/>
          <w:rtl w:val="true"/>
          <w:lang w:bidi="ar-SA"/>
        </w:rPr>
        <w:t xml:space="preserve">، ولكن نُسب إلى ابن قِبة استلزام وقوع التعبد بالظنّ للمحال، فيكون الظنّ ممتنع الحجّية، وأنّ الشارع لا يمكنه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جعل الأمارة حجّة</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لازم جعل الحجية للأمارة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أحد أفرادها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الحرام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شبهة ابن قِبة حرّكت الفكر الأصولي في باب الأمارات والأحكام الظاهرية باتجاه التماس تخريجات وتفسيرات لحقيقة هذا الحكم وكيفية الجمع بينه وبين الحكم الواقعي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الأصوليون عدّة أجوبة عن شبهة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قرّروها بعدة محاذير، محصلها أنَّ الحكم الظاهري يتنافى مع الحكم الواقعي ولا يجتمع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وأطلقوا على هذا المبحث اسم الجمع بين الأحكام الظاهرية والواقعية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المحاذير المتوهمة من التعبد بالأمارات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يرجع إلى محذور 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محذور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بالأول تفويت المصلحة والإلقاء في المفسدة، وبالثاني اجتماع الضدين أو المتناقضين</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المحذور الثاني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أُجيب به عنه وناقشه، ثمّ ذكر جوابه المختار بناءً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المجعول فيها حكماً تكليفياً حتى يتوهم التضاد بينه وبين الحكم الواقعي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باب الطرق والأمارات حكم حتى ينافي الواقعي ليقع في إشكال التضاد أو التصويب، بل ليس حال الأمارة المخالفة إلّا كحال العلم المخالف، فلا يكون في البين إلّا الحكم الواقعي فقط مطلقاً أصاب الطريق الواقع أو أخطأ، فإنّه عند الإصابة يكون المؤدّى هو الحكم الواقعي كالعلم الموافق ويوجب تنجيز الواقع وصحة </w:t>
      </w:r>
    </w:p>
    <w:p>
      <w:pPr>
        <w:pStyle w:val="BookText"/>
        <w:rPr/>
      </w:pPr>
      <w:r>
        <w:rPr>
          <w:rFonts w:ascii="Amiri" w:hAnsi="Amiri" w:eastAsia="Amiri" w:cs="Amiri"/>
          <w:color w:val="111111"/>
          <w:sz w:val="28"/>
          <w:sz w:val="28"/>
          <w:szCs w:val="28"/>
          <w:rtl w:val="true"/>
          <w:lang w:bidi="ar-SA"/>
        </w:rPr>
        <w:t>المؤاخذة عليه كالعلم المخالف من دون أنْ يكون هناك حكم آخر مجعول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التحقيق أنَّ المجعول في باب الأمارات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بعض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المرتبة الثانية من العلم الطريقي وهي المحرزية والكاشفية في الإثبات دون الأحكام التكليفية أو الزجرية على ما سيجيء في بحث الاستصحاب من كون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الجزئية والشرطية والسببية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تنالها بأنفسها يد الجعل تشريعاً وليست هي منتزعة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الوضعي بنفسه قابلاً للجعل كالحكم التكليفي ولم يكن هناك مقتضٍ لتخصيص المجعول بخصوص الحكم التكليفي فلا مانع من كون المجعول في باب الطرق والأمارات نفس صفة المحرزية والوسطية في الإثبات، إذ هي نظير الملكية والزوجية والرقية وغيرها في كونها قابلة للاعتبار ممّن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المجعول في باب الطرق محض صفة المحرزية ليس إلّا أنّه ليس في الشريعة طريق مجعول ابتدائي أبداً، وإنّما الطرق الشرعية هي التي يعتمد عليها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الطرق المجعولة طرقاً عقلائية ولم يكن للشارع بالإضافة إليها تصرف إلّا إمضاؤها فلا بدّ وأنْ يكون المجعول محض صفة الطريقية والمحرزية، ضرورة أنَّ جعل الأحكام التكليفية في موارد تلك الطرق غير محتمل من العقلاء بالكلية، بل شأنهم إنّما هو بإلغاء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الإشكال إنّما يتوجه على من ذهب إلى عدم استقلال الحجية بالمجعولية، وإنّما هي تنتزع من الحكم التكليفي، وبعد البناء على كونها بنفسها قابلة للجعل من دون أن يكون في موردها حكم تكليفي غير الأحكام الواقعية يندفع </w:t>
      </w:r>
      <w:bookmarkStart w:id="413" w:name="pg9131_75969"/>
    </w:p>
    <w:p>
      <w:pPr>
        <w:pStyle w:val="BookText"/>
        <w:rPr/>
      </w:pPr>
      <w:bookmarkEnd w:id="413"/>
      <w:r>
        <w:rPr>
          <w:rFonts w:ascii="Amiri" w:hAnsi="Amiri" w:eastAsia="Amiri" w:cs="Amiri"/>
          <w:color w:val="111111"/>
          <w:sz w:val="28"/>
          <w:sz w:val="28"/>
          <w:szCs w:val="28"/>
          <w:rtl w:val="true"/>
          <w:lang w:bidi="ar-SA"/>
        </w:rPr>
        <w:t>الإشكال، ويكون انتفاء التضاد بين الحكم الواقعي والظاهري من باب السالبة بانتفاء الموضوع</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لا تجعل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واحد وهو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يلزم المحذور، وإنّما هي مجرّد طريق قد تخطئ وقد تصيب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991928_2870459653"/>
      <w:bookmarkStart w:id="415" w:name="_Toc160"/>
      <w:bookmarkEnd w:id="414"/>
      <w:r>
        <w:rPr/>
        <w:t>2</w:t>
      </w:r>
      <w:r>
        <w:rPr>
          <w:rtl w:val="true"/>
        </w:rPr>
        <w:t xml:space="preserve">- </w:t>
      </w:r>
      <w:r>
        <w:rPr>
          <w:rtl w:val="true"/>
        </w:rPr>
        <w:t>التخلّص من محذور تخصيص القاعدة العقلية</w:t>
      </w:r>
      <w:r>
        <w:rPr>
          <w:rtl w:val="true"/>
        </w:rPr>
        <w:t>..</w:t>
      </w:r>
      <w:bookmarkEnd w:id="4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بين الأصوليين في قيام الأمارة مقام القطع الطريقي في التنجيز والتعذير لكن يوجد إشكال فني نظري، وهو أنَّ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والقطع فقط؛ لأنّ مقتضى القاعدة العقلية المشهورة هو قبح العقاب بلا بيان، فالعقل يقبّح العقاب بلا بيان أي بلا علم، وهذا معناه أنّ الذي ينجِّز فقط هو العلم بمعنى القطع وغير القطع لا يصح معه العقاب، فكيف يجعل المولى الأمارة حجة منجزة ومعذرة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مخالف للحكم العقلي والقاعدة العقلية المتقدّمة، وهو يستلزم تخصيص حكم العقل، والأحكام العقلية لا تقبل التخصيص، فلا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العقاب بلا بيان قبيح إلّا مع قيام الأمارة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العقاب بلا بيان في هذا المورد ليس بقبيح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ليس منجّزاً لعدم كون الحجية من لوازمه ومقتضياته في نفسه؛ لأنّه ليس فيه انكشاف تام للواقع كما في القطع، لوجود احتمال الخلاف فلا يجوز العمل به عقلاً،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منجّز لزم تخصيص القاعدة العقلية،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كون مفاد الحكم الظاهري هو جعل المنجزية من دون سبق جعل العلمية ليس بصحيح، بل يستحيل؛ لأنّه ليس بياناً فيلزم محذور تخصيص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والتخلّص من هذا المحذور والإشكال على مسلك جعل العلمية يكون بأنْ يعتبر المولى الأمارة علماً كالعلم الوجداني، ومعه يتمّ البيان، وسوف تثبت المنجزية للأمارة قهراً بحكم العقل بلا حاجة إلى جعل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المجعول فيها نفس المحرزية، والتنجيز والعذر من اللوازم العقلية المترتبة على ما هو المجعول، لوضوح أنَّ التنجيز لا يكون إلّا بالوصول إلى الواقع وإحرازه إمّا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والطرق والأمارات والأصول المتكفلة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جريان 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التنجيز والعذر غير قابل للجعل كما ربّما يوهمه بعض الكلمات، وإنّما الذي يكون قابلاً للجعل هو المحرزية والوسطية في الإثبات ليكون الواقع واصلاً إلى المكلّف ويلزمه عقلاً تنجيز الواقع</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الصحيح في باب الأمارات هو القول بأنّ المجعول هو الطريقية والكاشفية، لا القول بأنّ المجعول هو المنجزية والمعذرية، لكونه مستلزماً </w:t>
      </w:r>
      <w:bookmarkStart w:id="416" w:name="pg9131_75971"/>
    </w:p>
    <w:p>
      <w:pPr>
        <w:pStyle w:val="BookText"/>
        <w:rPr/>
      </w:pPr>
      <w:bookmarkEnd w:id="416"/>
      <w:r>
        <w:rPr>
          <w:rFonts w:ascii="Amiri" w:hAnsi="Amiri" w:eastAsia="Amiri" w:cs="Amiri"/>
          <w:color w:val="111111"/>
          <w:sz w:val="28"/>
          <w:sz w:val="28"/>
          <w:szCs w:val="28"/>
          <w:rtl w:val="true"/>
          <w:lang w:bidi="ar-SA"/>
        </w:rPr>
        <w:t>للتخصيص في حكم العقل، وحكم العقل بعد ثبوت ملاكه غير قابل للتخصيص</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التخلص من الإشكال إنّما يكون بجعل البيان والعلم تعبداً، فيكون دليل اعتبار الأمارة موسّعاً لقاعدة قبح العقاب بلا بيان بتوسعة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البيان والعلم والقطع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الأمارة كخبر الثقة بجعلها طريقاً وبياناً، فدليل اعتبار الأمارة يوسّع البيان الوارد من الشارع لما يشمل البيان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 والظاهري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فبقيام الأمارة يتحقق فرد من البيان الشرعي، وحينئذ يرتفع موضوع قاعدة قبح العقاب بلا بيان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991930_2870459653"/>
      <w:bookmarkStart w:id="418" w:name="_Toc161"/>
      <w:bookmarkEnd w:id="417"/>
      <w:r>
        <w:rPr/>
        <w:t>3</w:t>
      </w:r>
      <w:r>
        <w:rPr>
          <w:rtl w:val="true"/>
        </w:rPr>
        <w:t xml:space="preserve">- </w:t>
      </w:r>
      <w:r>
        <w:rPr>
          <w:rtl w:val="true"/>
        </w:rPr>
        <w:t>قيام الأمارة مقام القطع الموضوعي الطريقي</w:t>
      </w:r>
      <w:r>
        <w:rPr>
          <w:rtl w:val="true"/>
        </w:rPr>
        <w:t>..</w:t>
      </w:r>
      <w:bookmarkEnd w:id="418"/>
    </w:p>
    <w:p>
      <w:pPr>
        <w:pStyle w:val="BookText"/>
        <w:rPr/>
      </w:pPr>
      <w:r>
        <w:rPr>
          <w:rFonts w:ascii="Amiri" w:hAnsi="Amiri" w:eastAsia="Amiri" w:cs="Amiri"/>
          <w:color w:val="111111"/>
          <w:sz w:val="28"/>
          <w:sz w:val="28"/>
          <w:szCs w:val="28"/>
          <w:rtl w:val="true"/>
          <w:lang w:bidi="ar-SA"/>
        </w:rPr>
        <w:t>إنَّ القطع والجزم الذي لا يحتمل الخلاف يجب السير على وفقه عملاً، وهذا هو معنى حجية القطع، وللقطع الحاصل من القاطع خواص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والمحركية والمنجزية لتكليف المولى على العبد عقلاً، وهذه الخاصية الثالثة هي ما يبحث عنه في علم الأصول فإذا قالوا القطع حجّة فالمراد منجزيته ومعذريته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على حجّية القطع بحكم العقل كما استدل بعضهم بحكم العقلاء، والمعروف امتناع الردع عن حجّية القطع ومنجزيته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أنَّ حجّية القطع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الممكن تنبيه المخطئ في قطعه إلى الخلل في مقدمات قطعه فيحصل تبدّل قطعه، والقطع على نحوين طريقي وموضوعي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طريق، ويُثبت المنجزية والمعذرية للحكم الثابت، ولا يكون مأخوذاً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هو القطع المأخوذ في موضوع الحكم واقعاً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الخمر واقعاً وإنْ لم يقطع المكلّف بكون السائل خمراً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المقطوع بخمريته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فالقطع هنا موضوعي لأنّه أُخذ كجزء من الموضوع، ومع عدم قطع المكلف بالخمرية لا تثبت الحرمة واقعاً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كان له دخل في ترتب الحكم واقعاً، فدور</w:t>
      </w:r>
    </w:p>
    <w:p>
      <w:pPr>
        <w:pStyle w:val="BookText"/>
        <w:rPr/>
      </w:pPr>
      <w:r>
        <w:rPr>
          <w:rFonts w:ascii="Amiri" w:hAnsi="Amiri" w:eastAsia="Amiri" w:cs="Amiri"/>
          <w:color w:val="111111"/>
          <w:sz w:val="28"/>
          <w:sz w:val="28"/>
          <w:szCs w:val="28"/>
          <w:rtl w:val="true"/>
          <w:lang w:bidi="ar-SA"/>
        </w:rPr>
        <w:t xml:space="preserve">القطع الموضوعي أنّه يثبت به الحكم، أو قل يتحقّق به موضوع الحكم،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المقطوع بها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الشهادة موضوعه القطع بالشيء، وإلّا لا تجوز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القطع الموضوعي إلى قسمين باعتبار أنَّ القطع قد يكون مأخوذاً في الموضوع بنحو الصفتية وبما هو صفة نفسانية، وقد يكون مأخوذاً في الموضوع بنحو الطريقية بما هو طريق ومنجِّز للواقع؛ لأنّ القطع من الصفات الحقيقية ذات الإضافة التي تحتاج في وجودها إلى المتعلق وهو المقطوع به، فللقطع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الصفات المتأصلة وله تحقق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متعلقاً بالغير وكاشفاً عنه، وحينئذ قد يكون القطع مأخوذاً في الموضوع بلحاظ الجهة الأولى، ويسمى بالقطع الموضوعي الصفتي، وقد يكون مأخوذاً في الموضوع بملاحظة الجهة الثانية، ويسمى بالقطع الموضوعي الطريقي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الكلام بين الأصوليين في أنّ الأمارة لو خُلينا نحن ودليل حجّيتها هل تفي بالقيام مقام القطع الموضوعي؟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قطعت بأنّه خمر فأرقه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أمارة على أنَّ هذا خمر، فهل يترتّب وجوب الإراقة؟ المعروف أنَّ الأمارات تقوم مقام القطع الموضوعي المأخوذ على نحو الطريقية دون المأخوذ على نحو الصفتية، </w:t>
      </w:r>
    </w:p>
    <w:p>
      <w:pPr>
        <w:pStyle w:val="BookText"/>
        <w:rPr/>
      </w:pPr>
      <w:r>
        <w:rPr>
          <w:rFonts w:ascii="Amiri" w:hAnsi="Amiri" w:eastAsia="Amiri" w:cs="Amiri"/>
          <w:color w:val="111111"/>
          <w:sz w:val="28"/>
          <w:sz w:val="28"/>
          <w:szCs w:val="28"/>
          <w:rtl w:val="true"/>
          <w:lang w:bidi="ar-SA"/>
        </w:rPr>
        <w:t xml:space="preserve">والشيخ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عدم قيام الأمارات مقام القطع الموضوعي المأخوذ على وجه الطريقية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بيان مرامه كما حرّره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التنزيل يستدعي لحاظ المنزّل والمنزّل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الأمارة والقطع في تنزيل الأمارة منزلة القطع الطريقي آلي؛ إذ الأثر مترتب على الواقع المنكشف بالقطع لا على نفس القطع كما هو المفروض، فيكون النظر في الحقيقة إلى الواقع ومؤدى الأمارة، ولحاظ الأمارة والقطع في تنزيل الأمارة منزلة القطع المأخوذ في الموضوع استقلالي؛ إذ الأثر مترتب على نفس القطع، فالجمع بين التنزيلين في دليل واحد يستلزم الجمع بين اللحاظ الآلي والاستقلالي المتعلقين بملحوظ واحد في آن واحد ولا يمكن الجمع بينهما، فلا يمكن أنْ يكون دليل واحد متكفلاً لبيان كلا التنزيلين، وحيث إنَّ أدلة حجّية الأمارات ظاهرة بحسب متفاهم العرف في التنزيل من حيث الطريقية فلا بُدّ من الأخذ به ما لم تقم قرينة على التنزيل من حيث الموضوعية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قيام الأمارة مقام القطع الطريقي مطلقاً </w:t>
      </w:r>
    </w:p>
    <w:p>
      <w:pPr>
        <w:pStyle w:val="BookText"/>
        <w:rPr/>
      </w:pPr>
      <w:r>
        <w:rPr>
          <w:rFonts w:ascii="Amiri" w:hAnsi="Amiri" w:eastAsia="Amiri" w:cs="Amiri"/>
          <w:color w:val="111111"/>
          <w:sz w:val="28"/>
          <w:sz w:val="28"/>
          <w:szCs w:val="28"/>
          <w:rtl w:val="true"/>
          <w:lang w:bidi="ar-SA"/>
        </w:rPr>
        <w:t xml:space="preserve">ولو كان مأخوذاً في الموضوع،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العلمية وتتميم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الأمارة مقام كلا قسمي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ما ذكر مانعاً عن قيامها من القطع المأخوذ موضوعاً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الجمع بين اللحاظ الآلي والاستقلالي في لحاظ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فإنّ الاستلزام المذكور مبني على جعل المؤدى الذي قد تبيّن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المختار من أنَّ المجعول في باب الطرق والأمارات هو نفس الكاشفية والمحرزية والوسطية في الإثبات فيكون الواقع لدى من قامت عنده الطرق محرزاً كما كان في صورة العلم، والمفروض أنّ الأثر مترتب على الواقع المحرز، فإنّ ذلك هو لازم أخذ العلم من حيث الكاشفية موضوعاً، وبنفس دليل حجية الأمارات والأصول يكون الواقع محرزاً فتقوم مقامه بلا التماس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مبنى الإشكال هو تخيّل أنَّ المحمول في باب الطرق والأمارات والأصول هو المؤدّى وتنزيله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قيام الظن مقام العلم المأخوذ موضوعاً يحتاج إلى 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المظنون منزلة المقطوع، وتنزيل الظن منزلة القطع، وأنت بعدما عرفت حقيقة المجعول في باب الأمارات والأصول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تنزيل أصلاً، بل الشارع إنّما أعطى صفة المحرزية للظن، فيرتفع الإشكال من أصله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رأي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مؤدى الأمارة منزلة الواقع مبني على القول بالسببية والموضوعية في باب الأمارات، وهذا المسلك منافٍ لما التزمه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الأمارات هو المنجزية والمعذرية على ما صرح به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فاسد في أصله ثبوتاً وعدم </w:t>
      </w:r>
    </w:p>
    <w:p>
      <w:pPr>
        <w:pStyle w:val="BookText"/>
        <w:rPr/>
      </w:pPr>
      <w:r>
        <w:rPr>
          <w:rFonts w:ascii="Amiri" w:hAnsi="Amiri" w:eastAsia="Amiri" w:cs="Amiri"/>
          <w:color w:val="111111"/>
          <w:sz w:val="28"/>
          <w:sz w:val="28"/>
          <w:szCs w:val="28"/>
          <w:rtl w:val="true"/>
          <w:lang w:bidi="ar-SA"/>
        </w:rPr>
        <w:t>مساعدة الدليل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فلاستلزامه التصويب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أدلة 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جعل الحكم مطابقاً لمؤدى الأمارات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المجعول في باب الأمارات هو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تنزيلها منزلة القطع الجمع بين اللحاظين الآلي والاستقلالي بل لزم لحاظ واحد استقلالي؛ إذ لا يكون هناك تنزيل المؤدى منزلة الواقع فلا يكون إلّا تنزيل واحد وهو تنزيل الأمارة منزلة القطع، غاية الأمر أنّ التنزيل إنّما هو اعتبار خصوص الأثر العقلي للقطع من التنجيز والتعذير، أو باعتبار خصوص الحكم الشرعي المأخوذ في موضوعه القطع، وباعتبار مطلق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أدلة التنزيل يمثّل كلا الحكمين العقلي والشرعي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على القول بأنّ المجعول في باب الأمارات هو الطريقية والكاشفية بإلغاء احتمال الخلاف، وإنْ شئت فعبر عنه بتتميم الكشف، باعتبار أنَّ الأمارات كانت كاشفة ناقصة فاعتبرها الشارع كاشفة تامة بإلغاء احتمال الخلاف، فيجري الكلام المذكور هنا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دليل التنزيل شامل للأثر العقلي والأثر الشرعي المترتب على القطع</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الشيخ الآخوند يقول إنَّ الاستدلال على قيام الأمارة مقام القطع الموضوعي بنحو الطريقية من خلال إطلاق دليل اعتبار الأمارة الذي ينزّل الأمارة منزلة العلم، غير صحيح، حيث يستلزم من تكفّل دليل واحد لكلا التنزيلين اجتماع لحاظين آلي واستقلالي في شيء واحد، وهو محال، فلا بُدّ من حمل الدليل على تنزيل الأمارة منزلة القطع الطريقي فقط؛ لأنّه هو ظاهر دليل الاعتبار، والتنزيل بلحاظ المنجزية والمعذرية </w:t>
      </w:r>
      <w:r>
        <w:rPr>
          <w:rFonts w:eastAsia="Amiri" w:cs="Amiri" w:ascii="Amiri" w:hAnsi="Amiri"/>
          <w:color w:val="111111"/>
          <w:sz w:val="28"/>
          <w:szCs w:val="28"/>
          <w:rtl w:val="true"/>
          <w:lang w:bidi="ar-SA"/>
        </w:rPr>
        <w:t xml:space="preserve">- </w:t>
      </w:r>
      <w:bookmarkStart w:id="419" w:name="pg9131_75976"/>
    </w:p>
    <w:p>
      <w:pPr>
        <w:pStyle w:val="BookText"/>
        <w:rPr/>
      </w:pPr>
      <w:bookmarkEnd w:id="419"/>
      <w:r>
        <w:rPr>
          <w:rFonts w:ascii="Amiri" w:hAnsi="Amiri" w:eastAsia="Amiri" w:cs="Amiri"/>
          <w:color w:val="111111"/>
          <w:sz w:val="28"/>
          <w:sz w:val="28"/>
          <w:szCs w:val="28"/>
          <w:rtl w:val="true"/>
          <w:lang w:bidi="ar-SA"/>
        </w:rPr>
        <w:t xml:space="preserve">أي اللحاظ 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المتيقن من دليل حجية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النائيني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صاحب الكفاية يأتي بناءً على جعل المؤدّى في باب الأمارة، والصحيح أنَّ المجعول هو المحرزية للواقع والكاشفية التامة عن الواقع والواسطة في الإثبات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المسلك لا يلزم المحذور؛ لأنّ الشارع إذا أوجد فرداً من الطريقية والعلمية تعبداً فالأمارات بمقتضى دليل اعتبارها تقوم مقام القطع الطريقي المحض في التنجيز والتعذير، وفي نفس الوقت تقوم مقام القطع الموضوعي المأخوذ في الموضوع بنحو الطريقية بالحكومة؛ لأنّ دليل اعتبارها يوسّع الدائرة فما يترتّب على الطريقية الحقيقية من الأثر الشرعي يترتب أيضاً على الطريقية التعبدية</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991932_2870459653"/>
      <w:bookmarkStart w:id="421" w:name="_Toc162"/>
      <w:bookmarkEnd w:id="420"/>
      <w:r>
        <w:rPr/>
        <w:t>4</w:t>
      </w:r>
      <w:r>
        <w:rPr>
          <w:rtl w:val="true"/>
        </w:rPr>
        <w:t xml:space="preserve">- </w:t>
      </w:r>
      <w:r>
        <w:rPr>
          <w:rtl w:val="true"/>
        </w:rPr>
        <w:t>الجواب عن إشكال التعارض بين مفهوم آية النبأ والتعليل</w:t>
      </w:r>
      <w:r>
        <w:rPr>
          <w:rtl w:val="true"/>
        </w:rPr>
        <w:t>..</w:t>
      </w:r>
      <w:bookmarkEnd w:id="42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على الاستدلال بمفهوم الشرط في آية النبأ بعدّة اعتراضات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قيل إنّه لا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قرينة تدلّ على أنّه لا مفهوم للقضية الشرطية، وهي عموم التعليل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وهذا التعليل يجري في سائر موارد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حتى في خبر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فعموم التعليل إمّا يمنع انعقاد المفهوم، أو لو انعقد المفهوم فهو معارِض له، وعلى كل حال لا يصحّ </w:t>
      </w:r>
    </w:p>
    <w:p>
      <w:pPr>
        <w:pStyle w:val="BookText"/>
        <w:rPr/>
      </w:pPr>
      <w:r>
        <w:rPr>
          <w:rFonts w:ascii="Amiri" w:hAnsi="Amiri" w:eastAsia="Amiri" w:cs="Amiri"/>
          <w:color w:val="111111"/>
          <w:sz w:val="28"/>
          <w:sz w:val="28"/>
          <w:szCs w:val="28"/>
          <w:rtl w:val="true"/>
          <w:lang w:bidi="ar-SA"/>
        </w:rPr>
        <w:t>التمسك بالمفهوم على حجية قول العادل الذي لا يفيد العلم؛ لأنّ التعليل يدلّ على عدم اعتبار القول الذي لا يفيد العلم؛ لأنّه من إصابة القوم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لا يمكن دفعه، وأفاد 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الآية إيرادات كثيرة ربما تبلغ إلى نيف وعشرين، إلّا أنَّ كثيراً منها قابلة للدفع فلنذكر أولاً ما لا يمكن الذبّ عنه ثم نتبعه بذكر بعض ما أورد من الإيرادات القابلة للدفع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يمكن الذبّ عنه فإيرادان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إنْ كان راجعاً إلى اعتبار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عدم اعتبار المفهوم في الوصف خصوصاً في الوصف الغير معتمد على موصوف محقق كما فيما نحن فيه، فإنَّه أشبه بمفهوم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باعتبار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هنا مسوقة لبيان تحقق الموضوع كما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محكي العدة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لو سلّمنا دلالة المفهوم على قبول خبر العادل الغير المفيد العلم،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التعليل وجوب التبيّن في كل خبر لا يؤمن الوقوع في الندم من العمل به وإن كان المخبر عادلاً فيعارض المفهوم، والترجيح مع ظهور التعليل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الإيراد بعدّة أجوبة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تطبيق فكرة الحكومة تفريعاً على مسلكه من أنّ المفهوم حاكم على عموم التعليل، حيث إنّ المفهوم يدلّ على حجية خبر </w:t>
      </w:r>
    </w:p>
    <w:p>
      <w:pPr>
        <w:pStyle w:val="BookText"/>
        <w:rPr/>
      </w:pPr>
      <w:r>
        <w:rPr>
          <w:rFonts w:ascii="Amiri" w:hAnsi="Amiri" w:eastAsia="Amiri" w:cs="Amiri"/>
          <w:color w:val="111111"/>
          <w:sz w:val="28"/>
          <w:sz w:val="28"/>
          <w:szCs w:val="28"/>
          <w:rtl w:val="true"/>
          <w:lang w:bidi="ar-SA"/>
        </w:rPr>
        <w:t>العادل، والحجية تعني جعل العلمية، وبعد اعتبار خبر العادل علماً تعبداً يخرج عن موضوع التعليل الذي هو الجهل وعدم العلم، وهذا الخروج التعبدي يصطلح عليه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لأصل الإشكال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يكون معنى الجهالة عدم العلم ليشترك خبر العادل مع الفاسق في ذلك، وليس الأمر كذلك، بل الجهالة بمعنى السفاهة والركون إلى ما لا ينبغي الركون إليه والاعتماد على ما لا ينبغي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أن يكون معنى الجهالة عدم العلم بمطابقة الخبر للواقع لا يعارض عموم التعليل للمفهوم، بل المفهوم يكون حاكماً على العموم؛ لأنّه يقتضي إلغاء احتمال مخالفة خبر العادل للواقع وجعله محرزاً وكاشفاً عنه فلا يشمله عموم التعليل، لا لأجل تخصيص بالمفهوم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يأبى عن التخصيص، بل لحكومة المفهوم عليه؛ فليس خبر العدل من أفراد العموم، لأنّ أقصى ما يقتضيه العموم هو عدم جواز العمل بما وراء العلم، والمفهوم يقتضي أنْ يكون خبر العدل علماً في عالم التشريع فلا يعقل التعارض بين المفهوم وعموم التعليل؛ لأنّ المحكوم لا يعارض الحاكم ولو كان ظهور المحكوم أقوى من ظهور الحاكم أو كانت النسبة بينهما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الحاكم إمّا يتعرض لعقد وضع المحكوم إمّا بتوسعة الموضوع بإدخال ما ليس داخلاً فيه، وإمّا بتضييقه بإخراج ما ليس خارجاً منه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المفهوم، فإنّ هذا تام لو كان التعليل منافياً للمفهوم، وأمّا إذا قلنا المفهوم حاكم على التعليل فلا يكون منافياً له حتى يمنع من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كلام السيد الخوئي في مصباح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9131_75979"/>
    </w:p>
    <w:p>
      <w:pPr>
        <w:pStyle w:val="Heading4"/>
        <w:numPr>
          <w:ilvl w:val="3"/>
          <w:numId w:val="1"/>
        </w:numPr>
        <w:rPr/>
      </w:pPr>
      <w:bookmarkStart w:id="423" w:name="__RefHeading___Toc2991934_2870459653"/>
      <w:bookmarkStart w:id="424" w:name="_Toc163"/>
      <w:bookmarkEnd w:id="422"/>
      <w:bookmarkEnd w:id="423"/>
      <w:r>
        <w:rPr/>
        <w:t>5</w:t>
      </w:r>
      <w:r>
        <w:rPr>
          <w:rtl w:val="true"/>
        </w:rPr>
        <w:t xml:space="preserve">- </w:t>
      </w:r>
      <w:r>
        <w:rPr>
          <w:rtl w:val="true"/>
        </w:rPr>
        <w:t>حجّية الأمارة في لوازمها ومثبتاتها</w:t>
      </w:r>
      <w:r>
        <w:rPr>
          <w:rtl w:val="true"/>
        </w:rPr>
        <w:t>..</w:t>
      </w:r>
      <w:bookmarkEnd w:id="424"/>
    </w:p>
    <w:p>
      <w:pPr>
        <w:pStyle w:val="BookText"/>
        <w:rPr/>
      </w:pPr>
      <w:r>
        <w:rPr>
          <w:rFonts w:ascii="Amiri" w:hAnsi="Amiri" w:eastAsia="Amiri" w:cs="Amiri"/>
          <w:color w:val="111111"/>
          <w:sz w:val="28"/>
          <w:sz w:val="28"/>
          <w:szCs w:val="28"/>
          <w:rtl w:val="true"/>
          <w:lang w:bidi="ar-SA"/>
        </w:rPr>
        <w:t>المعروف بين علمائنا حجية الأمارة في لوازمها ومثبتاتها غير الشرعية</w:t>
      </w:r>
      <w:r>
        <w:rPr>
          <w:rStyle w:val="FootnoteAnchor"/>
          <w:rtl w:val="true"/>
        </w:rPr>
        <w:footnoteReference w:id="400"/>
      </w:r>
      <w:r>
        <w:rPr>
          <w:rFonts w:ascii="Amiri" w:hAnsi="Amiri" w:eastAsia="Amiri" w:cs="Amiri"/>
          <w:color w:val="111111"/>
          <w:sz w:val="28"/>
          <w:sz w:val="28"/>
          <w:szCs w:val="28"/>
          <w:rtl w:val="true"/>
          <w:lang w:bidi="ar-SA"/>
        </w:rPr>
        <w:t>بخلاف الأصل، مثلاً لو قال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إنْ نبتت لحية ولدي الغائب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 الثقة بحياة الولد وبلوغه فلازمه نبات اللحية، وبالتالي وجوب التصدّق بخلاف ما لو ثبتت حياة الولد بالاستصحاب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هو لماذا الأمارة حجّة في لوازمها ومثبتاتها غير الشرعية دون الأصل؟</w:t>
      </w:r>
    </w:p>
    <w:p>
      <w:pPr>
        <w:pStyle w:val="BookText"/>
        <w:rPr/>
      </w:pPr>
      <w:r>
        <w:rPr>
          <w:rFonts w:ascii="Amiri" w:hAnsi="Amiri" w:eastAsia="Amiri" w:cs="Amiri"/>
          <w:color w:val="111111"/>
          <w:sz w:val="28"/>
          <w:sz w:val="28"/>
          <w:szCs w:val="28"/>
          <w:rtl w:val="true"/>
          <w:lang w:bidi="ar-SA"/>
        </w:rPr>
        <w:t xml:space="preserve">وفي مقام الجواب ذكرت عدّة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مسلكه من جعل العلمية والمحرزية في الأمارة، وبالتالي فإنّ العلم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العلم بلوازمه مطلقاً ولو كانت عقلية أو عادية ولا بُدَّ من ترتب الأثر الشرعي المترتب على هذه اللوازم، فالشارع جعل الأمارة حجّة وعلماً بلحاظ مؤدّاها فيلزم أنّها كذلك بلحاظ اللوازم، وهذا بخلاف الأصل فإنّ المجعول فيه الجري العملي دون صفة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المحرزية والكاشفية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المجعول في باب الأمارات معنى يقتضي اعتبار مثبتاتها ولو بألف واسطة عقلية أو عادية، بخلاف المجعول في باب الأصول العملية، فإنّه لا يقتضي أزيد من اعتبار نفس مؤدى الأصل، أو ما يترتب عليه من الأحكام الشرعية بلا واسطة عقلية وعادية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الأمارة إنّما تكون محرزة للمؤدّى وكاشفة عنه كشفاً ناقصاً، والشارع بأدلة اعتبارها قد أكمل جهة نقصها، فصارت الأمارة ببركة اعتبارها كاشفة ومحرزة كالعلم، وبعد انكشاف المؤدّى يترتب عليه جميع ما للمؤدى من الخواص والآثار على قواعد سلسلة العلل والمعلولات واللوازم والملزومات ولا يحتاج في إثبات اللوازم إلى كون الأمارة حاكية عنها، بل إثباتها إنّما يكون من جهة إحراز الملزوم، كما لو أحرز الملزوم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 الأمارة والعلم فرق، وهو أنّ العلم لما كان لا تناله يد التعبد الشرعي، فلا يتوقف إثباته للوازم والملزومات على أن يكون في سلسلتها أثر شرعي، بخلاف الأمارة، فإنّه لا بُدَّ فيها من أن ينتهي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بألف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أثر شرعي، حتى لا يلزم لغوية التعبد بها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المجعول في باب الأمارات نفس صفة المحرزية والوسطية في الإثبات فعند قيامها على شيء يكون الوجود الواقعي لذلك الشيء محرزاً بالتعبد؛ إذ المفروض أنّها فرد من العلم الطريقي بجعل الشارع وحيث إنّ العلم بالشيء وإحرازه وجداناً يستتبع العلم بلوازمه وملزوماته مع الالتفات إليها، فكذلك يكون العلم التشريعي؛ إذ المفروض عدم الفرق بينهما إلّا بالوجدانية والتعبدية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الأصول فإنّ المجعول فيها من جهة كونه الجري العملي لا يكون ناظراً إلى الواقع، بل </w:t>
      </w:r>
      <w:bookmarkStart w:id="425" w:name="pg9131_75981"/>
    </w:p>
    <w:p>
      <w:pPr>
        <w:pStyle w:val="BookText"/>
        <w:rPr/>
      </w:pPr>
      <w:bookmarkEnd w:id="425"/>
      <w:r>
        <w:rPr>
          <w:rFonts w:ascii="Amiri" w:hAnsi="Amiri" w:eastAsia="Amiri" w:cs="Amiri"/>
          <w:color w:val="111111"/>
          <w:sz w:val="28"/>
          <w:sz w:val="28"/>
          <w:szCs w:val="28"/>
          <w:rtl w:val="true"/>
          <w:lang w:bidi="ar-SA"/>
        </w:rPr>
        <w:t>الثابت إنَّما هو الجري بالمقدار الثابت من التعبد فإذا فرضنا تعلق اليقين والشك بحياة زيد دون اللوازم وملزوماتها فلا بُدَّ من الجري العملي بهذا المقدار وترتيب الآثار الشرعية المترتبة على نفس المتيقن، وأمّا آثار لوازمه الغير المتيقنة سابقاً فهي خارجة عن مورد التعبد؛ إذ المفروض عدم تعلق اليقين والشك المأخوذين موضوعين للجري العملي لا بأنفسها ولا بموضوعاتها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2991936_2870459653"/>
      <w:bookmarkStart w:id="427" w:name="_Toc164"/>
      <w:bookmarkEnd w:id="426"/>
      <w:r>
        <w:rPr/>
        <w:t>6</w:t>
      </w:r>
      <w:r>
        <w:rPr>
          <w:rtl w:val="true"/>
        </w:rPr>
        <w:t xml:space="preserve">- </w:t>
      </w:r>
      <w:r>
        <w:rPr>
          <w:rtl w:val="true"/>
        </w:rPr>
        <w:t>الانحلال التعبدي</w:t>
      </w:r>
      <w:r>
        <w:rPr>
          <w:rtl w:val="true"/>
        </w:rPr>
        <w:t>..</w:t>
      </w:r>
      <w:bookmarkEnd w:id="427"/>
    </w:p>
    <w:p>
      <w:pPr>
        <w:pStyle w:val="BookText"/>
        <w:rPr/>
      </w:pPr>
      <w:r>
        <w:rPr>
          <w:rFonts w:ascii="Amiri" w:hAnsi="Amiri" w:eastAsia="Amiri" w:cs="Amiri"/>
          <w:color w:val="111111"/>
          <w:sz w:val="28"/>
          <w:sz w:val="28"/>
          <w:szCs w:val="28"/>
          <w:rtl w:val="true"/>
          <w:lang w:bidi="ar-SA"/>
        </w:rPr>
        <w:t xml:space="preserve">إذا علمنا بنجاسة أحد الإناءين علماً إجمالياً فإنْ وقف العلم على الجامع ولم يسرِ إلى الفرد فهو منجّز، وإنْ سرى إلى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أنّ النجاسة وقعت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إلى علم تفصيلي بنجاسة ذلك الفرد وشكّ بدويّ في نجاسة الإناء الثاني، فتجري البراءة عنه فلا يجب تركه والاجتناب عنه، واصطلح على حالة السراية هذه بانحلال العلم الإجمالي بالعلم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بالفرد له عدة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شهد الثقة بنجاسة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الحالة لا إشكال في سقوط العلم الإجمالي عن المنجزية ولا يجب ترك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التخريج الفنيّ لزوال المنجزية؟الجواب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مسلك جعل العلمية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للانحلال التعبدي ببيان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دليل حجية خبر الثقة يجعل خبر الثقة علماً فيترتّب عليه آثار العلم ومنها الانحلال، فالمراد من الانحلال التعبدي هو زوال العلم الإجمالي بواسطة الأمارة التي هي علم </w:t>
      </w:r>
    </w:p>
    <w:p>
      <w:pPr>
        <w:pStyle w:val="BookText"/>
        <w:rPr/>
      </w:pPr>
      <w:r>
        <w:rPr>
          <w:rFonts w:ascii="Amiri" w:hAnsi="Amiri" w:eastAsia="Amiri" w:cs="Amiri"/>
          <w:color w:val="111111"/>
          <w:sz w:val="28"/>
          <w:sz w:val="28"/>
          <w:szCs w:val="28"/>
          <w:rtl w:val="true"/>
          <w:lang w:bidi="ar-SA"/>
        </w:rPr>
        <w:t>تعبداً، فالتعبد بعلميتها يقتضي انحلال العلم الإجمالي فيها تعبداً، كما أنَّ العلم الوجداني يقتضي انحلال العلم الإجمالي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بناءً على مسلك تتميم الكشف وجعل العلمية في باب الأمارات يتمّ الانحلال التعبّدي والتعبّد بالانحلال للملازمة بينهما، فإذا قامت الأمارة على أنّ النجس هو الإناء الأول فقد صار المكلّف عالماً بنجاسته كالعالم تكويناً وحقيقة ووجداناً، ولازم ذلك الانحلال التعبدي التعبد 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ينحل بالأمارة حكماً وتعبداً؛ لأنّ دليل اعتبارها علماً يقتضي أن يترتب عليها جميع آثاره ومنها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الترخيص الظاهري فينحصر موجبه بما إذا كان في بعض الأطراف أصل نافٍ للتكليف غير معارض بمثله؛ وذلك إنّما يكون بقيام ما يوجب ثبوت التكليف في بعض الأطراف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أو أمارة أو أصل شرعي أو عقلي، لكن يبقى الأصل النافي للتكليف في الطرف الآخر بلا معارض، من غير فرق بين أنْ يكون الموجب لثبوت التكليف في البعض حاصلاً قبل العلم الإجمالي أو بعده، غايته أنّه في الأول يوجب عدم تأثير العلم الإجمالي، وفي الثاني يوجب انحلاله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يتّضح أنّه لو كان في بعض أطراف العلم الإجمالي أصل أو أمارة بلا معارض لأوجب انحلال العلم أو عدم تأثيره من أول الأمر، فإنّ تنجيز العلم الإجمالي يتوقف على تحقق العلم بالتكليف الفعلي على كل تقدير وعدم انحلاله، فإذا لم يكن هناك علم بالتكليف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بعض الأطراف خارجاً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ولكن كان في بعض الأطراف منجّز للتكليف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قامت الأمارة </w:t>
      </w:r>
      <w:bookmarkStart w:id="428" w:name="pg9131_75983"/>
    </w:p>
    <w:p>
      <w:pPr>
        <w:pStyle w:val="BookText"/>
        <w:rPr/>
      </w:pPr>
      <w:bookmarkEnd w:id="428"/>
      <w:r>
        <w:rPr>
          <w:rFonts w:ascii="Amiri" w:hAnsi="Amiri" w:eastAsia="Amiri" w:cs="Amiri"/>
          <w:color w:val="111111"/>
          <w:sz w:val="28"/>
          <w:sz w:val="28"/>
          <w:szCs w:val="28"/>
          <w:rtl w:val="true"/>
          <w:lang w:bidi="ar-SA"/>
        </w:rPr>
        <w:t xml:space="preserve">على نجاسة بعض الأطراف بخصوصه، أو كان مستصحب النجاسة، أو كان من أطراف العلم الإجمالي بالنجاسة قبل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الرجوع إلى الأصل النافي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الملازمة العقلية بين سقوط الأصول في أطراف العلم الإجمالي وعدم انحلاله؛ إذ متى كان الأصل جارياً في بعض الأطراف فلا محالة ينحل العلم به ويرجع معه إلى الأصل في الطرف الآخر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2991938_2870459653"/>
      <w:bookmarkStart w:id="430" w:name="_Toc165"/>
      <w:bookmarkEnd w:id="429"/>
      <w:r>
        <w:rPr/>
        <w:t>7</w:t>
      </w:r>
      <w:r>
        <w:rPr>
          <w:rtl w:val="true"/>
        </w:rPr>
        <w:t xml:space="preserve">- </w:t>
      </w:r>
      <w:r>
        <w:rPr>
          <w:rtl w:val="true"/>
        </w:rPr>
        <w:t>الاستصحاب في مؤدّيات الأمارات</w:t>
      </w:r>
      <w:r>
        <w:rPr>
          <w:rtl w:val="true"/>
        </w:rPr>
        <w:t>..</w:t>
      </w:r>
      <w:bookmarkEnd w:id="430"/>
    </w:p>
    <w:p>
      <w:pPr>
        <w:pStyle w:val="BookText"/>
        <w:rPr/>
      </w:pPr>
      <w:r>
        <w:rPr>
          <w:rFonts w:ascii="Amiri" w:hAnsi="Amiri" w:eastAsia="Amiri" w:cs="Amiri"/>
          <w:color w:val="111111"/>
          <w:sz w:val="28"/>
          <w:sz w:val="28"/>
          <w:szCs w:val="28"/>
          <w:rtl w:val="true"/>
          <w:lang w:bidi="ar-SA"/>
        </w:rPr>
        <w:t xml:space="preserve">لا إشكال في أنّ مؤدّى الأمارة لو شكّ في بقائه يستصحب، فالثقة لو شهد صباحاً بنجاسة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بالنجاسة، ولو شككنا مساءً في بقاء تلك النجاسة يجري استصحابها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يوجد إشكال فنيّ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الثقة صباحاً تفيد الظن ولا تفيد اليقين، ومع عدم حصول اليقين بحدوث النجاسة فكيف تستصحب إلى المساء؟ حيث لايقين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الأجوبة عنه، فأجاب المحقّق النائيني مستفيداً من مسلكه بأنّ الأمارة تفيد العلم، فمعنى اعتبار الأمارة وجعلها حجّة هو جعلها علماً غايته تعبداً، وما دام يحصل العلم فيمكن جريان الاستصحاب، فالتوسعة التعبدية لآثار العلم من خلال دليل الأمارة الحاكم يجعل الأمارة فرداً من أفراد العلم تعبداً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جريان الاستصحاب بين أنْ يكون الحكم الثابت قبل الشك ثابتاً بالعلم الوجداني، أو بالأمارة المعتبرة والطرق الغير العلمية؛ وذلك لما ذكرناه في محلّه من أنّ المجعول في باب الطرق والأمارات ليس إلّا صفة المحرزية والوسطية في </w:t>
      </w:r>
      <w:bookmarkStart w:id="431" w:name="pg9131_75984"/>
    </w:p>
    <w:p>
      <w:pPr>
        <w:pStyle w:val="BookText"/>
        <w:rPr/>
      </w:pPr>
      <w:bookmarkEnd w:id="431"/>
      <w:r>
        <w:rPr>
          <w:rFonts w:ascii="Amiri" w:hAnsi="Amiri" w:eastAsia="Amiri" w:cs="Amiri"/>
          <w:color w:val="111111"/>
          <w:sz w:val="28"/>
          <w:sz w:val="28"/>
          <w:szCs w:val="28"/>
          <w:rtl w:val="true"/>
          <w:lang w:bidi="ar-SA"/>
        </w:rPr>
        <w:t>الإثبات، فكما يكون العلم الوجداني محرزاً للواقع وجداناً فكذلك يكون الطرق والأمارات أيضاً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اليقين في أخبار الاستصحاب أُخذ موضوعاً لحرمة النقض بما أنّه طريق إلى الواقع ومقتضٍ للجري العملي لا محالة يقوم مقامه الطرق والأمارات في ذلك</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وبنى على جريان هذا الاستصحاب أيضاً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جعل حجية الأمارات هو جعل الأمارات من أفراد العلم في عالم الاعتبار، فيكون لليقين حينئذ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الوجداني، واليقين الجعلي الاعتباري، فكما أنّ لليقين الوجداني 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الواقعية للمتيقن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نفس اليقين إذا كان له أثر، كما إذا كان موضوعاً لحكم من الأحكام، فكذا اليقين الجعلي يكون له هذان الأثران، فكما لو علمنا بحكم من الأحكام ثمّ شككنا في بقائه نرجع إلى الاستصحاب، كذلك إذا قامت الأمارة على حكم ثمّ شككنا في بقائه لا مانع من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المذكور في أدلة الاستصحاب وإن كان موضوعاً للاستصحاب، إلّا أنّه مأخوذ في الموضوع بما هو كاشف</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991940_2870459653"/>
      <w:bookmarkStart w:id="433" w:name="_Toc166"/>
      <w:bookmarkEnd w:id="432"/>
      <w:r>
        <w:rPr/>
        <w:t>8</w:t>
      </w:r>
      <w:r>
        <w:rPr>
          <w:rtl w:val="true"/>
        </w:rPr>
        <w:t xml:space="preserve">- </w:t>
      </w:r>
      <w:r>
        <w:rPr>
          <w:rtl w:val="true"/>
        </w:rPr>
        <w:t>تقدّم الأمارة على الأصول</w:t>
      </w:r>
      <w:r>
        <w:rPr>
          <w:rtl w:val="true"/>
        </w:rPr>
        <w:t>..</w:t>
      </w:r>
      <w:bookmarkEnd w:id="433"/>
    </w:p>
    <w:p>
      <w:pPr>
        <w:pStyle w:val="BookText"/>
        <w:rPr/>
      </w:pPr>
      <w:r>
        <w:rPr>
          <w:rFonts w:ascii="Amiri" w:hAnsi="Amiri" w:eastAsia="Amiri" w:cs="Amiri"/>
          <w:color w:val="111111"/>
          <w:sz w:val="28"/>
          <w:sz w:val="28"/>
          <w:szCs w:val="28"/>
          <w:rtl w:val="true"/>
          <w:lang w:bidi="ar-SA"/>
        </w:rPr>
        <w:t xml:space="preserve">لا إشكال بين الأصوليين في أنَّ الأمارة تقدّم في موردها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على بقية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الكلام في الوجه الفني لذلك التقديم والاستدلال عليه، فالواقع بين العلماء هو كلام علمي في النكتة الفنية في التقديم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اختار المحقّق النائيني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التقديم هو للحكومة، وهذا </w:t>
      </w:r>
    </w:p>
    <w:p>
      <w:pPr>
        <w:pStyle w:val="BookText"/>
        <w:rPr/>
      </w:pPr>
      <w:r>
        <w:rPr>
          <w:rFonts w:ascii="Amiri" w:hAnsi="Amiri" w:eastAsia="Amiri" w:cs="Amiri"/>
          <w:color w:val="111111"/>
          <w:sz w:val="28"/>
          <w:sz w:val="28"/>
          <w:szCs w:val="28"/>
          <w:rtl w:val="true"/>
          <w:lang w:bidi="ar-SA"/>
        </w:rPr>
        <w:t xml:space="preserve">الوجه مبنيٌ على أنّ المجعول في باب الأمارات هو العلمية فيرتفع الشك المأخوذ في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فدليل حجية الأمارة إذا جعلها علماً فسوف يكون المكلف عالماً بالحكم الذي دلت عليه، وهذا يعني رفع الشكّ الذي هو موضوع الأصل، ودليل الأمارة عندما يريد جعل المكلّف عالماً فمعنى ذلك أنّه ناظر لموضوع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رفعه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القسم الثاني منها فهو إنّما يكون فيما بين الأدلة المتكفّلة لبيان الأحكام الظاهرية، والحكومة فيها إنّما تكون ظاهرية، وذلك كحكومة الأمارات مطلقاً على الأصول الشرعية، وكحكومة الأصول التنزيلية على غيرها، وكحكومة الأصل السببي على الأصل المسببي، فإنّ الحكومة في جميع ذلك إنّما تكون بإعدام دليل الحاكم في عالم الاعتبار والتشريع ما أخذ موضوعاً في 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المجعول في الأمارات إنّما هو الوسطية في الإثبات والإحراز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يؤخذ الشك موضوعاً في باب الأمارات، بل الجهل بالواقع يكون مورداً للتعبد بها، فتكون الأمارة رافعة للشك الذي أخذ موضوعاً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الأدلة المتكفلة للأحكام الظاهرية بعضها على بعض إنّما تكون باعتبار رفع دليل الحاكم موضوع دليل المحكوم في عالم التشريع مع بقائه في عالم التكوين، فإنّ قيام الأمارة على خلاف مؤدّى الأصل لا يوجب رفع الشك خارجاً؛ لاحتمال مخالفة الأمارة للواقع، فموضوع الأصل محفوظ تكويناً، ولكن لما كان المجعول في باب الأمارات هو الإحراز وإلغاء احتمال الخلاف كانت الأمارة رافعة للشك في عالم التشريع؛ لأنّ المكلف يكون محرزاً للواقع بحكم التعبد بالأمارة، فلا </w:t>
      </w:r>
    </w:p>
    <w:p>
      <w:pPr>
        <w:pStyle w:val="BookText"/>
        <w:rPr/>
      </w:pPr>
      <w:r>
        <w:rPr>
          <w:rFonts w:ascii="Amiri" w:hAnsi="Amiri" w:eastAsia="Amiri" w:cs="Amiri"/>
          <w:color w:val="111111"/>
          <w:sz w:val="28"/>
          <w:sz w:val="28"/>
          <w:szCs w:val="28"/>
          <w:rtl w:val="true"/>
          <w:lang w:bidi="ar-SA"/>
        </w:rPr>
        <w:t>يبقى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حكومة الأصول بعضها على بعض</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تقدّم الأمارة على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الحكومة فهي عبارة عن انتفاء الموضوع لثبوت المتعبد به بالتعبد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الأُصول الشرعية فإنّه بعد كون الأمارة علماً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موضوع لأصل من الأُصول الشرعية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الأمارات على الاستصحاب ليس من باب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تقديمها عليه إنّما هو من باب الحكومة التي مفادها عدم المنافاة حقيقةً بين الدليل الحاكم والمحكوم عليه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كلا العلمين يقولان بأنّ المجعول في باب الاستصحاب هو العلمية، ولكن الفارق بينهما أنَّ الشيخ النائيني يقول إنَّ المجعول هو من جهة الجري العملي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يبقى أصلاً وسمّاه أصلاً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الكاشفية، خلافاً للسيد الخوئي إذ المجعول عنده هو العلمية من حيث الكاشفية أيضاً مضافاً إلى الجري العملي، وبما أنَّ المجعول هو الكاشفية فيصير الاستصحاب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الاستصحاب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فكيف تُقدّم أمارة على أمارة أخرى؟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الاستصحاب قد أُخذ في موضوعها الشكّ بالبقاء، فمع عدم الشك لا جعل للعلمية، وبالتالي لا يجري الاستصحاب، بينما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 موضوعها الشكّ، فإذن الأمارة متى ما وجدت سترفع الشكّ الذي هو موضوع </w:t>
      </w:r>
      <w:bookmarkStart w:id="434" w:name="pg9131_75987"/>
    </w:p>
    <w:p>
      <w:pPr>
        <w:pStyle w:val="BookText"/>
        <w:rPr/>
      </w:pPr>
      <w:bookmarkEnd w:id="434"/>
      <w:r>
        <w:rPr>
          <w:rFonts w:ascii="IRNazanin" w:hAnsi="IRNazanin" w:eastAsia="IRNazanin"/>
          <w:color w:val="111111"/>
          <w:sz w:val="28"/>
          <w:sz w:val="28"/>
          <w:szCs w:val="28"/>
          <w:rtl w:val="true"/>
          <w:lang w:bidi="fa-IR"/>
        </w:rPr>
        <w:t>الاستصحاب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المشهور بين العلماء أنَّ المورد الواحد متى ما اجتمعت فيه أمارة واستصحاب قدّمت الأمارة سواء كانت مخالفة للاستصحاب أم كانت موافقة له بحسب النتيجة</w:t>
      </w:r>
      <w:r>
        <w:rPr>
          <w:rStyle w:val="FootnoteAnchor"/>
          <w:rtl w:val="true"/>
        </w:rPr>
        <w:footnoteReference w:id="411"/>
      </w:r>
      <w:r>
        <w:rPr>
          <w:rFonts w:ascii="Amiri" w:hAnsi="Amiri" w:eastAsia="Amiri" w:cs="Amiri"/>
          <w:color w:val="111111"/>
          <w:sz w:val="28"/>
          <w:sz w:val="28"/>
          <w:szCs w:val="28"/>
          <w:rtl w:val="true"/>
          <w:lang w:bidi="ar-SA"/>
        </w:rPr>
        <w:t>، ولكن كما تقدّم اختلف في وجه التقديم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991942_2870459653"/>
      <w:bookmarkStart w:id="436" w:name="_Toc167"/>
      <w:bookmarkEnd w:id="435"/>
      <w:r>
        <w:rPr/>
        <w:t>9</w:t>
      </w:r>
      <w:r>
        <w:rPr>
          <w:rtl w:val="true"/>
        </w:rPr>
        <w:t xml:space="preserve">- </w:t>
      </w:r>
      <w:r>
        <w:rPr>
          <w:rtl w:val="true"/>
        </w:rPr>
        <w:t>تقدّم الاستصحاب على الأصول الشرعية</w:t>
      </w:r>
      <w:r>
        <w:rPr>
          <w:rtl w:val="true"/>
        </w:rPr>
        <w:t>..</w:t>
      </w:r>
      <w:bookmarkEnd w:id="436"/>
    </w:p>
    <w:p>
      <w:pPr>
        <w:pStyle w:val="BookText"/>
        <w:rPr/>
      </w:pPr>
      <w:r>
        <w:rPr>
          <w:rFonts w:ascii="Amiri" w:hAnsi="Amiri" w:eastAsia="Amiri" w:cs="Amiri"/>
          <w:color w:val="111111"/>
          <w:sz w:val="28"/>
          <w:sz w:val="28"/>
          <w:szCs w:val="28"/>
          <w:rtl w:val="true"/>
          <w:lang w:bidi="ar-SA"/>
        </w:rPr>
        <w:t xml:space="preserve">إنَّ الاستصحاب قد يتعارض مع استصحاب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سيأتي في الثمرة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يتعارض مع أصول أخرى كأصل البراءة، وفي هذه الصورة إذا كانت الأصول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الاحتياط والتخيير والبراءة العقلية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يقدم عليها بنكتة الورود كما هو واضح، فمع وجود الاستصحاب والتعبّد ببقاء اليقين السابق يرتفع حقيقة موضوع هذه الأصول ويكون حجّة مؤمنة رافعة لاحتمال العقاب الذي هو موضوع الاشتغال، ولتساوي الطرفين وعدم وجود المرجّح الذي هو موضوع التخيير، ولعدم البيان الذي هو موضوع البراءة العقلية، ومعلوم أنَّ حكم العقل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الأصول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الاحتياط والتخيير والبراءة وأصالة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أيضاً مقدّم بلا إشكال، ولكن اختلف في التخريج الفني لذلك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المجعول في الاستصحاب الطريقية </w:t>
      </w:r>
      <w:bookmarkStart w:id="437" w:name="pg9131_75988"/>
    </w:p>
    <w:p>
      <w:pPr>
        <w:pStyle w:val="BookText"/>
        <w:rPr/>
      </w:pPr>
      <w:bookmarkEnd w:id="437"/>
      <w:r>
        <w:rPr>
          <w:rFonts w:ascii="Amiri" w:hAnsi="Amiri" w:eastAsia="Amiri" w:cs="Amiri"/>
          <w:color w:val="111111"/>
          <w:sz w:val="28"/>
          <w:sz w:val="28"/>
          <w:szCs w:val="28"/>
          <w:rtl w:val="true"/>
          <w:lang w:bidi="ar-SA"/>
        </w:rPr>
        <w:t xml:space="preserve">والعلمية فيكون الاستصحاب أصلاً محرزاً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الاستصحاب معها حال الأمارات مع الاستصحاب في أنَّ تقدّمه من باب الحكومة، فبعد جريان الاستصحاب يصير المكلف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عند المحقّق النائيني من حيث الجري العملي وفق العلم، أمّا السيد الخوئي فالعلمية من حيث الجري العملي والكاشفية، فهو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فلا يعود مجال لهذه 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نسبة الاستصحاب مع سائر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والتخيير والاحتياط وقاعدة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الاستصحاب يكون وارداً على الأصول العقلية وحاكماً على الأصول الشرعية؛ لأنّه من الأصول المحرزة المتكفلة للتنزيل، ولذلك يقوم مقام القطع الطريقي، فيكون الاستصحاب رافعاً لموضوع الأصول العقلية حقيقة بالورود، ولموضوع الأصول الشرعية بالحكومة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991944_2870459653"/>
      <w:bookmarkStart w:id="439" w:name="_Toc168"/>
      <w:bookmarkEnd w:id="438"/>
      <w:r>
        <w:rPr/>
        <w:t>10</w:t>
      </w:r>
      <w:r>
        <w:rPr>
          <w:rtl w:val="true"/>
        </w:rPr>
        <w:t xml:space="preserve">- </w:t>
      </w:r>
      <w:r>
        <w:rPr>
          <w:rtl w:val="true"/>
        </w:rPr>
        <w:t>تقدّم استصحاب على آخر</w:t>
      </w:r>
      <w:r>
        <w:rPr>
          <w:rtl w:val="true"/>
        </w:rPr>
        <w:t>..</w:t>
      </w:r>
      <w:bookmarkEnd w:id="439"/>
    </w:p>
    <w:p>
      <w:pPr>
        <w:pStyle w:val="BookText"/>
        <w:rPr/>
      </w:pPr>
      <w:r>
        <w:rPr>
          <w:rFonts w:ascii="Amiri" w:hAnsi="Amiri" w:eastAsia="Amiri" w:cs="Amiri"/>
          <w:color w:val="111111"/>
          <w:sz w:val="28"/>
          <w:sz w:val="28"/>
          <w:szCs w:val="28"/>
          <w:rtl w:val="true"/>
          <w:lang w:bidi="ar-SA"/>
        </w:rPr>
        <w:t>عندما يتعارض الاستصحاب مع استصحاب آخر مثله فإن كان تعارضهما من باب العلم الإجمالي من دون أن يكون أحدهما سبباً والآخر مسبباً فالمشهور عدم جريانه في كليهما إذا كانا معذّرين ومرخّصين، وجريانه إذا كانا منجّزين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تعارضهما بأن كان أحدهما سبباً والآخر مسبباً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عندنا أصلان </w:t>
      </w:r>
    </w:p>
    <w:p>
      <w:pPr>
        <w:pStyle w:val="BookText"/>
        <w:rPr/>
      </w:pPr>
      <w:r>
        <w:rPr>
          <w:rFonts w:ascii="Amiri" w:hAnsi="Amiri" w:eastAsia="Amiri" w:cs="Amiri"/>
          <w:color w:val="111111"/>
          <w:sz w:val="28"/>
          <w:sz w:val="28"/>
          <w:szCs w:val="28"/>
          <w:rtl w:val="true"/>
          <w:lang w:bidi="ar-SA"/>
        </w:rPr>
        <w:t>متعارضان والشكّ في أحدهما مسبب عن الشكّ في الآخر</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الماء وهو يقتضي حصول الطهارة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الثوب وبقائها حتى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الأوَّل سببي والاستصحاب الثاني مسببي؛ لأنّ الشك في بقاء النجاسة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ومسبب عن الشك في طهارة الماء الذي غسل به، فإذا تعبدنا الشارع ببقاء طهارة الماء ظاهراً يكون معناه ترتيب ما للماء الطاهر الواقعي من الآثار، ومن ذلك طهارة الثوب المغسول به، فالتعبد ببقاء الأصل السببي يرفع الشك في جانب الأصل المسببي أي النجاسة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تقدّم الأصل السببي فتثبت طهارة الماء، ومن ثمَّ طهارة الثوب بلا معارضة باستصحاب نجاسة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تقدّم الأصل السببي بلا فرق بين أنْ يكون السببي أصلاً محرزاً أو لا، ومن دون فرق أيضاً بين أنْ يكون الاستصحابان متوافقين في النتيجة أو مختلفين، ويشترط لتقدّم السببي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الترتب والملازمة والسببية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السببي رافعاً لما يقتضيه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فيه المستصحب هو الموضوع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المسبّبي لكونه ناظراً إلى إثبات الموضوع الذي هو بمثابة السبب الشرعي للحكم، أمّا الأصل المسبّبي فهو ناظرٌ إلى الحكم الذي هو بمثابة المسبّب شرعاً للموضوع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الوجه الفنيّ لتقدّم الأصل السببي على المسببي،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الخفقة والخفقتين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بالحكومة بناءً على مسلكه من أنّ المجعول في الاستصحاب هو العلمية في مقام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الأصل السببي واجداً لهذين الشرطين فلا ينبغي التأمّل في حكومته على الأصل المسبّبي؛ لأنّه رافع لموضوعه، فلا يمكن أنْ يعارضه الأصل المسبّبي؛ لأنّ كل حكم مشروط بوجود موضوعه، فلا بُدَّ من فرض وجود الموضوع في ترتب الحكم عليه، ولا يعقل أنْ يكون الحكم متكفلاً لوجود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المسببي إنّما يجري إذا بقي الشك الذي أخذ موضوعاً فيه، والأصل السببي رافع ومعدم له في عالم التشريع؛ لأنّ التعبد بمؤدّى الأصل السببي بمدلوله المطابقي يقتضي إلغاء الشك المسببي، ولا عكس، وبداهة أنّ التعبد بطهارة الماء المغسول به الثوب النجس بنفسه يقتضي التعبد بطهارة الثوب؛ إذ لا معنى لطهارة الماء إلّا كونه مزيلاً للحدث والخبث، سواء كانت طهارة الماء مؤدّى الاستصحاب أو مؤدّى قاعدة الطهارة، فيرتفع الشكّ في بقاء نجاسة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التعبد بنجاسة الثوب فهو بنفسه لا يقتضي التعبد بنجاسة الماء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بقاء النجاسة في الثوب هو نجاسة الماء فإنّه لو كان الماء طاهراً لم تبقَ النجاسة في الثوب، فاستصحاب بقاء نجاسة الثوب بمدلوله المطابقي لا يقتضي نجاسة الماء وغير مزيل للشك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فإثبات نجاسة الماء المغسول به الثوب باستصحاب بقاء نجاسة الثوب يتوقّف على مقدمتين،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الشك في نجاسة الثوب بعد غسله بالماء المشكوك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الذي يكون مؤدّاه طهارة الماء يرفع الشكّ في بقاء نجاسة الثوب، لما عرفت من أنّه لا معنى لطهارة الماء إلّا كونه مزيلاً للحدث والخبث، فلم يبقَ موضوع لاستصحاب بقاء نجاسة الثوب</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40" w:name="pg9131_75991"/>
    </w:p>
    <w:p>
      <w:pPr>
        <w:pStyle w:val="Heading4"/>
        <w:numPr>
          <w:ilvl w:val="3"/>
          <w:numId w:val="1"/>
        </w:numPr>
        <w:rPr/>
      </w:pPr>
      <w:bookmarkStart w:id="441" w:name="__RefHeading___Toc2991946_2870459653"/>
      <w:bookmarkStart w:id="442" w:name="_Toc169"/>
      <w:bookmarkEnd w:id="440"/>
      <w:bookmarkEnd w:id="441"/>
      <w:r>
        <w:rPr/>
        <w:t>11</w:t>
      </w:r>
      <w:r>
        <w:rPr>
          <w:rtl w:val="true"/>
        </w:rPr>
        <w:t xml:space="preserve">- </w:t>
      </w:r>
      <w:r>
        <w:rPr>
          <w:rtl w:val="true"/>
        </w:rPr>
        <w:t>وقوع التعبد بالأمارات غير العلمية</w:t>
      </w:r>
      <w:r>
        <w:rPr>
          <w:rtl w:val="true"/>
        </w:rPr>
        <w:t>..</w:t>
      </w:r>
      <w:bookmarkEnd w:id="442"/>
    </w:p>
    <w:p>
      <w:pPr>
        <w:pStyle w:val="BookText"/>
        <w:rPr/>
      </w:pPr>
      <w:r>
        <w:rPr>
          <w:rFonts w:ascii="Amiri" w:hAnsi="Amiri" w:eastAsia="Amiri" w:cs="Amiri"/>
          <w:color w:val="111111"/>
          <w:sz w:val="28"/>
          <w:sz w:val="28"/>
          <w:szCs w:val="28"/>
          <w:rtl w:val="true"/>
          <w:lang w:bidi="ar-SA"/>
        </w:rPr>
        <w:t>لا إشكال في أنَّ مقتضى الأصل عند الشك في الحجّية عدم ثبوتها، وإنَّما حصل الكلام في التخريج الصناعي لذلك</w:t>
      </w:r>
      <w:r>
        <w:rPr>
          <w:rStyle w:val="FootnoteAnchor"/>
          <w:rtl w:val="true"/>
        </w:rPr>
        <w:footnoteReference w:id="4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الحجّية مساوق للقطع بعدمها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وعمومات الآيات والروايات الناهية عن العمل بالظن يشمل الأمارات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بأدلة حرمة التشريع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ءاللَّهُ أَذِنَ لَكُمْ أَمْ عَلَى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أنَّ إدخال ما لم يعلم أنّه من الدين في الدين تشريع محرم،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باستصحاب عدم جعل الحجّية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بعمومات الأدلّة المانعة عن العمل بغير العلم لإثبات حرمة العمل بمشكوك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بأنّ أدلّة حجية الأمارة حاكمة على الأدلة المانعة، فمثلاً السيرة العقلائية جارية على العمل بظواهر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اعتُرض بوجود رادعين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العمل بالظن، وكذا الروايات وإنْ لم تكن دلالتها حجّة، لكن مع ذلك يبقى احتمال مطابقتها للواقع موجوداً فلا يحصل إحراز إمضاء السيرة على العمل بالظهور، والشكّ في الحجّية مساوق للقطع بعدمها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العملية؛ فالشكّ المأخوذ في لسان أدلتها يراد به المعنى العرفي واللغوي؛ أي بمعنى عدم العلم الشامل للظنّ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حجّية الأمارات مقدمة على الأدلة المانعة عن العمل بغير العلم من باب الحكومة، فبعد كون معنى حجّية الأمارة هو اعتبارها علماً تعبداً في عالم التشريع تخرج ظواهر الألفاظ عن الأدلة المانعة عن العمل بغير العلم موضوعاً، فإنّ مفاد دليل حجية الأمارة كون الأمارة علماً بالتعبد هو نفي للحكم بلسان نفي الموضوع وتخصيص بلسان الحكومة، فعند الشكّ في حجية شيء لا يصحّ التمسك بالعمومات والإطلاقات الدالّة على النهي عن اتباع الظن وغير العلم لكون الشبهة مصداقية؛ إذ الحجية المشكوكة على فرض ثبوتها تكون بلسان جعل الطريقية والعلمية فتكون رافعة لموضوع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موضوع الآيات والروايات الناهية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موضوع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حجية ظواهر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إمضاء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بالحجية، فتكون علماً تعبدياً، وإذا كانت علماً تكون حاكمة ورافعة تعبداً لموضوع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معنى الحجية إلّا الوسطية في الإثبات أو 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فعلية هذا المعنى وترتب الأثر عليه لا يكون إلّا في ظرف الإحراز ومقام الإثبات، وإلّا فصرف إنشاء الحجية لشيء مع عدم وصوله إلى العبد لا يوجب وقوعه وسطاً في الإثبات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العامة ففي جواز التمسك بها لإثبات عدم حجية أي أمارة غير علمية شك في حجيتها إشكال، 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تلك الأدلّة إنَّما هو الظنون التي لم يعتبر الشارع لها صفة الحجية والوسطية في الإثبات، وأمّا هي فخارجة عن موضوعها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بيانه في محلّه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شكّ في اعتبار </w:t>
      </w:r>
      <w:bookmarkStart w:id="443" w:name="pg9131_75993"/>
    </w:p>
    <w:p>
      <w:pPr>
        <w:pStyle w:val="BookText"/>
        <w:rPr/>
      </w:pPr>
      <w:bookmarkEnd w:id="443"/>
      <w:r>
        <w:rPr>
          <w:rFonts w:ascii="Amiri" w:hAnsi="Amiri" w:eastAsia="Amiri" w:cs="Amiri"/>
          <w:color w:val="111111"/>
          <w:sz w:val="28"/>
          <w:sz w:val="28"/>
          <w:szCs w:val="28"/>
          <w:rtl w:val="true"/>
          <w:lang w:bidi="ar-SA"/>
        </w:rPr>
        <w:t xml:space="preserve">الحجّية لأمارة خاصّة كان التمسك بها لإثبات عدم حجّيتها تمسكاً بالعموم في الشبهة المصداقية وهو غير جائز على ما أوضحناه سابقاً، وأمّا التمسك بالاستصحاب فإنْ بنينا على عدم جريانه في الأحكام الكلية المشكوك حدوثها في الشريعة فلا ريب في عدم جريانه في المقام، وأمّا إذا بنينا على جريانه فيها فلا يمكن التمسك به لإثبات عدم الحجّية في مورد الشك أيضاً، لا لأنّ العقل يحكم بعدم الحجية في ظرف الشكّ فلا يكون فائدة في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ينسب ذلك إلى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حكم العقل بذلك إنَّما هو في مرتبة متأخرة عن الحكم الشرعي، وحكم الشرع بعدم الحجية يكون رافعاً لموضوع حكم العقل، فكيف يمكن أنْ يكون الحكم العقلي مانعاً عن الحكم الشرعي؟ بل لأنّ الحجية وإنْ كانت من الأحكام الشرعية إلّا أنّ مفاد الاستصحاب لكونه جرياً عملياً على طبق اليقين السابق يحتاج إلى أثر عملي في مورده حتى يمكن الجري على طبقه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2991948_2870459653"/>
      <w:bookmarkStart w:id="445" w:name="_Toc170"/>
      <w:bookmarkEnd w:id="444"/>
      <w:r>
        <w:rPr/>
        <w:t>12</w:t>
      </w:r>
      <w:r>
        <w:rPr>
          <w:rtl w:val="true"/>
        </w:rPr>
        <w:t xml:space="preserve">- </w:t>
      </w:r>
      <w:r>
        <w:rPr>
          <w:rtl w:val="true"/>
        </w:rPr>
        <w:t>حجّيّة خبر الواحد</w:t>
      </w:r>
      <w:r>
        <w:rPr>
          <w:rtl w:val="true"/>
        </w:rPr>
        <w:t>..</w:t>
      </w:r>
      <w:bookmarkEnd w:id="4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حجّية خبر الواحد من أهم المسائل الأصولية؛ لأنّ غالب الأحكام الشرعية الفقهية أحكام نظرية تحتاج إلى استنباط، والاستنباط في جميع أبواب الفقه منوط بهذه المسألة، وعملية الاستنباط والاجتهاد في المسائل الفقهية من أخبار الآحاد تتوقف على حجية الأخبار سنداً ودلالة وجهة، والأمران الأخيران ثابتان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فباعتبار حجّية الظواهر كقاعدة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فباعتبار نكتة عامة وهي أنَّ كل كلام صادر عن متكلم مختار ظاهر في أنّه لبيان مراده الواقعي عن جدٍّ، وحمله على أنّه صدر عنه تقية بحاجة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الأوَّل فالمعروف تماميته، وحجية خبر الواحد أيضاً لأدلة </w:t>
      </w:r>
    </w:p>
    <w:p>
      <w:pPr>
        <w:pStyle w:val="BookText"/>
        <w:rPr/>
      </w:pPr>
      <w:r>
        <w:rPr>
          <w:rFonts w:ascii="Amiri" w:hAnsi="Amiri" w:eastAsia="Amiri" w:cs="Amiri"/>
          <w:color w:val="111111"/>
          <w:sz w:val="28"/>
          <w:sz w:val="28"/>
          <w:szCs w:val="28"/>
          <w:rtl w:val="true"/>
          <w:lang w:bidi="ar-SA"/>
        </w:rPr>
        <w:t>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استدل به على عدم الحجية هو الآيات الناهية عن العمل بالظنّ وما وراء العلم كقولة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وحيث إنّ خبر الثقة لا يفيد إلّا الظن يكون العمل به مردوعاً عنه بمقتضى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أجاب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السيرة العقلائية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بخبر الثقة ليس من باب كونه ظنّاً؛ لعدم الالتفات إلى مخالفته للواقع، فيكون خارجاً تخصّصاً عن موضوع الآيات، ولا أقلّ من كونها حاكمة عليها ؛ إذ بعد جريانها على التمسك بالخبر يكون حجّة، ومعنى الحجية هو العلمية، وبجعله علماً يخرج عن موضوع الآيات الناهية عن اتباع الظن، وبما أنَّ خروج الخبر عن موضوع الآيات تعبدي لا حقيقي فتكون حاكمةً عليها؛ فإنّ الدليل الذي يوسّع أو يضيق تعبداً موضوع دليل آخر يكون حاكماً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الآيات فلأنّ مساقها حرمة العمل بالظن في باب العقائد وأصول الدين، وعلى فرض تسليم عمومها لمطلق الأحكام الشرعية فغايته أنْ تكون دلالتها على المنع عن الظن الحاصل من الخبر الواحد بالعموم، فلا بُدّ من تخصيصه بما سيأتي من </w:t>
      </w:r>
    </w:p>
    <w:p>
      <w:pPr>
        <w:pStyle w:val="BookText"/>
        <w:rPr/>
      </w:pPr>
      <w:r>
        <w:rPr>
          <w:rFonts w:ascii="Amiri" w:hAnsi="Amiri" w:eastAsia="Amiri" w:cs="Amiri"/>
          <w:color w:val="111111"/>
          <w:sz w:val="28"/>
          <w:sz w:val="28"/>
          <w:szCs w:val="28"/>
          <w:rtl w:val="true"/>
          <w:lang w:bidi="ar-SA"/>
        </w:rPr>
        <w:t>الأدلة الدالة على جواز العمل بخبر الواحد، بل نسبة تلك الأدلّة إلى الآيات ليست نسبة التخصيص بل نسبة الحكومة، فإنّ تلك الأدلة تقتضي إلقاء احتمال الخلاف وجعل الخبر محرزاً للواقع، فيكون حاله حال العلم في عالم التشريع، فلا يمكن أنْ تعمّه الأدلّة الناهية عن العمل بالظن لنحتاج إلى التخصيص،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الآيات الناهية آبية عن التخصيص، هذا في غير السيرة العقلائية القائمة على العمل بالخبر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السيرة العقلائية فيمكن بوجه أنْ تكون نسبتها إلى الآيات الناهية نسبة الورود بل التخصص، لأنّ عمل العقلاء بخبر الثقة ليس من العمل بالظن، لعدم التفاتهم إلى احتمال مخالفة الخبر للواقع، فالعمل بخبر الثقة خارج بالتخصيص عن العمل بالظن، فلا تصلح الآيات الناهية عن العمل به لأنْ تكون رادعة عن السيرة العقلائية القائمة على 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منعت عن ذلك كله، فلا أقلّ من أن يكون حال السيرة حال سائر الأدلة الدالة على حجية الخبر الواحد من كونها حاكمة على الآيات الناهية، والمحكوم لا يصلح لأن يكون رادعا عن الحاكم، كما لا يخفى</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 العمل بخبر الواحد؛ لأنّه داخل تحت عموم الآيات الناهية عن العمل بالظنّ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الآيات الشريفة إرشاد إلى حكم العقل بوجوب تحصيل العلم بالمؤمّن من العقاب وعدم جواز الاكتفاء بالظن به، بملاك وجوب دفع الضرر المحتمل إنْ كان أُخروياً، فلا دلالة لها على عدم حجّية الخبر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 أنّ مفادها الحكم المولوي، وهو حرمة العمل بالظن، كانت أدلة حجّية الخبر حاكمة على تلك الآيات، فإنّ مفادها جعل الخبر طريقاً بتتميم الكشف، فيكون خبر الثقة علماً بالتعبد الشرعي، ويكون خارجاً عن الآيات </w:t>
      </w:r>
      <w:bookmarkStart w:id="446" w:name="pg9131_75996"/>
    </w:p>
    <w:p>
      <w:pPr>
        <w:pStyle w:val="BookText"/>
        <w:rPr/>
      </w:pPr>
      <w:bookmarkEnd w:id="446"/>
      <w:r>
        <w:rPr>
          <w:rFonts w:ascii="Amiri" w:hAnsi="Amiri" w:eastAsia="Amiri" w:cs="Amiri"/>
          <w:color w:val="111111"/>
          <w:sz w:val="28"/>
          <w:sz w:val="28"/>
          <w:szCs w:val="28"/>
          <w:rtl w:val="true"/>
          <w:lang w:bidi="ar-SA"/>
        </w:rPr>
        <w:t>الناهية عن العمل بغير العلم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المجعول في باب الطرق والأمارات هي الطريقية كما هو الصحيح، وقد تقدّم الكلام فيه في الجمع بين الحكم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أنّ المجعول هو الحكم الظاهري مطابقاً لمؤدى الأمارة، وأنّ الشارع لم يعتبر الأمارة علماً، فتكون أدلة حجّية خبر الثقة مخصصة للآيات الناهية عن العمل بغير العلم، فإنّ النسبة بينها وبين الآيات هي العموم المطلق؛ إذ مفاد الآيات عدم حجّية غير العلم من خبر الثقة وغيره في أُصول الدين وفروعه، فتكون أدلة حجّية خبر الثقة أخص منها، وبالجملة أدلة حجّية خبر الثقة متقدمة على الآيات الشريفة إمّا بالحكومة أو بالتخصيص</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2991950_2870459653"/>
      <w:bookmarkStart w:id="448" w:name="_Toc171"/>
      <w:bookmarkEnd w:id="447"/>
      <w:r>
        <w:rPr/>
        <w:t>13</w:t>
      </w:r>
      <w:r>
        <w:rPr>
          <w:rtl w:val="true"/>
        </w:rPr>
        <w:t xml:space="preserve">- </w:t>
      </w:r>
      <w:r>
        <w:rPr>
          <w:rtl w:val="true"/>
        </w:rPr>
        <w:t>حجية الخبر مع الواسطة</w:t>
      </w:r>
      <w:r>
        <w:rPr>
          <w:rtl w:val="true"/>
        </w:rPr>
        <w:t>..</w:t>
      </w:r>
      <w:bookmarkEnd w:id="448"/>
    </w:p>
    <w:p>
      <w:pPr>
        <w:pStyle w:val="BookText"/>
        <w:rPr/>
      </w:pPr>
      <w:r>
        <w:rPr>
          <w:rFonts w:ascii="IRNazanin" w:hAnsi="IRNazanin" w:eastAsia="IRNazanin"/>
          <w:color w:val="111111"/>
          <w:sz w:val="28"/>
          <w:sz w:val="28"/>
          <w:szCs w:val="28"/>
          <w:rtl w:val="true"/>
          <w:lang w:bidi="fa-IR"/>
        </w:rPr>
        <w:t>المراد من الخبر مع الواسطة هو الخبر الواصل الينا بواسطتين أو ثلاث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أنَّ أدلة حجية أخبار الآحاد تدلّ على حجية الخبر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الواصل إلينا بواسطة واحدة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لو كنّا معاصرين لزرارة وأخبرنا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قراءة السورة بعد الحمد في الصلاة الواجبة، فهو خبر ثقة ثابت بالوجدان وإخباره عن حس والمخبر به له أثر شرعي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للحجية،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به وإلّا إذا لم يكن لمضمون الخبر أثر شرعي فثبوت وجوب التصديق له يكون لغواً وبلا معنى، أي يلزم منه محذور اللغوية، فلو أخبر شخص بأنّ الجو شديد الحرارة فهنا لا يمكن أنْ يحكم عليه الشارع بالحجية لعدم الأثر الشرعي لحرارة الجو</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الخبر مع الواسطة فقد ذُكر إشكالان على ثبوت الحجية له تعرض إليهما الأصوليون، وهما يعمّان جميع أدلّة حجية الخبر ولا يختصّان بآية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الأول هو اتّحاد الحكم مع الموضوع،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بالأدلة أنّ خبر الثقة حجّة بمعنى الحكم بوجوب تصديقه، وهذا الحكم يوجب التصديق، وموضوعه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خبر مع وجود أثر شرعي لذلك الخبر، كما لو أخبر الشيخ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نسأل ما هو الأثر الشرعي لخبر المفيد؟ أنّه لا أثر شرعي له سوى وجوب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خبر الشيخ وإنْ كان ثابتاً لنا بالوجدان ولكن لا أثر شرعي له سوى أنّ المفيد أخبرني، وخبر المفيد ليس له أثر شرعي إلّا الحجية لأنّه عادل، فإذاً خبر الشيخ فاقد لشرطية الأثر الشرعي، فيلزم اتّحاد الحكم مع موضوعه حيث إنّ الحكم هو وجوب التصديق،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وجوب التصديق</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الإشكال لا يختصّ بخبر الشيخ بل يجري في جميع سلسلة الرواة ابتداءً من الشيخ عدا الأخير الذي ينقل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مضمون خبره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حكماً شرعياً كوجوب السورة فلا اتّحاد، حيث إنّ الحكم هو وجوب التصديق بينما الأثر الشرعي هو وجوب السورة وهو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Amiri" w:hAnsi="Amiri" w:eastAsia="Amiri" w:cs="Amiri"/>
          <w:color w:val="111111"/>
          <w:sz w:val="28"/>
          <w:sz w:val="28"/>
          <w:szCs w:val="28"/>
          <w:rtl w:val="true"/>
          <w:lang w:bidi="ar-SA"/>
        </w:rPr>
        <w:t>يوجد أثر شرعي لخبر الشيخ، وهذا الأثر الشرعي هو الحجية التي تثبت لخبر المفيد بواسطة ثبوتها لخبر الشيخ، فخبر الشيخ إذاً ذو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اشتمال الخبر على الأثر الشرعي شرط في ثبوت الحجية له، أي لا بدّ أولاً ومسبقاً أنْ يكون الخبر واجداً للأثر الشرعي قبل ثبوت الحجية له، وأمّا إذا كانت الحجية هي نفسها الأثر الشرعي المصحح لثبوت الحجية للخبر لزم محذور الاتّحاد، فإذاً الأثر الشرعي يجب أنْ لا يكون هو الحجية وإلّا كان خبر الشيخ فاقداً لشرط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المجعول في باب الأمارات هو الطريقية والكاشفية والعلم التعبدي، فالشارع جعل خبر الثقة علماً، فإذا أخبر الشيخ عن المفيد فمعنى حجية خبر الشيخ أنّه علم بخبر المفيد، فشمول دليل الحجية لخبر الشيخ لا يتوقف على أنْ يكون خبر المفيد حكماً شرعياً في نفسه أو موضوعاً لحكم شرعي، بل يكفي أنْ يكون خبر الشيخ علماً، وإذا كان علماً فهو يفيد العلم بخبر المفيد، وهذا المقدار يكفي في شمول دليل الحجية فينطبق دليل الحجية على تمام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المجعول في الأمارات تتميم الكشف، فهذا الإشكال لا أساس له؛ لأنّ أدلّة الحجية للخبر هي تتميم ما نقص من كاشفية الأمارة، ولا نظر لها إلى مضمون الأمارة وأنّ لها أثراً شرعياً أو لا، وبالتالي لا معنى لاشتراط ثبوت الحجية للخبر باشتماله على أثر شرعي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يلزم أنْ يكون الأثر الذي بلحاظه وجب تصديق العادل نفس تصديقه، من دون أنْ يكون في البين أثر آخر كان وجوب التصديق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يتوجه بناءً على أنْ يكون المجعول في باب </w:t>
      </w:r>
    </w:p>
    <w:p>
      <w:pPr>
        <w:pStyle w:val="BookText"/>
        <w:rPr/>
      </w:pPr>
      <w:r>
        <w:rPr>
          <w:rFonts w:ascii="IRNazanin" w:hAnsi="IRNazanin" w:eastAsia="IRNazanin"/>
          <w:color w:val="111111"/>
          <w:sz w:val="28"/>
          <w:sz w:val="28"/>
          <w:szCs w:val="28"/>
          <w:rtl w:val="true"/>
          <w:lang w:bidi="fa-IR"/>
        </w:rPr>
        <w:t>الأمارات منشأ انتزاع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على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المجعول في باب الطرق والأمارات نفس الكاشفية والوسطية في الإثبات فلا إشكال حتى نحتاج إلى التفصي عنه، فإنّه لا يلزم شيء ممّا ذكر؛ لأنّ المجعول في جميع السلسلة هو الطريقية إلى ما تؤدّي إليه، أي شيء كان المؤدّى، 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إلى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إلى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إلى أنْ ينتهي إلى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في جعل الطريقية إلى أنْ يكون في نفس مؤدّى الطريق أثر شرعي، بل يكفي الانتهاء إلى الأثر ولو بألف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 الطريقية لأقوال السلسلة لمكان أنّها تنتهي إلى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جميع الأقوال واقعة في طريق إثبات الحكم الشرعي</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 حجية الخبر مع الواسطة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الإشكال ساقط من أساسه على المختار من أنّ المجعول في باب الطرق والأمارات هو الكاشفية والطريقية بتتميم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المجعول في باب الطرق هو تنزيل المؤدّى منزلة الواقع، يتوجّه الإشكال بأنّ التنزيل المذكور متوقف على أن يكون المؤدّى حكماً شرعياً أو ذا أثر شرعي، وإلاّ فلا معنى لتنزيله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المسلك المعروف من أنّ المجعول في باب الطرق والأمارات هو تنزيل المؤدّى منزلة الواقع، فيمكن الجواب عن الإشكال المذكور بوجوه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ونكتفي بهذا القدر من الثمرات التي فرّعها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مُفاد أدلّة اعتبار الأمارات رأيين،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تتكفّل بوجود جعل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مقابله أنّها لا تتكفّل بوجود أيّ 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المشهور ففي حقيقة المجعول فيها مسالك،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المماثل، وهو ظاهر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الكاشفية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رتّب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مسلكه جملة من الثمرات، اقتصرت على ذكر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شبهة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محذور تخصيص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الأمارة مقام القطع الموضوعي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إشكال التعارض بين مفهوم آية النبأ والتعليل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الأمارة في لوازمها ومثبتاتها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مؤدّيات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الأمارة على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الاستصحاب على الأصول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استصحاب على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التعبّد بالأمارات 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مع الواسطة</w:t>
      </w:r>
      <w:r>
        <w:rPr>
          <w:rFonts w:eastAsia="Amiri" w:cs="Amiri" w:ascii="Amiri" w:hAnsi="Amiri"/>
          <w:color w:val="111111"/>
          <w:sz w:val="28"/>
          <w:szCs w:val="28"/>
          <w:rtl w:val="true"/>
          <w:lang w:bidi="ar-SA"/>
        </w:rPr>
        <w:t>.</w:t>
      </w:r>
      <w:bookmarkStart w:id="449" w:name="pg9131_76002"/>
    </w:p>
    <w:p>
      <w:pPr>
        <w:pStyle w:val="Heading3"/>
        <w:numPr>
          <w:ilvl w:val="2"/>
          <w:numId w:val="1"/>
        </w:numPr>
        <w:rPr/>
      </w:pPr>
      <w:bookmarkStart w:id="450" w:name="__RefHeading___Toc2991952_2870459653"/>
      <w:bookmarkStart w:id="451" w:name="_Toc172"/>
      <w:bookmarkEnd w:id="449"/>
      <w:bookmarkEnd w:id="450"/>
      <w:r>
        <w:rPr>
          <w:rtl w:val="true"/>
        </w:rPr>
        <w:t>المصادر</w:t>
      </w:r>
      <w:bookmarkEnd w:id="45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اعتُمدت طبعتان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معارف الفقه الإسلامي،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الوصول في شرح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آل الشيخ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طبعه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الحكيم الموسوي البكاء،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آل الشيخ راضي،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ضياء الدين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كاظم الخراساني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إفادات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العروج،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العظمى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الواعظ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الرازي،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الحسن الشعراني،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452" w:name="pg9131_76005"/>
    </w:p>
    <w:p>
      <w:pPr>
        <w:pStyle w:val="Heading2"/>
        <w:numPr>
          <w:ilvl w:val="1"/>
          <w:numId w:val="1"/>
        </w:numPr>
        <w:rPr/>
      </w:pPr>
      <w:bookmarkStart w:id="453" w:name="__RefHeading___Toc2991954_2870459653"/>
      <w:bookmarkStart w:id="454" w:name="_Toc173"/>
      <w:bookmarkEnd w:id="452"/>
      <w:bookmarkEnd w:id="453"/>
      <w:r>
        <w:rPr>
          <w:rtl w:val="true"/>
        </w:rPr>
        <w:t xml:space="preserve">تحقيق حال جابربن یزید الجعفي </w:t>
      </w:r>
      <w:r>
        <w:rPr>
          <w:rtl w:val="true"/>
        </w:rPr>
        <w:t>(</w:t>
      </w:r>
      <w:r>
        <w:rPr>
          <w:rtl w:val="true"/>
        </w:rPr>
        <w:t>الحلقة الرابعة</w:t>
      </w:r>
      <w:r>
        <w:rPr>
          <w:rtl w:val="true"/>
        </w:rPr>
        <w:t xml:space="preserve">) - </w:t>
      </w:r>
      <w:r>
        <w:rPr>
          <w:rtl w:val="true"/>
        </w:rPr>
        <w:t xml:space="preserve">الشيخ محمد الجعفري </w:t>
      </w:r>
      <w:r>
        <w:rPr>
          <w:rtl w:val="true"/>
        </w:rPr>
        <w:t>(</w:t>
      </w:r>
      <w:r>
        <w:rPr>
          <w:rtl w:val="true"/>
        </w:rPr>
        <w:t>دام عزه</w:t>
      </w:r>
      <w:r>
        <w:rPr>
          <w:rtl w:val="true"/>
        </w:rPr>
        <w:t>)</w:t>
      </w:r>
      <w:bookmarkEnd w:id="454"/>
    </w:p>
    <w:p>
      <w:pPr>
        <w:pStyle w:val="Heading3"/>
        <w:numPr>
          <w:ilvl w:val="2"/>
          <w:numId w:val="1"/>
        </w:numPr>
        <w:rPr/>
      </w:pPr>
      <w:bookmarkStart w:id="455" w:name="__RefHeading___Toc2991956_2870459653"/>
      <w:bookmarkStart w:id="456" w:name="_Toc174"/>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جابر بن يزيد الجعفي شخصية أخذت حيّزاً واسعاً في كلمات علماء الفريقين وقد تضاربت الآراء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موثِّق ومضعِّف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بروزه كمحدِّث تتلمذ عند علماء العامّة في الكوفة وغيرها حتّى انقطاعه إلى الإمامين الهمامين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إلى طبقة تلامذته ومن بعدهم إلى هذه الأعصار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يتناول البحث في هذه الحلقة كلمات علماء الفريقين لنرى ما إذا كان الجرح يصمد أمام البحث العلمي أم لا؟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9131_76007"/>
      <w:bookmarkStart w:id="458" w:name="pg9131_76007"/>
      <w:bookmarkEnd w:id="458"/>
    </w:p>
    <w:p>
      <w:pPr>
        <w:pStyle w:val="BookText"/>
        <w:rPr/>
      </w:pPr>
      <w:bookmarkStart w:id="459" w:name="pg9131_76007"/>
      <w:bookmarkEnd w:id="45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هذه هي الحلقة الرابعة من بحث تحقيق حال التابعي المشهور جابر بن يزيد الجعفي، وقد تناول البحث في الحلقتين الأوليين جهات تتعلق بشخصية هذا الرّجل من مختلف نواحي حياته، وتناولت الحلقة الثّالثة علوم جابر وكتبه، ووصل البحث إلى</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991958_2870459653"/>
      <w:bookmarkStart w:id="461" w:name="_Toc175"/>
      <w:bookmarkEnd w:id="460"/>
      <w:r>
        <w:rPr>
          <w:rtl w:val="true"/>
        </w:rPr>
        <w:t>المقام الثّالث</w:t>
      </w:r>
      <w:r>
        <w:rPr>
          <w:rtl w:val="true"/>
        </w:rPr>
        <w:t xml:space="preserve">: </w:t>
      </w:r>
      <w:r>
        <w:rPr>
          <w:rtl w:val="true"/>
        </w:rPr>
        <w:t>وثاقة جابر عند الفريقين</w:t>
      </w:r>
      <w:bookmarkEnd w:id="461"/>
    </w:p>
    <w:p>
      <w:pPr>
        <w:pStyle w:val="Heading4"/>
        <w:numPr>
          <w:ilvl w:val="3"/>
          <w:numId w:val="1"/>
        </w:numPr>
        <w:rPr/>
      </w:pPr>
      <w:bookmarkStart w:id="462" w:name="__RefHeading___Toc2991960_2870459653"/>
      <w:bookmarkStart w:id="463" w:name="_Toc176"/>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وفي مقام تفصيل الكلام في ما قيل في وثاقة جابر الجعفي سوف نتعرض لحال الرّجل عندنا، ثُمّ نتعرض لحاله عند الجمهور</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991962_2870459653"/>
      <w:bookmarkStart w:id="465" w:name="_Toc177"/>
      <w:bookmarkEnd w:id="464"/>
      <w:r>
        <w:rPr>
          <w:rtl w:val="true"/>
        </w:rPr>
        <w:t>حال الرّجل عند الخاصّة</w:t>
      </w:r>
      <w:bookmarkEnd w:id="465"/>
    </w:p>
    <w:p>
      <w:pPr>
        <w:pStyle w:val="Heading5"/>
        <w:numPr>
          <w:ilvl w:val="4"/>
          <w:numId w:val="1"/>
        </w:numPr>
        <w:rPr/>
      </w:pPr>
      <w:bookmarkStart w:id="466" w:name="__RefHeading___Toc2991964_2870459653"/>
      <w:bookmarkStart w:id="467" w:name="_Toc178"/>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ولتوثيق جابر بن يزيد الجعفي عندنا طرق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حقّه من المدح عن طريق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كلمات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روايات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العامة له، فإنّ هذا التوثيق يمكن أن يكون دليلاً لدى الخاصة على وثاقة الرّجل إذا كان شيعياً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ذلك عند التطرق لحال الرّجل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يقع في الطّرق الثّلاثة الأولى</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2991966_2870459653"/>
      <w:bookmarkStart w:id="469" w:name="_Toc179"/>
      <w:bookmarkEnd w:id="468"/>
      <w:r>
        <w:rPr>
          <w:rtl w:val="true"/>
        </w:rPr>
        <w:t>الطّريق الأوَّل</w:t>
      </w:r>
      <w:r>
        <w:rPr>
          <w:rtl w:val="true"/>
        </w:rPr>
        <w:t xml:space="preserve">: </w:t>
      </w:r>
      <w:r>
        <w:rPr>
          <w:rtl w:val="true"/>
        </w:rPr>
        <w:t xml:space="preserve">ما ورد في حقّه من المدح عن طريق أئمة أهل البيت </w:t>
      </w:r>
      <w:r>
        <w:rPr>
          <w:rtl w:val="true"/>
        </w:rPr>
        <w:t>(</w:t>
      </w:r>
      <w:r>
        <w:rPr>
          <w:rtl w:val="true"/>
        </w:rPr>
        <w:t>علیهم السلام</w:t>
      </w:r>
      <w:r>
        <w:rPr>
          <w:rtl w:val="true"/>
        </w:rPr>
        <w:t>)</w:t>
      </w:r>
      <w:bookmarkEnd w:id="469"/>
    </w:p>
    <w:p>
      <w:pPr>
        <w:pStyle w:val="Heading6"/>
        <w:numPr>
          <w:ilvl w:val="5"/>
          <w:numId w:val="1"/>
        </w:numPr>
        <w:rPr/>
      </w:pPr>
      <w:bookmarkStart w:id="470" w:name="__RefHeading___Toc2991968_2870459653"/>
      <w:bookmarkStart w:id="471" w:name="_Toc180"/>
      <w:bookmarkEnd w:id="470"/>
      <w:r>
        <w:rPr>
          <w:rtl w:val="true"/>
        </w:rPr>
        <w:t>اشارة</w:t>
      </w:r>
      <w:bookmarkEnd w:id="47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حول الرجل الدالة على وثاقته وجلالته، وهي على </w:t>
      </w:r>
      <w:bookmarkStart w:id="472" w:name="pg9131_76008"/>
    </w:p>
    <w:p>
      <w:pPr>
        <w:pStyle w:val="BookText"/>
        <w:rPr/>
      </w:pPr>
      <w:bookmarkEnd w:id="472"/>
      <w:r>
        <w:rPr>
          <w:rFonts w:ascii="Amiri" w:hAnsi="Amiri" w:eastAsia="Amiri" w:cs="Amiri"/>
          <w:color w:val="111111"/>
          <w:sz w:val="28"/>
          <w:sz w:val="28"/>
          <w:szCs w:val="28"/>
          <w:rtl w:val="true"/>
          <w:lang w:bidi="ar-SA"/>
        </w:rPr>
        <w:t>طائفتين</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2991970_2870459653"/>
      <w:bookmarkStart w:id="474" w:name="_Toc181"/>
      <w:bookmarkEnd w:id="473"/>
      <w:r>
        <w:rPr>
          <w:rtl w:val="true"/>
        </w:rPr>
        <w:t>الطّائفة الأولى</w:t>
      </w:r>
      <w:bookmarkEnd w:id="474"/>
    </w:p>
    <w:p>
      <w:pPr>
        <w:pStyle w:val="BookText"/>
        <w:rPr/>
      </w:pPr>
      <w:r>
        <w:rPr>
          <w:rFonts w:ascii="IRNazanin" w:hAnsi="IRNazanin" w:eastAsia="IRNazanin"/>
          <w:color w:val="111111"/>
          <w:sz w:val="28"/>
          <w:sz w:val="28"/>
          <w:szCs w:val="28"/>
          <w:rtl w:val="true"/>
          <w:lang w:bidi="fa-IR"/>
        </w:rPr>
        <w:t xml:space="preserve">الأخبار التي تدل على عناية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بالرجل، وقد فصّلناها في الحلقة الثّانية في الجهة الثّامنة عشرة والتي تمثّلت بعدة مظاهر، من مخاطبته باسمه، وشكاية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له، وتعليمه أموراً خاصة، والعناية بالتحفظ على حياته من السلطة الحاكمة، ودعائه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بالإضافة إلى أمور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كله يكشف جليل منزلة جابر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من خواصه وموضع ثقته وعنايته</w:t>
      </w:r>
      <w:r>
        <w:rPr>
          <w:rFonts w:eastAsia="IRNazanin" w:cs="IRNazanin"/>
          <w:color w:val="111111"/>
          <w:sz w:val="28"/>
          <w:szCs w:val="28"/>
          <w:rtl w:val="true"/>
          <w:lang w:bidi="fa-IR"/>
        </w:rPr>
        <w:t>.</w:t>
      </w:r>
    </w:p>
    <w:p>
      <w:pPr>
        <w:pStyle w:val="Heading6"/>
        <w:numPr>
          <w:ilvl w:val="5"/>
          <w:numId w:val="1"/>
        </w:numPr>
        <w:rPr/>
      </w:pPr>
      <w:bookmarkStart w:id="475" w:name="__RefHeading___Toc2991972_2870459653"/>
      <w:bookmarkStart w:id="476" w:name="_Toc182"/>
      <w:bookmarkEnd w:id="475"/>
      <w:r>
        <w:rPr>
          <w:rtl w:val="true"/>
        </w:rPr>
        <w:t>الطّائفة الأخرى</w:t>
      </w:r>
      <w:bookmarkEnd w:id="476"/>
    </w:p>
    <w:p>
      <w:pPr>
        <w:pStyle w:val="BookText"/>
        <w:rPr/>
      </w:pPr>
      <w:r>
        <w:rPr>
          <w:rFonts w:ascii="Amiri" w:hAnsi="Amiri" w:eastAsia="Amiri" w:cs="Amiri"/>
          <w:color w:val="111111"/>
          <w:sz w:val="28"/>
          <w:sz w:val="28"/>
          <w:szCs w:val="28"/>
          <w:rtl w:val="true"/>
          <w:lang w:bidi="ar-SA"/>
        </w:rPr>
        <w:t>الأخبار الموثقة والمادحة للرجل؛ فإنّ بعضها معتبر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ترجع إلى روايات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زياد بن أبي الحلال، وقد رويت بعدة طرق فيها أكثر من طريق معتبر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في بصائره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Style w:val="FootnoteAnchor"/>
          <w:rtl w:val="true"/>
        </w:rPr>
        <w:footnoteReference w:id="427"/>
      </w:r>
      <w:r>
        <w:rPr>
          <w:rFonts w:ascii="IRNazanin" w:hAnsi="IRNazanin" w:eastAsia="IRNazanin"/>
          <w:color w:val="111111"/>
          <w:sz w:val="28"/>
          <w:sz w:val="28"/>
          <w:szCs w:val="28"/>
          <w:rtl w:val="true"/>
          <w:lang w:bidi="fa-IR"/>
        </w:rPr>
        <w:t>، عن علي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جابر بن يزيد وأحاديثه وأعاجيبه،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عنه، فابتدأني من غير أن أسأله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جابر بن يزيد الجعفي كان يصدق علينا، ولعن الله المغيرة بن سعيد</w:t>
      </w:r>
      <w:r>
        <w:rPr>
          <w:rStyle w:val="FootnoteAnchor"/>
          <w:rtl w:val="true"/>
        </w:rPr>
        <w:footnoteReference w:id="428"/>
      </w:r>
      <w:r>
        <w:rPr>
          <w:rFonts w:ascii="Amiri" w:hAnsi="Amiri" w:eastAsia="Amiri" w:cs="Amiri"/>
          <w:color w:val="111111"/>
          <w:sz w:val="28"/>
          <w:sz w:val="28"/>
          <w:szCs w:val="28"/>
          <w:rtl w:val="true"/>
          <w:lang w:bidi="ar-SA"/>
        </w:rPr>
        <w:t>كان يكذب علينا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ورواها مرة أخرى ولكن بطريق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بابن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بتفصيل أكثر،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عن الحسين بن سعيد، عن محمَّد بن سنان، 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سمعت من جابر أحاديث فاضطرب فيها فؤادي وضقت فيها ضيقاً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المستراح لقريب وإنَّي عليه لقوي فابتعت بعيراً وخرجت عليه إلى المدينة وطلبت الإذن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فلما نظر إلي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جابراً كان يصدق علينا، ولعن الله المغيرة فإنَّه كان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فينا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الكشي بطريق معتبر أيضاً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حمدويه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الحكم، 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في أحاديث جابر الجعفي،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 الجعفي</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الإمامة الروايتين المتقدمتين في البصائر عن أحمد بن محمَّد أيضاً مع اختلاف يسير باللفظ قد يكون ناشئاً عن اختلاف النسخ أو إبهام الكتابة،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منه أحاديث اضطربت منها وضعفت نفسي ضعفاً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السراج لقريب، وإنّي عليه لقادر، فابتعت قلوصاً</w:t>
      </w:r>
      <w:r>
        <w:rPr>
          <w:rStyle w:val="FootnoteAnchor"/>
          <w:rtl w:val="true"/>
        </w:rPr>
        <w:footnoteReference w:id="432"/>
      </w:r>
      <w:r>
        <w:rPr>
          <w:rFonts w:ascii="IRNazanin" w:hAnsi="IRNazanin" w:eastAsia="IRNazanin"/>
          <w:color w:val="111111"/>
          <w:sz w:val="28"/>
          <w:sz w:val="28"/>
          <w:szCs w:val="28"/>
          <w:rtl w:val="true"/>
          <w:lang w:bidi="fa-IR"/>
        </w:rPr>
        <w:t xml:space="preserve">وخرجت عليه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وصلت طلبت الإذن</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مرسل؛ لأنّ ابن جرير هذا من كبار الطبقة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الشيخ الطوسي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روايته عن مثل أبي المفضّل الشيباني الذي سمع منه النجاشي كثيراً، ولكنّه لم يروِ عنه لتضعيف جلّ الأصحاب له</w:t>
      </w:r>
      <w:r>
        <w:rPr>
          <w:rStyle w:val="FootnoteAnchor"/>
          <w:rtl w:val="true"/>
        </w:rPr>
        <w:footnoteReference w:id="434"/>
      </w:r>
      <w:r>
        <w:rPr>
          <w:rFonts w:ascii="Amiri" w:hAnsi="Amiri" w:eastAsia="Amiri" w:cs="Amiri"/>
          <w:color w:val="111111"/>
          <w:sz w:val="28"/>
          <w:sz w:val="28"/>
          <w:szCs w:val="28"/>
          <w:rtl w:val="true"/>
          <w:lang w:bidi="ar-SA"/>
        </w:rPr>
        <w:t xml:space="preserve">، وأبي محمَّد هارون بن موسى التلعكبري وكانت وفاة هارون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لا يستطيع أن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الذي هو من الطبقة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الاختصاص المنسوب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ويحتمل أن يكون جعفر بن الحسين بن حسكة القمي من مشايخ الشيخ الطوسي، لكنّه ضعيف؛ لاستبعاد روايته عن محمَّد بن الحسن بن الوليد من غير واسطة، إلا أن يكون معمّراً مثل ابن أبي جيد الذي روى عنه الشيخ عن ابن الوليد،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يناسب الأوَّل كون الكتاب للمفيد،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محمَّد ابن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الحكم، عن زياد بن أبي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تقدير كون الكتاب للمفيد فإنّ في روايته عن جعفر بن الحسين شائبة </w:t>
      </w:r>
    </w:p>
    <w:p>
      <w:pPr>
        <w:pStyle w:val="BookText"/>
        <w:rPr/>
      </w:pPr>
      <w:r>
        <w:rPr>
          <w:rFonts w:ascii="IRNazanin" w:hAnsi="IRNazanin" w:eastAsia="IRNazanin"/>
          <w:color w:val="111111"/>
          <w:sz w:val="28"/>
          <w:sz w:val="28"/>
          <w:szCs w:val="28"/>
          <w:rtl w:val="true"/>
          <w:lang w:bidi="fa-IR"/>
        </w:rPr>
        <w:t>إرسال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ظهرت تمامية بعض أسانيد الرواية من خلال أحد طريقي الصفّار وطريق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فإنّها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يصدق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يدل على وثاقة الرجل، وقد جاء السؤال والجواب بمناسبة اختلاف أصحابنا في شأن الوثوق برواياته وتردد السّائل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ما تضمّنه ترحم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فإنَّ هذا الدعاء لا يدعو به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لشخص جليل، أو لا أقلّ ممدوح، كما تدل عليه متابعة استعمال هذه الجملة في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المعتبر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يجهر فيه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أباك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الخمس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أبي إنَّ أصحاب أبي أتوه فسألوه فأخبرهم بالحق، ثُمّ أتوني شكّاكاً فأفتيتهم بالتقية</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ويلاحظ أيضاً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يفصل به بين دعوى المحق والمبطل في أمر الإمامة، و</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اللواط،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مقامات الشيعة وفضائلهم وبشارتهم بخير المآل، 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يلاحظ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الأخوات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أخي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جعفراً ما كان ما أحسن ما يؤدب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المشيخة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الفضيل بن يسار هو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يلاحظ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قس بن 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تصحيح اعتقادات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ابن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 نضرة وسروراً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يلاحظ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 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الكهف ح</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أخي ذا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واختيار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الأرض بسبعة بهم ترزقون وبهم تنصرون وبهم تمطرون، منهم سلمان الفارسي والمقداد وأبو ذر وعمار وحذيفة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 فمحمَّد بن أبي بكر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زيد بن صوحان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ميثماً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بكيراً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الفضيل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وجدت أحداً يطيعني ويأخذ بقولي إلّا رجلاً واحداً رحمه الله عبد الله بن أبي يعفور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ابن الحكم؟ قال،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كان عبداً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أما والله لقد أوجع قلبي موت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يونس، رحم الله يونس، رحم الله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تريد مولى بني يقطين؟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فإنّه كان على ما 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يونس؟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آل يقطين؟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كان عبداً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إسماعيل بن الخطاب بما أوصى به إلى صفوان بن يحيى، ورحم صفوان فإنَّهما من حزب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محمَّد بن أبي بكر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أماليه بإسناده عن ثابت بن أبي صفية</w:t>
      </w:r>
      <w:r>
        <w:rPr>
          <w:rStyle w:val="FootnoteAnchor"/>
          <w:rtl w:val="true"/>
        </w:rPr>
        <w:footnoteReference w:id="438"/>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يستشهد على أنَّ ترحم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لشخص جليل ما رواه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أحمد بن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الإمام العسكري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عمّن وقف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أتولاهم أم أتبرأ منهم؟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تترحم على عمّك، لا رحم الله عمّك، وتبرأ منه، أنا إلى الله منهم بريء فلا تتولاهم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فنرى في هذه الرواية شدة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الواقفة، وأمره بأن لا يترحم على عمّه، ولو كان الترحم يصح لمن معه خلّة وصداقة أو كان له عليه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بعدم الترحم عليه، بل أضاف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 الله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خصوصية في الواقفة؛ لأنّها ضلالة في المذهب، فليست بمثابة عدم كون الرجل صادقاً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الترحم لا يفيد المدح؛ لإطلاقه في حقّ مَنْ لم يكن من الصالحين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ويمكن أن يستشهد لذلك أيضاً بما ورد في حقّ 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وهي روايات كلّها ضعيفة، مع وجود روايات معتبرة ذامّة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يلاحظ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ما ورد في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ورد الترحم على شخصيات جدلية كالمختار بن عبيد الثقفي كما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هذه الموارد موكول إلى محل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الترحم ظاهر في مدح المترحم عليه، وليس نصّاً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وروده أحياناً على مَن ليس ممدوحاً لغاية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بقرينة متصلة تمنع من هذا الظهور، أو بقرينة منفصلة توجب رفع اليد عن الحجّيّة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القرينة المتصلة ما ذكره المحقّق التستري نقلاً عن النجاشي في شأن أحمد ابن محمَّد الجوهري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وكان صديقاً لي ولوالدي، وسمعت منه شيئاً كثيراً، ورأيت شيوخنا يضعفونه، فلم أروِ عنه شيئاً وتجنبته، وكان من أهل العلم والأدب القوي وطيب الشعر وحسن الخط، رحمه الله وسامحه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ترحم عليه بعد ذكر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قرن الترحم بالدعاء له بالمسامحة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أمثلة القرينة المنفصلة ما رواه الكليني بإسناده المعتبر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المعلى بن خنيس، فظننت أنَّه شبّه قيامي بن يديه بقيام المعلى بين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للدنيا، أفٍّ للدنيا، إنَّما الدنيا دار بلاء يسلّط الله فيها عدوه على وليه وإنَّ بعدها داراً ليست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وأين تلك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وأشار بيده إلى الأرض</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من قيام الحجّة على ضعفه من جهة بعض الروايات الذامّة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نهوض معتبرة زياد بن أبي الحلال على وثاقة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ذريح المحاربي، وقد رواها الكشي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جبريل بن أحمد، حدّثني محمَّد بن عيسى، عن عبد الله بن جبلة الكناني،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وما روى؟ فلم يجبني،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بجمعٍ فلم يجبني فسألته الثالثة؟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ذريح دع ذكر جابر فإنَّ السَّفِلَة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الظاهر أنّ المراد به ليس هؤلاء على وجه الحقيقة، بل المقصود تنزيل أهل الإذاعة والتشنيع لمثل ذلك بالسفلة حيث لا أوكية على أفواههم، كما ورد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سمعوا بأحاديثه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شنّعوا،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أذاعوا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أيضاً ورد في السؤال عن وثاقة جابر واعتبار أحاديثه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والملحوظ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يقدح فيه بل خشي من التشنيع والإذاعة من قبل السَّفِلَة، وفي ذلك إقرار ضمني بصحة أحاديثه، بل نحو مدح له بتحمّله من الأحاديث ما لا يتحمّله كثير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الكشي هذه الرواية في موضع آخر عن محمَّد بن سنان مع تفصيل وزيادة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محمَّد بن سنان، عن عبد الله بن جبلة الكناني، عن ذريح المحاربي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أحاديث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تلقاني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بمكة،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تلقاني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بمنى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 بأحاديث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عن أحاديث جابر فإنَّها إذا وقعت إلى السَّفِلَة أذاعوها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فاحتسبت ذريحاً سَفِلَة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يستشكل في اعتبار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صحة إسنادها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بوهنها مضموناً؛ لأنّ فيها تلويحاً بكون ذريح من السفلة، كما فهمه عبد الله بن جبلة في النقل الثاني، وهذا بعيد؛ وذلك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رواية صحيحة تدل على جلالة ذريح وهي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ذريحاً المحاربي حدَّثني عنك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ذريح وصدقت، إنَّ للقرآن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يحتمل ما يحتمل ذريح</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ابن أبي عمير برواية رواها له ذريح المحاربي، كما رواه الصدوق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أبي عمير رجلاً بزازاً، وكان له على رجل عشرة آلاف درهم فذهب ماله وافتقر، فجاء الرجل فباع داراً له بعشرة آلاف درهم وحملها إليه فدق عليه الباب فخرج إليه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الذي لك عليَّ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لك هذا المال، 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بعت داري الفلاني لأقضي ديني، فقال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الرجل من مسقط رأسه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ارفعها فلا حاجة لي فيها، والله إنَّي محتاج في وقتي هذا إلى درهم وما يدخل ملكي منها درهم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الشيخ الطوسي له صريحاً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ذريح المحاربي، ثقة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كما روى عنه ابن أبي عمير وصفوان بن يحيى</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ووردت رواية صفوان عنه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وهما ممّن لا يروي إلّا عن ثقة، كما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 دفع هذا الإشكال عن النقل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من جهة أنّه لا دلالة له على أنّ الحذر إنَّما كان من ذريح نفسه، بل كان في مقام النّصح له بترك التحدّث بأحاديث لجابر؛ لمحاذير في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الثّاني فهو وإن تضمن فَهْمَ الراوي أنّ ذريحاً من السفلة، ولكنّه ليس بحجّة في نفسه،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بالإرسال فيما بين الكشي ومحمَّد بن سنان، بل وبمحمَّد بن سنان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حجّة في فَهْم عبد الله بن جبلة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من عدم دلالة كلامه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المفضّل وهي ضعيفة به، بناءً على 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الطرق إليه ضعيفة جميعاً، ولكنّها تصلح لتأييد الرواية السابقة لقربها منها، وطرقها كما يلي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عن 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 ثقة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عن المفضّل بن عمر الجعفي،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 به السَّفِلَة فيذيعوه، أما تقرأ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إنَّ منّا إماماً مستتراً فإذا أراد الله إظهار أمره نكت في قلبه، فظهر فقام بأمر الله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ضعيف بمعظم رجاله وهم مَن عدا ابن فضال وشيخه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بابويه حيث أورد هذه الرواية أيضاً بطريق صحيح إلى موسى بن سعدان الحنّاط الكوفي</w:t>
      </w:r>
      <w:r>
        <w:rPr>
          <w:rStyle w:val="FootnoteAnchor"/>
          <w:rtl w:val="true"/>
        </w:rPr>
        <w:footnoteReference w:id="456"/>
      </w:r>
      <w:r>
        <w:rPr>
          <w:rFonts w:ascii="Amiri" w:hAnsi="Amiri" w:eastAsia="Amiri" w:cs="Amiri"/>
          <w:color w:val="111111"/>
          <w:sz w:val="28"/>
          <w:sz w:val="28"/>
          <w:szCs w:val="28"/>
          <w:rtl w:val="true"/>
          <w:lang w:bidi="ar-SA"/>
        </w:rPr>
        <w:t xml:space="preserve">في كتاب الإمامة والتبصرة المنسوب إليه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موسى بن سعدان، عن عبد 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أورد هذه الرواية كذلك في كمال الدين وتمام النعمة بطريق صحيح إلى موسى بن سعدان،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موسى بن سعدان، عن عبد الله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أورد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جماعة، عن أبي المفضّل</w:t>
      </w:r>
      <w:r>
        <w:rPr>
          <w:rStyle w:val="FootnoteAnchor"/>
          <w:rtl w:val="true"/>
        </w:rPr>
        <w:footnoteReference w:id="460"/>
      </w:r>
      <w:r>
        <w:rPr>
          <w:rFonts w:ascii="Amiri" w:hAnsi="Amiri" w:eastAsia="Amiri" w:cs="Amiri"/>
          <w:color w:val="111111"/>
          <w:sz w:val="28"/>
          <w:sz w:val="28"/>
          <w:szCs w:val="28"/>
          <w:rtl w:val="true"/>
          <w:lang w:bidi="ar-SA"/>
        </w:rPr>
        <w:t>، عن محمَّد بن عبد الله بن جعفر الحميري، عن أبيه، عن محمَّد بن الحسين بن أبي الخطاب</w:t>
      </w:r>
      <w:r>
        <w:rPr>
          <w:rStyle w:val="FootnoteAnchor"/>
          <w:rtl w:val="true"/>
        </w:rPr>
        <w:footnoteReference w:id="461"/>
      </w:r>
      <w:r>
        <w:rPr>
          <w:rFonts w:ascii="IRNazanin" w:hAnsi="IRNazanin" w:eastAsia="IRNazanin"/>
          <w:color w:val="111111"/>
          <w:sz w:val="28"/>
          <w:sz w:val="28"/>
          <w:szCs w:val="28"/>
          <w:rtl w:val="true"/>
          <w:lang w:bidi="fa-IR"/>
        </w:rPr>
        <w:t xml:space="preserve">، عن موسى بن سعدان، عن عبد الله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أورد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ضعيف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صدره الذي هو محل الشاهد في المقام، وكأنَّه لعدم الشاهد فيه،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علي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ووردت رواية محمَّد بن حسان عن محمَّد بن علي أبي سمينة في المحاسن في باب عقاب من تهاون بالوضوء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بصائر الدرجات في باب أنّ طلب العلم فريضة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عبد الله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إماماً مظفراً مستتراً، فإذا أراد الله عزّ ذكره إظهار أمره، نكت في قلبه نكتة فظهر فقام بأمر الله تبارك وتعالى</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ونقلها الشيخ النّعماني في غيبته</w:t>
      </w:r>
      <w:r>
        <w:rPr>
          <w:rStyle w:val="FootnoteAnchor"/>
          <w:rtl w:val="true"/>
        </w:rPr>
        <w:footnoteReference w:id="466"/>
      </w:r>
      <w:r>
        <w:rPr>
          <w:rFonts w:ascii="Amiri" w:hAnsi="Amiri" w:eastAsia="Amiri" w:cs="Amiri"/>
          <w:color w:val="111111"/>
          <w:sz w:val="28"/>
          <w:sz w:val="28"/>
          <w:szCs w:val="28"/>
          <w:rtl w:val="true"/>
          <w:lang w:bidi="ar-SA"/>
        </w:rPr>
        <w:t>عن الكليني من دون الصدر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فيها ضعف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أبي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بالإرسال؛ لسقوط الواسطة بين أبي سمينة وعبد الله بن القاسم الحضرمي، كما نبّه عليه في هامش الطبعة المحقّقة من الكافي</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الكليني بعين سند الكافي، والواسطة بينهما في الأكثر هو موسى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الكافي ح</w:t>
      </w: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14713</w:t>
      </w:r>
      <w:r>
        <w:rPr>
          <w:rFonts w:ascii="Amiri" w:hAnsi="Amiri" w:eastAsia="Amiri" w:cs="Amiri"/>
          <w:color w:val="111111"/>
          <w:sz w:val="28"/>
          <w:sz w:val="28"/>
          <w:szCs w:val="28"/>
          <w:rtl w:val="true"/>
          <w:lang w:bidi="ar-SA"/>
        </w:rPr>
        <w:t>، والمحاسن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والخصال 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ومعاني الأخبار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وثواب الأعمال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الأسناد توسّط بينهما أبو عبد اللَّه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أمالي الصدوق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المجلس السابع والسبعون،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وقصص الأنبياء للراوندي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اتّحاد أبي عبد اللَّه هذا مع موسى بن سعدان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تنتهي إلى المفضّل بن عمر الجعفي في كل مصادرها كما تبيّن من العرض السابق، ورواها عنه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الحضرمي، وعلي بن حسان الواسطي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يزيد الجعفي ثقة جليل</w:t>
      </w:r>
      <w:r>
        <w:rPr>
          <w:rFonts w:eastAsia="Amiri" w:cs="Amiri" w:ascii="Amiri" w:hAnsi="Amiri"/>
          <w:color w:val="111111"/>
          <w:sz w:val="28"/>
          <w:szCs w:val="28"/>
          <w:rtl w:val="true"/>
          <w:lang w:bidi="ar-SA"/>
        </w:rPr>
        <w:t xml:space="preserve">. </w:t>
      </w:r>
      <w:bookmarkStart w:id="477" w:name="pg9131_76023"/>
    </w:p>
    <w:p>
      <w:pPr>
        <w:pStyle w:val="Heading5"/>
        <w:numPr>
          <w:ilvl w:val="4"/>
          <w:numId w:val="1"/>
        </w:numPr>
        <w:rPr/>
      </w:pPr>
      <w:bookmarkStart w:id="478" w:name="__RefHeading___Toc2991974_2870459653"/>
      <w:bookmarkStart w:id="479" w:name="_Toc183"/>
      <w:bookmarkEnd w:id="477"/>
      <w:bookmarkEnd w:id="478"/>
      <w:r>
        <w:rPr>
          <w:rtl w:val="true"/>
        </w:rPr>
        <w:t>الطّريق الثّاني</w:t>
      </w:r>
      <w:r>
        <w:rPr>
          <w:rtl w:val="true"/>
        </w:rPr>
        <w:t xml:space="preserve">: </w:t>
      </w:r>
      <w:r>
        <w:rPr>
          <w:rtl w:val="true"/>
        </w:rPr>
        <w:t>أقوال الرجاليين في حقّه</w:t>
      </w:r>
      <w:r>
        <w:rPr>
          <w:rtl w:val="true"/>
        </w:rPr>
        <w:t>..</w:t>
      </w:r>
      <w:bookmarkEnd w:id="479"/>
    </w:p>
    <w:p>
      <w:pPr>
        <w:pStyle w:val="BookText"/>
        <w:rPr/>
      </w:pP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الرجال والطبقات والفهارس، فلم يتعرض جماعة لحاله لعدم اهتمامهم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موضوع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الرجال عموماً، فقد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البرقي في رجاله في أصحاب أبي جعفر الباقر وأبي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الطوسي في رجاله في أصحاب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يزيد بن الحارث بن عبد يغوث الجعفي، توفي سنة ثمان وعشرين ومائة، على ما ذكر ابن حنبل، وقال يحيي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اثنتين وثلاثين ومائة، وقال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يزيد، أبو عبد الله الجعفي، تابعي، أسند عنه، روى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الشيخ في الفهرست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ووثقّه بعض آخر،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الغضائري في ترجمته، 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جُلّ من يروي عنه ضعيف، فممّن أكثر عنه من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الجعفي، ومفضّل بن صالح، والسكوني، ومنخّل بن جميل الأسدي</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جوابات أهل الموصل في عدد أيام شهر رمضان حيث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p>
    <w:p>
      <w:pPr>
        <w:pStyle w:val="BookText"/>
        <w:rPr/>
      </w:pPr>
      <w:r>
        <w:rPr>
          <w:rFonts w:ascii="IRNazanin" w:hAnsi="IRNazanin" w:eastAsia="IRNazanin"/>
          <w:color w:val="111111"/>
          <w:sz w:val="28"/>
          <w:sz w:val="28"/>
          <w:szCs w:val="28"/>
          <w:rtl w:val="true"/>
          <w:lang w:bidi="fa-IR"/>
        </w:rPr>
        <w:t>رواة الحديث بأنَّ شهر رمضان شهر من شهور السنة، يكون تسعة وعشرين يوماً، ويكون ثلاثين يوماً، فهم فقهاء أصحاب أبي جعفر محمَّد بن علي، وأبي عبد الله جعفر ابن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والأعلام الرؤساء المأخوذ عنهم الحلال والحرام، والفتيا والأحكام، الذين لا يطعن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ولا طريق إلى 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عمرو بن شمر، عن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ما صمت ثلاثين يوماً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بعض ثالث،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كما حكاه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في نفسه مختلطاً، وكان شيخنا أبو عبد الله محمَّد ابن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ينشدنا أشعاراً كثيرة في معناه تدل على الاختلاط، ليس هذا موضعاً لذكرها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القواعد في الموضوع عدم الحكم بوثاقة الرجل من جهة تساقط التوثيق والتضعيف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ترجيح توثيق الرجل وفاقاً لما يتراءى من جمهور المتأخرين، فقد اتفقت كلمة أرباب الفتاوى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يتعرضون لتضعيف الرجال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مدارسهم ومبانيهم في توثيق وتضعيف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الطعن بجابر، وإنَّما بمن روى عنه، ومن أمثلة ذلك ما ذكره المحقّق في المختصر والشرائع</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والمعتبر</w:t>
      </w:r>
      <w:r>
        <w:rPr>
          <w:rStyle w:val="FootnoteAnchor"/>
          <w:rtl w:val="true"/>
        </w:rPr>
        <w:footnoteReference w:id="475"/>
      </w:r>
      <w:r>
        <w:rPr>
          <w:rFonts w:ascii="Amiri" w:hAnsi="Amiri" w:eastAsia="Amiri" w:cs="Amiri"/>
          <w:color w:val="111111"/>
          <w:sz w:val="28"/>
          <w:sz w:val="28"/>
          <w:szCs w:val="28"/>
          <w:rtl w:val="true"/>
          <w:lang w:bidi="ar-SA"/>
        </w:rPr>
        <w:t>، والفاضل الآبي</w:t>
      </w:r>
      <w:r>
        <w:rPr>
          <w:rStyle w:val="FootnoteAnchor"/>
          <w:rtl w:val="true"/>
        </w:rPr>
        <w:footnoteReference w:id="476"/>
      </w:r>
      <w:r>
        <w:rPr>
          <w:rFonts w:ascii="Amiri" w:hAnsi="Amiri" w:eastAsia="Amiri" w:cs="Amiri"/>
          <w:color w:val="111111"/>
          <w:sz w:val="28"/>
          <w:sz w:val="28"/>
          <w:szCs w:val="28"/>
          <w:rtl w:val="true"/>
          <w:lang w:bidi="ar-SA"/>
        </w:rPr>
        <w:t>، والعلّامة</w:t>
      </w:r>
      <w:r>
        <w:rPr>
          <w:rStyle w:val="FootnoteAnchor"/>
          <w:rtl w:val="true"/>
        </w:rPr>
        <w:footnoteReference w:id="477"/>
      </w:r>
      <w:r>
        <w:rPr>
          <w:rFonts w:ascii="Amiri" w:hAnsi="Amiri" w:eastAsia="Amiri" w:cs="Amiri"/>
          <w:color w:val="111111"/>
          <w:sz w:val="28"/>
          <w:sz w:val="28"/>
          <w:szCs w:val="28"/>
          <w:rtl w:val="true"/>
          <w:lang w:bidi="ar-SA"/>
        </w:rPr>
        <w:t>، والشّهيد الأوَّل</w:t>
      </w:r>
      <w:r>
        <w:rPr>
          <w:rStyle w:val="FootnoteAnchor"/>
          <w:rtl w:val="true"/>
        </w:rPr>
        <w:footnoteReference w:id="478"/>
      </w:r>
      <w:r>
        <w:rPr>
          <w:rFonts w:ascii="Amiri" w:hAnsi="Amiri" w:eastAsia="Amiri" w:cs="Amiri"/>
          <w:color w:val="111111"/>
          <w:sz w:val="28"/>
          <w:sz w:val="28"/>
          <w:szCs w:val="28"/>
          <w:rtl w:val="true"/>
          <w:lang w:bidi="ar-SA"/>
        </w:rPr>
        <w:t>، والشّهيد الثّاني</w:t>
      </w:r>
      <w:r>
        <w:rPr>
          <w:rStyle w:val="FootnoteAnchor"/>
          <w:rtl w:val="true"/>
        </w:rPr>
        <w:footnoteReference w:id="479"/>
      </w:r>
      <w:r>
        <w:rPr>
          <w:rFonts w:ascii="Amiri" w:hAnsi="Amiri" w:eastAsia="Amiri" w:cs="Amiri"/>
          <w:color w:val="111111"/>
          <w:sz w:val="28"/>
          <w:sz w:val="28"/>
          <w:szCs w:val="28"/>
          <w:rtl w:val="true"/>
          <w:lang w:bidi="ar-SA"/>
        </w:rPr>
        <w:t>، والمحقّق الأردبيلي</w:t>
      </w:r>
      <w:r>
        <w:rPr>
          <w:rStyle w:val="FootnoteAnchor"/>
          <w:rtl w:val="true"/>
        </w:rPr>
        <w:footnoteReference w:id="480"/>
      </w:r>
      <w:r>
        <w:rPr>
          <w:rFonts w:ascii="Amiri" w:hAnsi="Amiri" w:eastAsia="Amiri" w:cs="Amiri"/>
          <w:color w:val="111111"/>
          <w:sz w:val="28"/>
          <w:sz w:val="28"/>
          <w:szCs w:val="28"/>
          <w:rtl w:val="true"/>
          <w:lang w:bidi="ar-SA"/>
        </w:rPr>
        <w:t>، والسّيّد صاحب الرياض</w:t>
      </w:r>
      <w:r>
        <w:rPr>
          <w:rStyle w:val="FootnoteAnchor"/>
          <w:rtl w:val="true"/>
        </w:rPr>
        <w:footnoteReference w:id="481"/>
      </w:r>
      <w:r>
        <w:rPr>
          <w:rFonts w:ascii="IRNazanin" w:hAnsi="IRNazanin" w:eastAsia="IRNazanin"/>
          <w:color w:val="111111"/>
          <w:sz w:val="28"/>
          <w:sz w:val="28"/>
          <w:szCs w:val="28"/>
          <w:rtl w:val="true"/>
          <w:lang w:bidi="fa-IR"/>
        </w:rPr>
        <w:t>، وصاحب الجواهر</w:t>
      </w:r>
      <w:r>
        <w:rPr>
          <w:rStyle w:val="FootnoteAnchor"/>
          <w:rtl w:val="true"/>
        </w:rPr>
        <w:footnoteReference w:id="482"/>
      </w:r>
      <w:r>
        <w:rPr>
          <w:rFonts w:ascii="Amiri" w:hAnsi="Amiri" w:eastAsia="Amiri" w:cs="Amiri"/>
          <w:color w:val="111111"/>
          <w:sz w:val="28"/>
          <w:sz w:val="28"/>
          <w:szCs w:val="28"/>
          <w:rtl w:val="true"/>
          <w:lang w:bidi="ar-SA"/>
        </w:rPr>
        <w:t>، والسّيّد صاحب العروة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صحّح جماعة الروايات التي هو فيها، وقالوا إنّها حسنة إذا كان فيها ممدوح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صاحب المدارك</w:t>
      </w:r>
      <w:r>
        <w:rPr>
          <w:rStyle w:val="FootnoteAnchor"/>
          <w:rtl w:val="true"/>
        </w:rPr>
        <w:footnoteReference w:id="484"/>
      </w:r>
      <w:r>
        <w:rPr>
          <w:rFonts w:ascii="Amiri" w:hAnsi="Amiri" w:eastAsia="Amiri" w:cs="Amiri"/>
          <w:color w:val="111111"/>
          <w:sz w:val="28"/>
          <w:sz w:val="28"/>
          <w:szCs w:val="28"/>
          <w:rtl w:val="true"/>
          <w:lang w:bidi="ar-SA"/>
        </w:rPr>
        <w:t>، والشيخ البهائي</w:t>
      </w:r>
      <w:r>
        <w:rPr>
          <w:rStyle w:val="FootnoteAnchor"/>
          <w:rtl w:val="true"/>
        </w:rPr>
        <w:footnoteReference w:id="485"/>
      </w:r>
      <w:r>
        <w:rPr>
          <w:rFonts w:ascii="Amiri" w:hAnsi="Amiri" w:eastAsia="Amiri" w:cs="Amiri"/>
          <w:color w:val="111111"/>
          <w:sz w:val="28"/>
          <w:sz w:val="28"/>
          <w:szCs w:val="28"/>
          <w:rtl w:val="true"/>
          <w:lang w:bidi="ar-SA"/>
        </w:rPr>
        <w:t>، والمحقّق السبزواري</w:t>
      </w:r>
      <w:r>
        <w:rPr>
          <w:rStyle w:val="FootnoteAnchor"/>
          <w:rtl w:val="true"/>
        </w:rPr>
        <w:footnoteReference w:id="486"/>
      </w:r>
      <w:r>
        <w:rPr>
          <w:rFonts w:ascii="Amiri" w:hAnsi="Amiri" w:eastAsia="Amiri" w:cs="Amiri"/>
          <w:color w:val="111111"/>
          <w:sz w:val="28"/>
          <w:sz w:val="28"/>
          <w:szCs w:val="28"/>
          <w:rtl w:val="true"/>
          <w:lang w:bidi="ar-SA"/>
        </w:rPr>
        <w:t>، والمحقّق القمي</w:t>
      </w:r>
      <w:r>
        <w:rPr>
          <w:rStyle w:val="FootnoteAnchor"/>
          <w:rtl w:val="true"/>
        </w:rPr>
        <w:footnoteReference w:id="487"/>
      </w:r>
      <w:r>
        <w:rPr>
          <w:rFonts w:ascii="Amiri" w:hAnsi="Amiri" w:eastAsia="Amiri" w:cs="Amiri"/>
          <w:color w:val="111111"/>
          <w:sz w:val="28"/>
          <w:sz w:val="28"/>
          <w:szCs w:val="28"/>
          <w:rtl w:val="true"/>
          <w:lang w:bidi="ar-SA"/>
        </w:rPr>
        <w:t>، والمحقّق الآخوند الخراساني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صرّح جماعة بالصحيحة كالمحقّق النراقي</w:t>
      </w:r>
      <w:r>
        <w:rPr>
          <w:rStyle w:val="FootnoteAnchor"/>
          <w:rtl w:val="true"/>
        </w:rPr>
        <w:footnoteReference w:id="489"/>
      </w:r>
      <w:r>
        <w:rPr>
          <w:rFonts w:ascii="Amiri" w:hAnsi="Amiri" w:eastAsia="Amiri" w:cs="Amiri"/>
          <w:color w:val="111111"/>
          <w:sz w:val="28"/>
          <w:sz w:val="28"/>
          <w:szCs w:val="28"/>
          <w:rtl w:val="true"/>
          <w:lang w:bidi="ar-SA"/>
        </w:rPr>
        <w:t>، والمحقّق الهمداني</w:t>
      </w:r>
      <w:r>
        <w:rPr>
          <w:rStyle w:val="FootnoteAnchor"/>
          <w:rtl w:val="true"/>
        </w:rPr>
        <w:footnoteReference w:id="490"/>
      </w:r>
      <w:r>
        <w:rPr>
          <w:rFonts w:ascii="Amiri" w:hAnsi="Amiri" w:eastAsia="Amiri" w:cs="Amiri"/>
          <w:color w:val="111111"/>
          <w:sz w:val="28"/>
          <w:sz w:val="28"/>
          <w:szCs w:val="28"/>
          <w:rtl w:val="true"/>
          <w:lang w:bidi="ar-SA"/>
        </w:rPr>
        <w:t>، والمحقّق الشيخ محمَّد تقي الآملي</w:t>
      </w:r>
      <w:r>
        <w:rPr>
          <w:rStyle w:val="FootnoteAnchor"/>
          <w:rtl w:val="true"/>
        </w:rPr>
        <w:footnoteReference w:id="491"/>
      </w:r>
      <w:r>
        <w:rPr>
          <w:rFonts w:ascii="Amiri" w:hAnsi="Amiri" w:eastAsia="Amiri" w:cs="Amiri"/>
          <w:color w:val="111111"/>
          <w:sz w:val="28"/>
          <w:sz w:val="28"/>
          <w:szCs w:val="28"/>
          <w:rtl w:val="true"/>
          <w:lang w:bidi="ar-SA"/>
        </w:rPr>
        <w:t>، والمحقّق السيّد الخوانساري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تضعيف النجاشي فيجاب عنه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وهو ترجيح توثيق ابن الغضائري على تضعيف المفيد والنجاشي من جهة تشدّده في شأن الرجال، فيقدم توثيقه على أي طعن يقع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معارضة تضعيف المفيد بتوثيقه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فلأنّ ما اشتهر من تشدّد ابن الغضائري في شأن الرجال ليس صحيحاً على إطلاقه، بل كان جرحه لهم مبنياً على كونه نقّاداً للأخبار، فقد وثّق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ضعّفهم آخرون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الذي قال القميون بحقّه أنّه كان غالياً، لكن ابن الغضائري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وحديثه فيما رأيته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بن شاذويه، 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القميون أنّه 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له كتاباً في الصلاة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النرسي وزيد الزرّاد، قال بحقّهما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وغلط أبُو جَعْفَر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كتبهما موضوعة، وضعها مُحَمَّدُ ابنُ مُوْسى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رَأَيْتُ كُتُبَهُما مَسْمُوعةٌ 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أورمة، 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اتهمه القميون بالغلو، وحديثه نقي لا فساد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القاسم ابن </w:t>
      </w:r>
    </w:p>
    <w:p>
      <w:pPr>
        <w:pStyle w:val="BookText"/>
        <w:rPr/>
      </w:pPr>
      <w:r>
        <w:rPr>
          <w:rFonts w:ascii="Amiri" w:hAnsi="Amiri" w:eastAsia="Amiri" w:cs="Amiri"/>
          <w:color w:val="111111"/>
          <w:sz w:val="28"/>
          <w:sz w:val="28"/>
          <w:szCs w:val="28"/>
          <w:rtl w:val="true"/>
          <w:lang w:bidi="ar-SA"/>
        </w:rPr>
        <w:t>شمون، 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هشام بن إبراهيم العباسي، 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طُعِنَ عليهِ، والطَعْنُ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مذهبِهِ، لا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الحُسَيْنُ بنُ أَحْمَد بن المُغَيْرة، قال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رِوايَتِهِ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معارضة تضعيف المفيد بتوثيقه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تناقض قولي شخص لا يمنع من صيرورة ما ينافيهما أو أحدهما طرفاً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شهادات المفيد في الرسالة العددية لا تخلو عن مسامحة لما ذكر في محلّه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صحة اتهامه بالتخليط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خلط الشيء بغيره، واختلط فلان، أي فسد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والتخليط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فيه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الاصطلاح فذكر الشيخ محمَّد بن إسماعيل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ومخلّط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بأمثال هذين اللفظين مَن لا يبالي عمّن يروي وممّن يأخذ، يجمع بين الغثّ والسمين، والعاطل والثمين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وطرائف المقال في معرفة طبقات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إنّ الاختلاط على أنواع ثلاثة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الاختلاط بالعقيدة؛ بالغلو أو غيره من وجوه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الاختلاط في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الاختلاط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 المفيد والنجاشي إلى الاختلاط في العقيدة وما بمثابته من البناء على أمور منكرة وغريبة لا حجة عليها، كما ينبّه عليه استناد المفيد إلى أشعار لجابر تدل على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من هذه المعاني لا يرد في شأن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فساد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تحقيقه في الجهة الحادية والعشرين من المقام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أنَّ هذا المعنى غير ثابت في شأن جابر وإن أضاف إليه الغلاة آثاراً تتضمن الغلو</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يضاف إلى ذلك أنّه لو كان جابر رأساً في الغلو لورد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التبرؤ منه كما ورد في رؤوس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كالمغيرة بن شعبة</w:t>
      </w:r>
      <w:r>
        <w:rPr>
          <w:rStyle w:val="FootnoteAnchor"/>
          <w:rtl w:val="true"/>
        </w:rPr>
        <w:footnoteReference w:id="498"/>
      </w:r>
      <w:r>
        <w:rPr>
          <w:rFonts w:ascii="Amiri" w:hAnsi="Amiri" w:eastAsia="Amiri" w:cs="Amiri"/>
          <w:color w:val="111111"/>
          <w:sz w:val="28"/>
          <w:sz w:val="28"/>
          <w:szCs w:val="28"/>
          <w:rtl w:val="true"/>
          <w:lang w:bidi="ar-SA"/>
        </w:rPr>
        <w:t>، وأبي الخطاب</w:t>
      </w:r>
      <w:r>
        <w:rPr>
          <w:rStyle w:val="FootnoteAnchor"/>
          <w:rtl w:val="true"/>
        </w:rPr>
        <w:footnoteReference w:id="499"/>
      </w:r>
      <w:r>
        <w:rPr>
          <w:rFonts w:ascii="Amiri" w:hAnsi="Amiri" w:eastAsia="Amiri" w:cs="Amiri"/>
          <w:color w:val="111111"/>
          <w:sz w:val="28"/>
          <w:sz w:val="28"/>
          <w:szCs w:val="28"/>
          <w:rtl w:val="true"/>
          <w:lang w:bidi="ar-SA"/>
        </w:rPr>
        <w:t>، وابن أبي العزاقر</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وأحمد بن هلال الكرخي</w:t>
      </w:r>
      <w:r>
        <w:rPr>
          <w:rStyle w:val="FootnoteAnchor"/>
          <w:rtl w:val="true"/>
        </w:rPr>
        <w:footnoteReference w:id="501"/>
      </w:r>
      <w:r>
        <w:rPr>
          <w:rFonts w:ascii="Amiri" w:hAnsi="Amiri" w:eastAsia="Amiri" w:cs="Amiri"/>
          <w:color w:val="111111"/>
          <w:sz w:val="28"/>
          <w:sz w:val="28"/>
          <w:szCs w:val="28"/>
          <w:rtl w:val="true"/>
          <w:lang w:bidi="ar-SA"/>
        </w:rPr>
        <w:t>، والشريعي</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يبتعد عنهم الشيعة ويأمنوا من بدعهم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عرفت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بصدقه في شأن ما روي عنه من الغرائب والتي هي مظنة توهم الغلو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الأشعار التي أشار إليها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تيسّر من المراجعة إلى كتب الأخبار والتراجم والتاريخ والأدب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خلط المطالب المنكرة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يأتي في جابر؛ لعدم ثبوت وقوع مثل هذا الخلط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بعض المضامين الغريبة التي وردت في رواياته، لكن لا نحرز أنّها منه، بل من المحتمل أن تكون ممّن روى عنه كعمرو بن شمر والمفضل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ابن الغضائري في كلامه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بعضها لم تتفرد به الروايات المنقولة عن جابر، بل يوجد ما يماثلها من طرق أخرى، وبعضها يوجد ما يماثلها في بعض طرق العامّة، كما سيتضح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خلط بعض أسانيد الأخبار ببعض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ما يكون شاهداً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رواية الضعفاء عن رجل تعدّ طعناً فيه، وقد أكثر الضعفاء والغلاة من الرواية عن جابر، ومن ثَمَّ ذكر النّجاشي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لم يذكرهم من الضعفاء عمرو بن أبي المقدام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ويدعم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الأسانيد المذكورة في الفهارس إلى جابر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عمرو بن شمر، والمفضّل بن صالح، ومنخّل بن جميل، وعمرو بن أبي المقدام، وهم جميعاً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لا يعدّ ضعفاً في الرجل؛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الضعفاء عن الرجل لا تقتضي ضعفاً فيه؛ لأنّ طريقة التلقي عن الشيخ ليست هي بانتقاء الشيخ لتلاميذه، وإنَّما كان المحدِّث يجلس في المسجد ويعقد حلقة يحدِّث بها ويسمع منه طلاب الحديث، وقد أخذ عن جابر السُّنّة والشّيعة في الكوفة؛ إذ كان مجتمع الكوفة آنذاك خليطاً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الجائز أن يكون السبب في إضافة الضعفاء الروايات التي يضيفونها إلى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بيانه في الحلقة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تحمّله لعلوم خاصّة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وبرواياته في العقائد والفضائل، وأكثر وضع الرواة إنَّما هو من المعنيين منهم بهذه المواضيع دون أهل الفقه، كما أنَّ هذه المواضيع أكثر مجالات الوضع دون الفروع الفقهية، فأضافوا ما وضعوه في هذه المواضيع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ذلك أنَّ جابراً لم يكن يحدِّث في الجو العامّ، بل يحدِّث في خفاء فكان المبرّزون من تلامذته من قبيلته وهي قبيلة 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بن شمر، والمفضّل، ومنخّل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كل قبيلة تسكن سابقاً في مكان واحد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ومن ثَمَّ كان بالإمكان أن يحدِّث قبيلته ومَن جاورها ممّن أكثر عنه دون الخروج إلى الجو العامّ، وأمّا سائر الرواة فرووا عنه روايات معدودة، فتأمل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عن جابر لا تقتصر على الضعفاء، بل فيهم جماعة من ثقات </w:t>
      </w:r>
    </w:p>
    <w:p>
      <w:pPr>
        <w:pStyle w:val="BookText"/>
        <w:rPr/>
      </w:pP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إبراهيم بن نعيم العبدي أبو الصباح الكناني، زياد بن أبي الحلال، ميسّر بياع الزطي، الحسن بن السري الكاتب الكرخي، أبو مريم الأنصاري، عبد الله بن غالب الأسدي، نجية بن الحارث العطار، عنبسة بن بجاد العابد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رواية رجال عنه وثّقهم النجاشي وضعّفهم ابن الغضائري،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عمر اليماني الصنعاني، صباح بن يحيى المزني، يعقوب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من أسباب تضعيف النجاشي له دون ابن الغضائري، بمعنى أنّ النجاشي اعتقد وثاقة هؤلاء الرواة عن جابر فاتّهم جابراً فيما رووه عنه من المضامين الغريبة، ولكن ابن الغضائري رأى أنّ الأقرب اتهام هؤلاء الرواة،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العامّة فقد روى عنه جماعة من أئمة الحديث عندهم ومشاهيرهم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سليمان بن مهران الأعمش، سفيان الثّوري، سلام بن أبي مطيع، سفيان بن عيينة، شعبة بن الحجّاج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الضعفاء عن الرجل إنَّما تدل على ضعفه إذا كان الضعيف ضعيفاً حين التحمّل عنه حتى يقال إنَّ هذا يؤشر على ضعفه؛ لأنَّ شبيه الشيء منجذب إليه، ومن الجائز أن يكون طرو الضعف على هؤلاء الرواة حصل لاحقاً حيث إنَّهم بقوا بعد جابر مدة طويلة قد تصل في بعضهم إلى نصف قرن وذلك حسب اختلاف وفياتهم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ثقة، على الصحيح</w:t>
      </w:r>
      <w:r>
        <w:rPr>
          <w:rFonts w:eastAsia="Amiri" w:cs="Amiri" w:ascii="Amiri" w:hAnsi="Amiri"/>
          <w:color w:val="111111"/>
          <w:sz w:val="28"/>
          <w:szCs w:val="28"/>
          <w:rtl w:val="true"/>
          <w:lang w:bidi="ar-SA"/>
        </w:rPr>
        <w:t xml:space="preserve">. </w:t>
      </w:r>
      <w:bookmarkStart w:id="480" w:name="pg9131_76032"/>
    </w:p>
    <w:p>
      <w:pPr>
        <w:pStyle w:val="Heading5"/>
        <w:numPr>
          <w:ilvl w:val="4"/>
          <w:numId w:val="1"/>
        </w:numPr>
        <w:rPr/>
      </w:pPr>
      <w:bookmarkStart w:id="481" w:name="__RefHeading___Toc2991976_2870459653"/>
      <w:bookmarkStart w:id="482" w:name="_Toc184"/>
      <w:bookmarkEnd w:id="480"/>
      <w:bookmarkEnd w:id="481"/>
      <w:r>
        <w:rPr>
          <w:rtl w:val="true"/>
        </w:rPr>
        <w:t>الطريق الثّالث</w:t>
      </w:r>
      <w:r>
        <w:rPr>
          <w:rtl w:val="true"/>
        </w:rPr>
        <w:t xml:space="preserve">: </w:t>
      </w:r>
      <w:r>
        <w:rPr>
          <w:rtl w:val="true"/>
        </w:rPr>
        <w:t>سبر روايات الرجل</w:t>
      </w:r>
      <w:r>
        <w:rPr>
          <w:rtl w:val="true"/>
        </w:rPr>
        <w:t>..</w:t>
      </w:r>
      <w:bookmarkEnd w:id="482"/>
    </w:p>
    <w:p>
      <w:pPr>
        <w:pStyle w:val="Heading6"/>
        <w:numPr>
          <w:ilvl w:val="5"/>
          <w:numId w:val="1"/>
        </w:numPr>
        <w:rPr/>
      </w:pPr>
      <w:bookmarkStart w:id="483" w:name="__RefHeading___Toc2991978_2870459653"/>
      <w:bookmarkStart w:id="484" w:name="_Toc185"/>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لا شكّ في أنَّ روايات الرجل مرآة لوثاقته، فإذا كانت الروايات حسنة وقوية وموافقة مع الروايات المتواترة ورواية الثقات كان ذلك أمارة على حسن حاله ووثاقته، وإذا كانت رواياته غريبة ومنكرة كان موجباً للريبة في أمره أو علامة على ضعفه، ولكن شريطة إحراز كونه منبع الرواية ومصدرها دون من بعده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وبتتبع روايات جابر وجدنا أنَّ جلّها لا شائبة فيها سواء أكانت في العقائد أم الفقه أم التفسير أم الأخلاق أم الفضائل أم التاريخ كما مرّ تفصيل ذلك في الحلقة السّابقة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احتوت بعض الروايات التي ينتهي إسنادها إلى جابر على غرائب ومناكير قد يجعل منها علامة على ضعف الرجل أو الريبة فيه، إلّا أنَّ الذي نجده بتتبعها أنَّ في كل منها ضعيفاً أو أكثر في السلسلة قبل انتهاء الرواية إلى جابر فلا يحرز أنَّ منشأ الرواية هو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في طول الطريقين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نماذج من هذه الروايات المريبة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الخيط، وقد تقدّم تحقيقه في الحلقة الأولى وأنَّه من وضع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البرقي عن أبيه، عن أحمد بن النضر، عن عمرو بن شمر، عن جابر، عن عبد الله بن يحيى الكندي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وأمّا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وثقّه العجلي، 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الاحتجاج بخبره إذا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والموجود في جميع المصادر عندنا سواء الأولية منها أم الثانوية الناقلة لهذا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في الكافي طبعة دار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إلى وجود أي نسخة أخرى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نجي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يحيى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هو وأبوه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شرطة الخميس ولم يكن صاحب مطهرة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وقتله معاوية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رجال البرقي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اختيار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الرواية رواها العامة عن جابر عن عبد الله بن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رويت عن عبد الله بن نجي بطرق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الذي يروي عنه جابر الجعفي في أسانيد الخاصة والعامة هو عبد الله بن نجي، والظاهر أنّ الرجل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فالظاهر وقوع تصحيف في الاسم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نجي الحضرمي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صاحب مطهرة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جبرئيل أتاني البارحة، فسلّم علي من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ندخل بيتاً فيه ما في هذا البيت، فصدّقته وما علمت في البيت شيئاً، فضربت بيدي، فإذا جرو كلب كان للحسين بن علي يلعب به الأمس، فلما كان الليل دخل تحت السرير، فنبذته من البيت ودخل،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أو ما تدخلون بيتاً فيه كلب؟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جنب ولا تمثال لا يوطأ</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الحديث غريب من وجهين؛ إذ يمتاز بزيادتين عن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من إضافة عدم دخول الملائكة في بيت فيه جنب، وهو ما خلا عنه سائر أخبار الباب</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للحسين بن علي جرو كلب يلعب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يرد في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الكليني هذا المضمون من عدّة طرق أخرى غير طريق جابر لم يرد فيها ذلك</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الحسن بن محمَّد بن سماعة، عن غير واحد، عن أبان بن عثمان، عن عمرو بن 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إنّا لا ندخل بيتاً فيه صورة إنسان، ولا بيتاً يبال فيه، ولا بيتاً فيه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عين الحديث السابق حيث إنّه من طريق أبان عن 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 الجبار، عن صفوان، عن ابن مسكان، 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الملائكة لا ندخل بيتاً فيه كلب، ولا تمثال جسد، ولا إناء يبال فيه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مروان في هذه الطبقة هو الذهلي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كما ذكر الشيخ في رجاله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روى عن الإمامين الهمامين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الفضيل بن يسار، ويمكن توثيقه بناءً على وثاقة مشايخ الثلاثة؛ لرواية صفوان بن يحيى عنه كما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وأيضاً ابن أبي عمير كما في 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الكليني هذا الحديث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 الله بن محمَّد بن عيسى، عن علي بن الحكم، عن أبان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ندخل بيتاً فيه صورة، ولا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صورة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بيتاً فيه تماثيل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هامش طبعة دار الحديث أنّه في بعض النسخ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صورة، وذكر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النسخ التي قوبلت، وكذلك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ما عدا المطبوع من الكافي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الوافي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هذه الجملة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الباب أحاديث أخرى كثيرة تبلغ في المحاسن ثلاثين حديثاً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يؤيد غرابة الزيادتين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الرواية يبدو من إسنادها أنّها 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جابراً رواها عن طريق مشايخه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عند العامّة مثل هذا المضمون خالياً عن الزيادتين، فقد ورد في صحيح البخاري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تدخل الملائكة بيتاً فيه كلب ولا صورة تماثيل،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ندخل بيتاً فيه صورة ولا كلب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مسلم هذه الحادثة بتفصيل أكثر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أنَّها قالت واعد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ساعة يأتيه فيها فجاءت تلك الساعة ولم يأتِه وفي يده عصا فألقاها من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يخلف الله وعده ولا رسله، ثم التفت </w:t>
      </w:r>
    </w:p>
    <w:p>
      <w:pPr>
        <w:pStyle w:val="BookText"/>
        <w:rPr/>
      </w:pPr>
      <w:r>
        <w:rPr>
          <w:rFonts w:ascii="Amiri" w:hAnsi="Amiri" w:eastAsia="Amiri" w:cs="Amiri"/>
          <w:color w:val="111111"/>
          <w:sz w:val="28"/>
          <w:sz w:val="28"/>
          <w:szCs w:val="28"/>
          <w:rtl w:val="true"/>
          <w:lang w:bidi="ar-SA"/>
        </w:rPr>
        <w:t>فإذا جرو كلب تحت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متى دخل هذا الكلب هاهنا؟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دريت فأمر به فأخرج فجاء جبريل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واعدتني فجلست لك فلم تأتِ،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الكلب الذي كان في بيتك، إنّا لا ندخل بيتاً فيه كلب ولا صورة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فالملاحظ أنّ هذه الرواية الواردة في الصحيحين ليس فيها أنَّ جرو الكلب كان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 هذه الرواية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هذا الحديث بعين إسناد البرقي من طريق أحمد بن النضر وهو خال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عبد الله بن يحيى الكندي</w:t>
      </w:r>
      <w:r>
        <w:rPr>
          <w:rStyle w:val="FootnoteAnchor"/>
          <w:rtl w:val="true"/>
        </w:rPr>
        <w:footnoteReference w:id="510"/>
      </w:r>
      <w:r>
        <w:rPr>
          <w:rFonts w:ascii="IRNazanin" w:hAnsi="IRNazanin" w:eastAsia="IRNazanin"/>
          <w:color w:val="111111"/>
          <w:sz w:val="28"/>
          <w:sz w:val="28"/>
          <w:szCs w:val="28"/>
          <w:rtl w:val="true"/>
          <w:lang w:bidi="fa-IR"/>
        </w:rPr>
        <w:t xml:space="preserve">، عن أبيه وكان صاحب مطهرة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 ندخل بيتاً فيه تمثال لا يوطأ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مختصر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فالملاحظ أنّ هذا عين حديث البرقي في المحاسن إسناداً ومضموناً، ولكن عبّر عنه الكليني بأنَّه حديث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الاختصار فيه أنَّه لم يذكر الكلب ولا الإناء الذي يبال 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يثبت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 كلب كان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متن الحديث حتى في ما رواه الكليني بطريقه عن جابر الجعفي، وليس 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w:t>
      </w:r>
    </w:p>
    <w:p>
      <w:pPr>
        <w:pStyle w:val="BookText"/>
        <w:rPr/>
      </w:pPr>
      <w:r>
        <w:rPr>
          <w:rFonts w:ascii="Amiri" w:hAnsi="Amiri" w:eastAsia="Amiri" w:cs="Amiri"/>
          <w:color w:val="111111"/>
          <w:sz w:val="28"/>
          <w:sz w:val="28"/>
          <w:szCs w:val="28"/>
          <w:rtl w:val="true"/>
          <w:lang w:bidi="ar-SA"/>
        </w:rPr>
        <w:t>ندخل بيتاً فيه ما في هذا البيت، فصدّقته وما علمت في البيت شيئاً، فضربت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يتأمل في هذا الجواب؛ بالنظر إلى أنّه لا يبعد حذف الكليني للزيادة كما حذف ذكر الكلب والإناء الذي يبال فيه، ولعلّه من جملة ما أشار إلى حذفه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بعمرو بن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أصل الحديث عامي رواه غير واحد عن عبد الله بن نجي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مسند أحمد أنّ أبا زرعة بن عمرو بن جرير يحدِّث عن عبد الله بن نجي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الملائكة بيتاً فيه كلب ولا صورة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الرواية المبحوث عنها بإسناد عامي من طريق شعبة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نجي يحدِّث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جرو للحسن بن علي تحت السرير فأخرجته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بإسناده عن مجاهد عن أبي هريرة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الكلب جرواً للحسين أو للحسن تحت نضد له، فأمر به فأُخرج</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البيهقي أيضاً من طريق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كلب أو جرو للحسن والحسين رضي الله عنهما فأمر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فأُخرج</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مسند أبي يعلى من طريق أبي زرعة بن عمرو بن جرير عن عبد الله بن نجي،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جرو للحسين بن علي مربوطاً بقائم السرير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الجنب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فيظهر أنّ الحديث مروي من طريق جابر وغيره في طرق العامة، ويحتمل أن يكون الغرض بالزيادة الحط من مكانة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في أصل جعفر بن محمَّد بن شريح الحضرمي، عن حميد بن شعيب السّبيعي عن جابر،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ديكاً في الأرض ورأسه تحت العرش جناح له في المشرق، وجناح له في المغرب فيقول سبحان الملك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ذلك صاحت الديوك وإجابته فإذا سَمِعتَ صوت الديك فليقل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الملك القدوس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حتى لو وجّه بأنّ المراد بالديك مَلَك من الملائكة لمكان جعل صياح الديوك في الأرض استجابة منها لتسبيح ذاك الديك السماوي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من حيث عدم اعتبار مصدرها للخدشة في ثبوت أصل جعفر المذكور عنه، ومن حيث ضعف إسنادها بجعفر المذكور وحميد بن شعيب، فإنَّ الرجلين وإن ذُكرا في كتب الفهارس والرجال لكنَّهما لم يوثقا أو يمدحا، فالرجلان مجهولان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رويت هذه الرواية من طرق أخرى كلّها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ورد هذا المضمون في ضمن رواية في التفسير المنسوب إلى علي بن إبراهيم حيث رواه بإسناد معتبر عن أبيه عن محمَّد 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يثبت التفسير عنه، مع خلو سائر الروايات المعتبرة في المعراج عن مثل هذه الزيادة، فهي زيادة شذت بها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مرسلاً في الفقيه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الصدوق في العلل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عبد الله، عن إبراهيم بن هاشم، عن عبد الله بن حمّاد، عن شريك،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قريشاً، ولا تبغضوا العرب، ولا تذلوا الموالي، ولا تساكنوا الخوز ولا تزوجوا إليهم، فإنَّ لهم عرقاً يدعوهم إلى غير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الشاهد فيه ذيل الحديث من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مساكنة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الحديث لا يثبت عن جابر من جهة ضعفه بعبد الله بن حمّاد، فإنَّ الرجل لم يوثق صريحاً في كتب الرجال، بل قال عنه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حديثه يعرف تارة وينكر أخرى، ويخرّج شاهداً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عنه النجاشي أنّه من شيوخ أصحابنا، واستفاد منه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الجلالة </w:t>
      </w:r>
    </w:p>
    <w:p>
      <w:pPr>
        <w:pStyle w:val="BookText"/>
        <w:rPr/>
      </w:pPr>
      <w:r>
        <w:rPr>
          <w:rFonts w:ascii="Amiri" w:hAnsi="Amiri" w:eastAsia="Amiri" w:cs="Amiri"/>
          <w:color w:val="111111"/>
          <w:sz w:val="28"/>
          <w:sz w:val="28"/>
          <w:szCs w:val="28"/>
          <w:rtl w:val="true"/>
          <w:lang w:bidi="ar-SA"/>
        </w:rPr>
        <w:t>والوثاقة، وهو غير ظاهر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والمستفاد من هذه العبارة أنَّ الرجل إمامي، ولا دلالة فيها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تعليقته على منهج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شهادة على الجلالة، بل وعلى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لا يمكن المساعدة عليه؛ وذلك لأنَّ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هذه الجملة بالوثاقة إمّا قبلها أو بعدها، وهذا لا يناسب كونه مستبطناً للوثاقة كما فعل في كثير من الموارد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عمر الأسدي، وإبراهيم بن محمَّد بن معروف أبو إسحاق المذاري، وإبراهيم بن عمر اليماني الصنعاني، والحسن بن محمَّد بن أحمد الصفار البصري، والحسن بن موفق، والحسن بن عبد الصمد بن محمَّد بن عبيد الله الأشعري، والحسين بن علي بن سفيان، وإسحاق بن عمّار، وأحمد بن محمَّد بن عبيد الله الأشعري القمي، وأحمد بن علي الفائدي، وجعفر بن محمَّد بن إسحاق، وجعفر بن أحمد بن يوسف الأودي، وزكار بن الحسن الدينوري، وسلامة بن محمَّد بن إسماعيل بن عبد الله، وعبد الله بن سعيد بن حيان، وعبيد الله بن أبي زيد الأنباري، وعلي بن محمَّد بن يوسف المعروف بابن خالويه، وعلي بن أحمد بن الحسين الطبري الآملي، وعلي بن محمَّد بن شيران أبو الحسن الإبلي، والعمركي ابن علي أبو محمَّد البوفكي، ومحمَّد بن إبراهيم بن جعفر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صدرت منه هذه الجملة دون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عبد الله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أبان بن عبد الملك الثقفي، وفارس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لا دلالة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التوثيق عند النجاشي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الشيخ في الرجال والفهرست أنَّ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ثبوت وثاقة شريك بن عبد الله القاضي</w:t>
      </w:r>
      <w:r>
        <w:rPr>
          <w:rStyle w:val="FootnoteAnchor"/>
          <w:rtl w:val="true"/>
        </w:rPr>
        <w:footnoteReference w:id="522"/>
      </w:r>
      <w:r>
        <w:rPr>
          <w:rFonts w:ascii="Amiri" w:hAnsi="Amiri" w:eastAsia="Amiri" w:cs="Amiri"/>
          <w:color w:val="111111"/>
          <w:sz w:val="28"/>
          <w:sz w:val="28"/>
          <w:szCs w:val="28"/>
          <w:rtl w:val="true"/>
          <w:lang w:bidi="ar-SA"/>
        </w:rPr>
        <w:t xml:space="preserve">، وهو عامي ظاهراً وقد </w:t>
      </w:r>
    </w:p>
    <w:p>
      <w:pPr>
        <w:pStyle w:val="BookText"/>
        <w:rPr/>
      </w:pPr>
      <w:r>
        <w:rPr>
          <w:rFonts w:ascii="Amiri" w:hAnsi="Amiri" w:eastAsia="Amiri" w:cs="Amiri"/>
          <w:color w:val="111111"/>
          <w:sz w:val="28"/>
          <w:sz w:val="28"/>
          <w:szCs w:val="28"/>
          <w:rtl w:val="true"/>
          <w:lang w:bidi="ar-SA"/>
        </w:rPr>
        <w:t>قدح فيه العامة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أصل الرواية عاميّ وقد رواها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مصادر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شريك نفسه عن يحيى بن معدان، عن حفص بن عمر، عن شريك،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ورد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الرجلين الأولين بواسطتين عن الأعمش عن أبي وائل، عن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هذه الرواية قد تسربت إلى روايات الإمامية بتوسط بعض الضعفاء منهم أخذاً من روايات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التهليل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الكوفي، عن أبيه، عن الحسين ابن سيف، عن أخيه علي، عن أبيه سيف بن عميرة، عن عمرو بن شمر، عن جابر، عن أبي الطفيل،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صعدت تخرق كل سقف لا تمر بشيء من سيئاته إلّا طلستها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تنتهي إلى مثلها من الحسنات فتقف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ثواب الأعمال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عيسى وإبراهيم بن هاشم والحسن بن علي الكوفي، عن الحسين بن سيف، عن عمرو بن شمر إلى آخر الإسناد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سقوط سيف بن عميرة في هذا الإسناد بقرينة إسناد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فمعنى الحديث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منكر في مضمونه، لا لاستكثار الثواب على التهليل بشرطه وشروطه، ولا لما فيه من صعود الثواب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بل من جهة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غريب وغير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الرواية أنّ هذا الأثر للتهليل الواحد، ومثل هذا لم يثبت في الآثار الصحيحة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لم تثبت عن جابر من جهة ضعف الراوي عنه وهو عمرو بن شمر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سورة يس وبعض السّور الأخرى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ثواب قراءة سورة يس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محمَّد بن الحسين بن أبي الخطاب، عن علي بن أسباط، عن يعقوب بن سالم، عن أبي الحسن العبدي،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يس في عمره مرة واحدة كتب الله له بكل خلق في الدنيا وبكل خلق في الآخرة وفي السّماء وبكل واحد ألفي ألف حسنة، ومحا عنه مثل ذلك، ولم يصبه فقر، </w:t>
      </w:r>
    </w:p>
    <w:p>
      <w:pPr>
        <w:pStyle w:val="BookText"/>
        <w:rPr/>
      </w:pPr>
      <w:r>
        <w:rPr>
          <w:rFonts w:ascii="Amiri" w:hAnsi="Amiri" w:eastAsia="Amiri" w:cs="Amiri"/>
          <w:color w:val="111111"/>
          <w:sz w:val="28"/>
          <w:sz w:val="28"/>
          <w:szCs w:val="28"/>
          <w:rtl w:val="true"/>
          <w:lang w:bidi="ar-SA"/>
        </w:rPr>
        <w:t>ولا غرم، ولا هدم، ولا نصب، ولا جنون، ولا جذام، ولا وسواس، ولا داء يضره، وخفّف الله عنه سكرات الموت وأهواله ووَلِيَ قبض روحه، وكان ممّن يضمن الله له السّعة في معيشته والفرج عند لقائه والرضا بالثواب في آخرته، وقال الله تعالى لملائكته أجمعين من في السّماوات 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 فلان فاستغفروا 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وإسناد هذه الرواية مخدوش من جهة أبي الحسن العبدي، والظاهر أنَّ الرجل من العامة، فقد وقع في مناقب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أبو الحسن العبدي</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وأيضاً ذكره ابن حجر في الإصابة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أسناد معظم كتب الصدوق بعضها عاميّة وآخر ينتهي برجال من العامّة، وفي أكثرها يروي عن سليمان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الأمالي ثماني مرات، والتوحيد مرتين، والخصال مرة واحدة، وثواب الأعمال مرتين، وعلل الشرائع ست مرات، وكذلك معاني الأخبار، والفقيه مرة واحدة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العبدي، عن سعد الإسكاف،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531"/>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Style w:val="FootnoteAnchor"/>
          <w:rtl w:val="true"/>
        </w:rPr>
        <w:footnoteReference w:id="532"/>
      </w:r>
      <w:r>
        <w:rPr>
          <w:rFonts w:ascii="Amiri" w:hAnsi="Amiri" w:eastAsia="Amiri" w:cs="Amiri"/>
          <w:color w:val="111111"/>
          <w:sz w:val="28"/>
          <w:sz w:val="28"/>
          <w:szCs w:val="28"/>
          <w:rtl w:val="true"/>
          <w:lang w:bidi="ar-SA"/>
        </w:rPr>
        <w:t>، وعن سليمان الأعمش في تفسير القمي</w:t>
      </w:r>
      <w:r>
        <w:rPr>
          <w:rStyle w:val="FootnoteAnchor"/>
          <w:rtl w:val="true"/>
        </w:rPr>
        <w:footnoteReference w:id="533"/>
      </w:r>
      <w:r>
        <w:rPr>
          <w:rFonts w:ascii="Amiri" w:hAnsi="Amiri" w:eastAsia="Amiri" w:cs="Amiri"/>
          <w:color w:val="111111"/>
          <w:sz w:val="28"/>
          <w:sz w:val="28"/>
          <w:szCs w:val="28"/>
          <w:rtl w:val="true"/>
          <w:lang w:bidi="ar-SA"/>
        </w:rPr>
        <w:t>، وعن أبي هارون العبدي أيضاً في تفسير القمي</w:t>
      </w:r>
      <w:r>
        <w:rPr>
          <w:rStyle w:val="FootnoteAnchor"/>
          <w:rtl w:val="true"/>
        </w:rPr>
        <w:footnoteReference w:id="534"/>
      </w:r>
      <w:r>
        <w:rPr>
          <w:rFonts w:ascii="Amiri" w:hAnsi="Amiri" w:eastAsia="Amiri" w:cs="Amiri"/>
          <w:color w:val="111111"/>
          <w:sz w:val="28"/>
          <w:sz w:val="28"/>
          <w:szCs w:val="28"/>
          <w:rtl w:val="true"/>
          <w:lang w:bidi="ar-SA"/>
        </w:rPr>
        <w:t xml:space="preserve">، ووردت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ابن الحسين أبي الحسن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شواهد التنزيل للحسكاني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في رجاله</w:t>
      </w:r>
      <w:r>
        <w:rPr>
          <w:rStyle w:val="FootnoteAnchor"/>
          <w:rtl w:val="true"/>
        </w:rPr>
        <w:footnoteReference w:id="536"/>
      </w:r>
      <w:r>
        <w:rPr>
          <w:rFonts w:ascii="Amiri" w:hAnsi="Amiri" w:eastAsia="Amiri" w:cs="Amiri"/>
          <w:color w:val="111111"/>
          <w:sz w:val="28"/>
          <w:sz w:val="28"/>
          <w:szCs w:val="28"/>
          <w:rtl w:val="true"/>
          <w:lang w:bidi="ar-SA"/>
        </w:rPr>
        <w:t xml:space="preserve">علي بن الحسن العبدي الكوفي، وكان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وثاقته لوقوعه في تفسير القمي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الفريقين على توثيق أو مدح للرجل؛ وعليه فلا يمكن إثبات انتسابها إلى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مضامين أقوى في فضل سورة يس وغيرها وإن كان في الكلّ إعضال 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المناقشة السّندية في هذه الروايات فإنَّ هذه المضامين يصعب قبولها إذا جمدنا على ظاهرها، من أنَّه يترتب بمجرد قراءة القرآن هكذا آثار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وهذه المضامين اُبتليت بها المدرستان، وهي تنتمي إلى ظاهرة الوضع، قال عثمان بن عبد الرحمن الشهرزوري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الموضوع، وهو المختلق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والواضعون للحديث أصناف وأعظمهم ضرراً قوم من المنسوبين إلى الزهد وضعوا الحديث احتساباً فيما زعموا فتقبل النّاس موضوعاتهم ثقة منهم بهم وركوناً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نوح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من أين لك عن عكرمة عن ابن عباس في فضائل القرآن سورة 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إسحاق فوضعت هذه الأحاديث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حال الحديث الطويل الذي يروى عن أُبي بن كعب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القرآن سورة فسورة، بحث باحث عن مخرجه حتى انتهى إلى من اعترف بأنَّه وجماعة وضعوه وإنَّ أثر الوضع لبيِّن عليه ولقد أخطأ الواحدي المفسِّر ومن ذكره من المفسرين في إيداعه تفاسيرهم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أصناف الكاذبين في الحديث وحكمهم، وقد نقّحها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أنواع منهم من يضع عليه ما لم يقله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ترافعاً واستخفافاً كالزنادقة وأشباههم ممّن لم يرجِ للدين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حسبة بزعمهم وتديناً كجهلة المتعبدين الذين وضعوا الأحاديث في الفضائل والرغائب</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كما نقل لنا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 عند العامّة هذا الخبر بهذا اللفظ</w:t>
      </w:r>
      <w:r>
        <w:rPr>
          <w:rStyle w:val="FootnoteAnchor"/>
          <w:rtl w:val="true"/>
        </w:rPr>
        <w:footnoteReference w:id="542"/>
      </w:r>
      <w:r>
        <w:rPr>
          <w:rFonts w:ascii="Amiri" w:hAnsi="Amiri" w:eastAsia="Amiri" w:cs="Amiri"/>
          <w:color w:val="111111"/>
          <w:sz w:val="28"/>
          <w:sz w:val="28"/>
          <w:szCs w:val="28"/>
          <w:rtl w:val="true"/>
          <w:lang w:bidi="ar-SA"/>
        </w:rPr>
        <w:t>أو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أو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عليَّ، فإنَّه من يكذب عليَّ يلج النار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الواضح 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يوثق أنَّ ظاهرة الوضع حدثت في عصر الرسالة، ولكن قطعاً لم يكونوا من الشّيعة؛ لأنَّ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العصر كانوا معروفين بالتقوى والدين والورع وصدق اللهجة والإخبات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فظاهرة الوضع عند العامّة أسبق منها عند الخاصّة، بل لا يبعد تأثّر ضعفاء الخاصّة في ما بعد بما عند العامّة من الموضوعات، وذلك لأنَّهم يرون أنَّ كل ما يرويه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مثله أو زيادة مروياً أيضاً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أنَّ كل ما عند الناس عندهم لا يشذّ عنهم شيء وما إلى ذلك، فيتبرعون بجعل أحاديث على لسان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ويضعونها في كتب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على تأثّر الوضّاعين عند الخاصّة بما عند العامّة ما تقدّم آنفاً في ذكر فضائل بعض سور القرآن الكريم، فقد سبقنا العامّة في ذلك كما في أبي عصمة نوح بن أبي مريم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هذا، وقد وردت روايته عن جابر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مرّ ذكره في ما نقلناه من كتاب 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على لسان عكرمة عن ابن عباس فضائل القرآن سورة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ما عند العامّة ما رواه أحمد في مسنده بإسناده عن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سوق لا إله إلّا الله وحده لا شريك له، له الملك وله الحمد بيده الخير يحيي ويميت وهو على كل شيء قدير، كتب الله له بها ألف ألف حسنة ومحا عنه بها ألف ألف سيئة وبنى له بيتاً في الجنة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نفس هذا الحديث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الإسناد، ولكن في آخره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له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له ألف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أيضاً بإسناده عن تميم الداري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أشهد أن لا إله إلّا الله وحده لا شريك له إلهاً واحداً أحداً صمداً لم يتخذ صاحبة ولا ولداً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كتب الله له أربعين ألف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لا نعرفه إلّا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بن مرة ليس بالقوي عند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الطبراني بإسناده عن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قام بين صف الرجال والنساء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النساء إذا سمعتن أذان هذا الحبشي وإقامته فقلن كما يقول؛ فإنَّ لَكُنّ بكل حرف ألف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للنساء فماذا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ضعفان يا عمر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الطبراني بإسناده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 ألف حرف وسبعة وعشرون ألف حرف فمن قرأه صابراً محتسباً كان له بكل حرف زوجة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يُروى هذا الحديث عن عمر رضي الله عنه إلّا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حفص بن ميسرة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كثير، ومن ثَمَّ نرى أنَّ البخاري ومسلم لم يرويا أمثال هذه الروايات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الظاهرة وأسبابها ونتائجها موكول إلى محل آخر لا يسع المقام الخوض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العياشي في تفسيره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قابيل بن آدم معلّق بقرونه في عين الشمس، تدور به حيث دارت في زمهريرها وحميمها إلى يوم القيامة، فإذا كان يوم القيامة صيّره الله إلى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غريب ومنكر ومخالف مع الواقع الخارجي ببداهة أيضاً، إذ إنَّ الشمس لا زمهرير فيها وإنَّما هي كتلة من النّار، تبلغ درجة حرارة مركزها حوالي ستة </w:t>
      </w:r>
    </w:p>
    <w:p>
      <w:pPr>
        <w:pStyle w:val="BookText"/>
        <w:rPr/>
      </w:pPr>
      <w:r>
        <w:rPr>
          <w:rFonts w:ascii="Amiri" w:hAnsi="Amiri" w:eastAsia="Amiri" w:cs="Amiri"/>
          <w:color w:val="111111"/>
          <w:sz w:val="28"/>
          <w:sz w:val="28"/>
          <w:szCs w:val="28"/>
          <w:rtl w:val="true"/>
          <w:lang w:bidi="ar-SA"/>
        </w:rPr>
        <w:t>عشر مليون درجة مئوية، ودرجة حرارة السطح خمسة آلاف وخمسمائة درجة مئوية، ودرجة حرارة هالتها مليوني درجة مئوية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الحديث عن جابر من جهة الإرسال، ولا يظن إسناده إلّا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النعماني في غيبته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شمر،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تقرأون هذه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سأل سائل بعذاب واقع، إنَّما هو سال سيل وهي نار تقع في الثوية، ثُمَّ تمضي إلى كناسة بني أسد، ثُمَّ تمضي إلى ثقيف فلا تدع وتراً لآل محمَّد إلّا أحرقته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باطلة؛ لما فيها من وقوع التحريف في القرآن الكريم، مع أنّ اللفظ المذكور لا يشبه النسق القرآني، كما أنّ الإشارة بالآية إلى حدث يقع في الثوية بظهر الكوفة، بعيدٌ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أنّها 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بالإرسال بأكثر من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سند هذه الرواية وكتب الفهارس</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عبد الله بن حمّاد الأنصاري وعمرو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النعماني وجابر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موثقين، بل صرّح بضعف بعضهم واتهامه في دينه</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بن إسحاق النهاوندي،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إسحاق، أبو إسحاق الأحمري النهاوندي، كان ضعيفاً في حديثه متهوماً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ضعيفاً في حديثه متّهماً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ضعّفه في رجاله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وأيضاً ضعّفه ابن الغضائري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553"/>
      </w:r>
      <w:r>
        <w:rPr>
          <w:rFonts w:ascii="Amiri" w:hAnsi="Amiri" w:eastAsia="Amiri" w:cs="Amiri"/>
          <w:color w:val="111111"/>
          <w:sz w:val="28"/>
          <w:sz w:val="28"/>
          <w:szCs w:val="28"/>
          <w:rtl w:val="true"/>
          <w:lang w:bidi="ar-SA"/>
        </w:rPr>
        <w:t>أنّ هذا تأويل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غريب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وما ورد من كيفية قراءة هذه الآية بالرواية موجود في بعض كتب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بعضهم يقرؤها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همزٍ من باب السَّيْل،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من نارٍ يسيل</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بهذا البعض الزمخشري في كشافه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السؤال وهي لغة قريش،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 تسأل، وهما يتسايلان، وأن يكون من السيلان، ويؤيده قراءة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والسيل مصدر في معنى السائل كالغور بمعنى الغائر،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 عليهم وادي عذاب فذهب بهم وأهلكهم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بعض الضعفاء أخذ هذه القراءة فجعل منها رواية تتعلق بعصر ما قبل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الطبري في دلائل الإمامة، قال أبو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أحمد بن منصور الرمادي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شاذان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مُرة</w:t>
      </w:r>
    </w:p>
    <w:p>
      <w:pPr>
        <w:pStyle w:val="BookText"/>
        <w:rPr/>
      </w:pPr>
      <w:r>
        <w:rPr>
          <w:rFonts w:ascii="Amiri" w:hAnsi="Amiri" w:eastAsia="Amiri" w:cs="Amiri"/>
          <w:color w:val="111111"/>
          <w:sz w:val="28"/>
          <w:sz w:val="28"/>
          <w:szCs w:val="28"/>
          <w:rtl w:val="true"/>
          <w:lang w:bidi="ar-SA"/>
        </w:rPr>
        <w:t>وعلى هذا فلا يمكن أن يروي الطبري عن هذا الرجل مباشرة؛ إذ بينهما أكثر من قرن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العنوان غير موجود في كتب الرجال والفهارس للعامّة والخاصّة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العنوان غير موجود في كتب الرجال والفهارس للعامّة والخاصّة، فالرجل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قبيصة بن عبد الحميد</w:t>
      </w:r>
      <w:r>
        <w:rPr>
          <w:rStyle w:val="FootnoteAnchor"/>
          <w:rtl w:val="true"/>
        </w:rPr>
        <w:footnoteReference w:id="5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مولاي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صنع فيلاً من طين فركبه وطار في الهواء حتى ذهب إلى مكة عليه ورجع، فلم أصدق ذلك منه حتى رأيت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جابر عنك بكذا وكذا، فصنع مثله وركب وحملني معه إلى مكة وردّني</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والإعضال المتني في هذه الرواية هو أنّ علاءم الوضع واضحة عليها لا يمكن التصديق بصدورها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الرواية أيضاً لا تثبت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الإرسال بين المؤلف والراوي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باقي السّند؛ إذ إنَّهم كلهم مهملين لا ذكر لهم في كتب الفهارس والرجال عند العامّة فضلاً عن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بحسب ظاهر السّند لا يمكن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الطبقة الرابعة التي أدركت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يقع إلّا في هذا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عن عدة من أصحابنا، عن أحمد بن أبي عبد الله عن بعض أصحابنا بلغ به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نعلاً صفراء لم يزل ينظر في سرور ما دامت عليه؛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w:t>
      </w:r>
    </w:p>
    <w:p>
      <w:pPr>
        <w:pStyle w:val="BookText"/>
        <w:rPr/>
      </w:pP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غرابة وليس في الآية دلالة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عقد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 ألوان النّعال</w:t>
      </w:r>
      <w:r>
        <w:rPr>
          <w:rStyle w:val="FootnoteAnchor"/>
          <w:rtl w:val="true"/>
        </w:rPr>
        <w:footnoteReference w:id="560"/>
      </w:r>
      <w:r>
        <w:rPr>
          <w:rFonts w:ascii="Amiri" w:hAnsi="Amiri" w:eastAsia="Amiri" w:cs="Amiri"/>
          <w:color w:val="111111"/>
          <w:sz w:val="28"/>
          <w:sz w:val="28"/>
          <w:szCs w:val="28"/>
          <w:rtl w:val="true"/>
          <w:lang w:bidi="ar-SA"/>
        </w:rPr>
        <w:t>أورد فيه سبعة أحاديث في هذا الموضوع، والأحاديث السّبعة كلّها معضلة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اشتمالها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الجهتين معاً، وكانت حصة النّعال الأصفر منها أربعة أحاديث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والخامس والسّادس والسّابع، والأخير منها موقوف على عبد الملك بن بحر صاحب اللؤلؤ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أنَّ هذا المضمون اقتبسه ضعفاء أصحابنا من ضعفاء العامّة الذين رووه موضوعاً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ودسوه في كتبنا، ومن ثَمَّ لاحظنا أنَّ أسناد هذه الروايات مظلم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 بإسناده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نعلاً صفراء لم يزل في سرور ما دام لابسها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الزيلعي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قلَّ همّه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الزيلعي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عن علي، ولم أجده إلّا عن ابن عباس رواه الطبراني في معجمه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من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مضمون غريب تفرّد به جابر بن يزيد الجعفي بطريق صحيح إليه يمكن أن يكون قادحاً به، 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بل كما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الآفة ليست في جابر الجعفي وإنَّما في من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الآفة لا تنحصر بالذين رووا عن جابر مباشرة، بل تشمل الضعفاء في بعض الطبقات من بعدهم ممّن أرسلوا عنه، أو وضعوا أسانيد وهمية وأوصلوها إليه لتكون هذه الروايات مسندة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سرّ نسبة ما وضعه الوضّاعون إلى طريق جابر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عرف بأنّه صاحب سرّ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الرواية من طريقه تشير إلى أنّه من قبيل الأسرار الموجب لجاذبية الحديث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تهمة الوضع من جهةِ عدم كون الحديث معهوداً وغريباً لدى سائر الأصحاب من جهةٍ أخرى، فيدعى أنّ غرابته لكونه من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عرف بأنّه روى أحاديث كثيرة لم ينشرها، ومن ثَمَّ يجد في نسبة الحديث إليه مجالاً أكثر للتصديق وادعاء كونه من الأسرار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الأحاديث الموضوعة هي من قبيل الملاحم ونحوها، وهذا يناسب شخصية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كان شخصية مشهورة جليلة ومعروفة بالقبول،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يصدق علينا، فيمكن تحميله ما لا يحتمله غيره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جابراً كان قد روى عن رجال العامة، فإذا قصد الواضع أن ينسب حديثاً من طريق العامة لغرض من الأغراض لتأكيد مضمونه، أو لكونه أخذ </w:t>
      </w:r>
    </w:p>
    <w:p>
      <w:pPr>
        <w:pStyle w:val="BookText"/>
        <w:rPr/>
      </w:pPr>
      <w:r>
        <w:rPr>
          <w:rFonts w:ascii="Amiri" w:hAnsi="Amiri" w:eastAsia="Amiri" w:cs="Amiri"/>
          <w:color w:val="111111"/>
          <w:sz w:val="28"/>
          <w:sz w:val="28"/>
          <w:szCs w:val="28"/>
          <w:rtl w:val="true"/>
          <w:lang w:bidi="ar-SA"/>
        </w:rPr>
        <w:t>الحديث من كتبهم رواه من طريق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عرف بالأعاجيب والغرائب ودفع عنه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الكذب كما تقدّم في الأخبار المروية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جابراً بن يزيد الجعفي ثقة، بل جليل بتعاضد الطرق الثّلاثة للتوثيق والتضعيف من الروايات المادحة له، وشهادات علماء الرجال، وسلامة ما ثبت عنه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الرّجل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البحث عن موقف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تنقيح أنَّه هل يتحصّل منه ما ينفع في البحث الداخلي الرجالي لدى الإمامية؛ إذ قد يجعل توثيقهم لرجل خاصّة من الإمامية دليلاً على وثاقته، وطعنهم في أحد خاصّة إذا كان منهم دليلاً على ضعفه، والأوَّل يجري في المقام لتوثيق جماعة منهم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 يجري لما يظهر من أنَّ الطعن عليه كان لعقيدته أو نحو ذلك لا لعدم استقامة أحاديثه، كما يشهد عليه قول أحد أركان مذهبهم ألا وهو أحمد ابن حنبل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يتكلم في جابر في حديثه إنّما تكلم فيه لرأيه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تنقيح البحث الداخلي لدى العامّة الذي ينفع في البحث المقارن المبني على مراعاة أصولهم، والأقرب وثاقة الرجل وفق هذا المنظور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اختلف علماء العامّة ورجاليوها حول جابر بين موثق ومادح وبين مضعّف، ويظهر بملاحظة كلماتهم أنّ موجة التضعيف قويت تدريجاً حتى أصبح هو الموقف السّائد، ويمكن أن يكون الوجه في ذلك غلبة الجرح على التعديل بحسب رأي </w:t>
      </w:r>
      <w:bookmarkStart w:id="485" w:name="pg9131_76056"/>
    </w:p>
    <w:p>
      <w:pPr>
        <w:pStyle w:val="BookText"/>
        <w:rPr/>
      </w:pPr>
      <w:bookmarkEnd w:id="485"/>
      <w:r>
        <w:rPr>
          <w:rFonts w:ascii="Amiri" w:hAnsi="Amiri" w:eastAsia="Amiri" w:cs="Amiri"/>
          <w:color w:val="111111"/>
          <w:sz w:val="28"/>
          <w:sz w:val="28"/>
          <w:szCs w:val="28"/>
          <w:rtl w:val="true"/>
          <w:lang w:bidi="ar-SA"/>
        </w:rPr>
        <w:t>جمهور الرجاليين، مضافاً إلى زيادة الحساسيات المذهبية، لاسيّما مع انعزال الفرق في بيئاتها العلمية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ذكرنا نذكر كلمات الفريقين بحسب طبقاتهم</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2991980_2870459653"/>
      <w:bookmarkStart w:id="487" w:name="_Toc186"/>
      <w:bookmarkEnd w:id="486"/>
      <w:r>
        <w:rPr>
          <w:rtl w:val="true"/>
        </w:rPr>
        <w:t>أقوال المادحين</w:t>
      </w:r>
      <w:r>
        <w:rPr>
          <w:rtl w:val="true"/>
        </w:rPr>
        <w:t>..</w:t>
      </w:r>
      <w:bookmarkEnd w:id="487"/>
    </w:p>
    <w:p>
      <w:pPr>
        <w:pStyle w:val="Heading6"/>
        <w:numPr>
          <w:ilvl w:val="5"/>
          <w:numId w:val="1"/>
        </w:numPr>
        <w:rPr/>
      </w:pPr>
      <w:bookmarkStart w:id="488" w:name="__RefHeading___Toc2991982_2870459653"/>
      <w:bookmarkStart w:id="489" w:name="_Toc187"/>
      <w:bookmarkEnd w:id="488"/>
      <w:r>
        <w:rPr>
          <w:rtl w:val="true"/>
        </w:rPr>
        <w:t>الطبقة الأولى</w:t>
      </w:r>
      <w:r>
        <w:rPr>
          <w:rtl w:val="true"/>
        </w:rPr>
        <w:t xml:space="preserve">: </w:t>
      </w:r>
      <w:r>
        <w:rPr>
          <w:rtl w:val="true"/>
        </w:rPr>
        <w:t>تلامذة جابر</w:t>
      </w:r>
      <w:r>
        <w:rPr>
          <w:rtl w:val="true"/>
        </w:rPr>
        <w:t>..</w:t>
      </w:r>
      <w:bookmarkEnd w:id="489"/>
    </w:p>
    <w:p>
      <w:pPr>
        <w:pStyle w:val="Heading6"/>
        <w:numPr>
          <w:ilvl w:val="5"/>
          <w:numId w:val="1"/>
        </w:numPr>
        <w:rPr/>
      </w:pPr>
      <w:bookmarkStart w:id="490" w:name="__RefHeading___Toc2991984_2870459653"/>
      <w:bookmarkStart w:id="491" w:name="_Toc188"/>
      <w:bookmarkEnd w:id="490"/>
      <w:r>
        <w:rPr/>
        <w:t>1</w:t>
      </w:r>
      <w:r>
        <w:rPr>
          <w:rtl w:val="true"/>
        </w:rPr>
        <w:t xml:space="preserve">. </w:t>
      </w:r>
      <w:r>
        <w:rPr>
          <w:rtl w:val="true"/>
        </w:rPr>
        <w:t xml:space="preserve">شعبة بن الحجّاج </w:t>
      </w:r>
      <w:r>
        <w:rPr>
          <w:rtl w:val="true"/>
        </w:rPr>
        <w:t>(</w:t>
      </w:r>
      <w:r>
        <w:rPr>
          <w:rtl w:val="true"/>
        </w:rPr>
        <w:t xml:space="preserve">ت </w:t>
      </w:r>
      <w:r>
        <w:rPr/>
        <w:t>160</w:t>
      </w:r>
      <w:r>
        <w:rPr>
          <w:rtl w:val="true"/>
        </w:rPr>
        <w:t xml:space="preserve">ﻫ </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حنبل أنّ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جابر الجعفي ومحمَّد بن إسحاق</w:t>
      </w:r>
      <w:r>
        <w:rPr>
          <w:rStyle w:val="FootnoteAnchor"/>
          <w:rtl w:val="true"/>
        </w:rPr>
        <w:footnoteReference w:id="564"/>
      </w:r>
      <w:r>
        <w:rPr>
          <w:rFonts w:ascii="Amiri" w:hAnsi="Amiri" w:eastAsia="Amiri" w:cs="Amiri"/>
          <w:color w:val="111111"/>
          <w:sz w:val="28"/>
          <w:sz w:val="28"/>
          <w:szCs w:val="28"/>
          <w:rtl w:val="true"/>
          <w:lang w:bidi="ar-SA"/>
        </w:rPr>
        <w:t>فصدوقان في الحديث</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حاتم الرازي عن شعبة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تنظروا إلى هؤلاء المجانين الذين يقعون في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جاءكم عن أحد بشيء لم يلقه،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يبلغه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عدي عن شعبة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زكريا بن أبي زائدة يزاحمنا عند جابر، فقال لي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شباب هذا الشيخ ما يزاحمنا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جابراً لم يكن يكذب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عدي أيضاً بإسناده عن شعبة عن جابر، سمعت مجاهد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492" w:name="pg9131_76057"/>
    </w:p>
    <w:p>
      <w:pPr>
        <w:pStyle w:val="BookText"/>
        <w:rPr/>
      </w:pPr>
      <w:bookmarkEnd w:id="492"/>
      <w:r>
        <w:rPr>
          <w:rFonts w:ascii="Amiri" w:hAnsi="Amiri" w:eastAsia="Amiri" w:cs="Amiri"/>
          <w:color w:val="111111"/>
          <w:sz w:val="28"/>
          <w:sz w:val="28"/>
          <w:szCs w:val="28"/>
          <w:rtl w:val="true"/>
          <w:lang w:bidi="ar-SA"/>
        </w:rPr>
        <w:t>الله عزّ وجلّ لا يحب الفرحين الأشرين البطرين المرحين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جابر؟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وسمعت فهو من أوثق الناس</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2991986_2870459653"/>
      <w:bookmarkStart w:id="494" w:name="_Toc189"/>
      <w:bookmarkEnd w:id="493"/>
      <w:r>
        <w:rPr/>
        <w:t>2</w:t>
      </w:r>
      <w:r>
        <w:rPr>
          <w:rtl w:val="true"/>
        </w:rPr>
        <w:t xml:space="preserve">. </w:t>
      </w:r>
      <w:r>
        <w:rPr>
          <w:rtl w:val="true"/>
        </w:rPr>
        <w:t xml:space="preserve">سفيان الثّوري </w:t>
      </w:r>
      <w:r>
        <w:rPr>
          <w:rtl w:val="true"/>
        </w:rPr>
        <w:t>(</w:t>
      </w:r>
      <w:r>
        <w:rPr>
          <w:rtl w:val="true"/>
        </w:rPr>
        <w:t xml:space="preserve">ت </w:t>
      </w:r>
      <w:r>
        <w:rPr/>
        <w:t>161</w:t>
      </w:r>
      <w:r>
        <w:rPr>
          <w:rtl w:val="true"/>
        </w:rPr>
        <w:t xml:space="preserve">ﻫ </w:t>
      </w:r>
      <w:r>
        <w:rPr>
          <w:rtl w:val="true"/>
        </w:rPr>
        <w:t>)</w:t>
      </w:r>
      <w:bookmarkEnd w:id="49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 جابر الجعفي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الجعفي ولا منصور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مهدي، عن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جابر الجعفي ورعاً في الحديث، ما رأيت أورع منه في الحديث</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 لشعبة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تكلمت في جابر الجعفي لأتكلمن فيك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2991988_2870459653"/>
      <w:bookmarkStart w:id="496" w:name="_Toc190"/>
      <w:bookmarkEnd w:id="495"/>
      <w:r>
        <w:rPr/>
        <w:t>3</w:t>
      </w:r>
      <w:r>
        <w:rPr>
          <w:rtl w:val="true"/>
        </w:rPr>
        <w:t xml:space="preserve">. </w:t>
      </w:r>
      <w:r>
        <w:rPr>
          <w:rtl w:val="true"/>
        </w:rPr>
        <w:t xml:space="preserve">زهير بن معاوية </w:t>
      </w:r>
      <w:r>
        <w:rPr>
          <w:rtl w:val="true"/>
        </w:rPr>
        <w:t>(</w:t>
      </w:r>
      <w:r>
        <w:rPr>
          <w:rtl w:val="true"/>
        </w:rPr>
        <w:t xml:space="preserve">ت </w:t>
      </w:r>
      <w:r>
        <w:rPr/>
        <w:t>172</w:t>
      </w:r>
      <w:r>
        <w:rPr>
          <w:rtl w:val="true"/>
        </w:rPr>
        <w:t xml:space="preserve">ﻫ </w:t>
      </w:r>
      <w:r>
        <w:rPr>
          <w:rtl w:val="true"/>
        </w:rPr>
        <w:t>)</w:t>
      </w:r>
      <w:bookmarkEnd w:id="4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جابراً الجعفي، فقال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جابر إذا قال سمعت، أو سألت فهو من أصدق الناس</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497" w:name="pg9131_76058"/>
    </w:p>
    <w:p>
      <w:pPr>
        <w:pStyle w:val="BookText"/>
        <w:rPr/>
      </w:pPr>
      <w:bookmarkEnd w:id="49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جابر سألت وسمعت فلا عليك أن لا تسمع من غيره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وكيع وزهير بن معاوية يوثقانه ويثنيان عليه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2991990_2870459653"/>
      <w:bookmarkStart w:id="499" w:name="_Toc191"/>
      <w:bookmarkEnd w:id="498"/>
      <w:r>
        <w:rPr>
          <w:rtl w:val="true"/>
        </w:rPr>
        <w:t>الطبقة الثّانية</w:t>
      </w:r>
      <w:r>
        <w:rPr>
          <w:rtl w:val="true"/>
        </w:rPr>
        <w:t xml:space="preserve">: </w:t>
      </w:r>
      <w:r>
        <w:rPr>
          <w:rtl w:val="true"/>
        </w:rPr>
        <w:t>تلامذة تلامذته</w:t>
      </w:r>
      <w:r>
        <w:rPr>
          <w:rtl w:val="true"/>
        </w:rPr>
        <w:t>..</w:t>
      </w:r>
      <w:bookmarkEnd w:id="499"/>
    </w:p>
    <w:p>
      <w:pPr>
        <w:pStyle w:val="Heading6"/>
        <w:numPr>
          <w:ilvl w:val="5"/>
          <w:numId w:val="1"/>
        </w:numPr>
        <w:rPr/>
      </w:pPr>
      <w:bookmarkStart w:id="500" w:name="__RefHeading___Toc2991992_2870459653"/>
      <w:bookmarkStart w:id="501" w:name="_Toc192"/>
      <w:bookmarkEnd w:id="500"/>
      <w:r>
        <w:rPr/>
        <w:t>1</w:t>
      </w:r>
      <w:r>
        <w:rPr>
          <w:rtl w:val="true"/>
        </w:rPr>
        <w:t xml:space="preserve">. </w:t>
      </w:r>
      <w:r>
        <w:rPr>
          <w:rtl w:val="true"/>
        </w:rPr>
        <w:t xml:space="preserve">وكيع </w:t>
      </w:r>
      <w:r>
        <w:rPr>
          <w:rtl w:val="true"/>
        </w:rPr>
        <w:t>(</w:t>
      </w:r>
      <w:r>
        <w:rPr>
          <w:rtl w:val="true"/>
        </w:rPr>
        <w:t xml:space="preserve">ت </w:t>
      </w:r>
      <w:r>
        <w:rPr/>
        <w:t>197</w:t>
      </w:r>
      <w:r>
        <w:rPr>
          <w:rtl w:val="true"/>
        </w:rPr>
        <w:t xml:space="preserve">ﻫ </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الترمذي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جابر الجعفي لكان أهل الكوفة بغير حديث</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حاتم أنّ وكيعاً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شككتم في شيء فلا تشكوا أنَّ جابر بن يزيد أبا محمَّد الجعفي، ثقة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عدي عن محمَّد بن أيوب عن محمَّد بن إبراهيم أنّه سمع وكيعاً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يقول في جابر الجعفي بعدما أخذ عنه سفيان وشعبة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502" w:name="pg9131_76059"/>
    </w:p>
    <w:p>
      <w:pPr>
        <w:pStyle w:val="Heading6"/>
        <w:numPr>
          <w:ilvl w:val="5"/>
          <w:numId w:val="1"/>
        </w:numPr>
        <w:rPr/>
      </w:pPr>
      <w:bookmarkStart w:id="503" w:name="__RefHeading___Toc2991994_2870459653"/>
      <w:bookmarkStart w:id="504" w:name="_Toc193"/>
      <w:bookmarkEnd w:id="502"/>
      <w:bookmarkEnd w:id="503"/>
      <w:r>
        <w:rPr/>
        <w:t>2</w:t>
      </w:r>
      <w:r>
        <w:rPr>
          <w:rtl w:val="true"/>
        </w:rPr>
        <w:t xml:space="preserve">. </w:t>
      </w:r>
      <w:r>
        <w:rPr>
          <w:rtl w:val="true"/>
        </w:rPr>
        <w:t xml:space="preserve">يزيد بن هارون </w:t>
      </w:r>
      <w:r>
        <w:rPr>
          <w:rtl w:val="true"/>
        </w:rPr>
        <w:t>(</w:t>
      </w:r>
      <w:r>
        <w:rPr>
          <w:rtl w:val="true"/>
        </w:rPr>
        <w:t xml:space="preserve">ت </w:t>
      </w:r>
      <w:r>
        <w:rPr/>
        <w:t>206</w:t>
      </w:r>
      <w:r>
        <w:rPr>
          <w:rtl w:val="true"/>
        </w:rPr>
        <w:t xml:space="preserve">ﻫ </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حاتم عن أبي سعيد يحيى بن سعيد القطان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بحديث شريك عن جابر الجعفي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w:t>
      </w:r>
      <w:r>
        <w:rPr>
          <w:rStyle w:val="FootnoteAnchor"/>
          <w:rtl w:val="true"/>
        </w:rPr>
        <w:footnoteReference w:id="579"/>
      </w:r>
      <w:r>
        <w:rPr>
          <w:rFonts w:ascii="Amiri" w:hAnsi="Amiri" w:eastAsia="Amiri" w:cs="Amiri"/>
          <w:color w:val="111111"/>
          <w:sz w:val="28"/>
          <w:sz w:val="28"/>
          <w:szCs w:val="28"/>
          <w:rtl w:val="true"/>
          <w:lang w:bidi="ar-SA"/>
        </w:rPr>
        <w:t>وعبد الرحمن بن مهدي</w:t>
      </w:r>
      <w:r>
        <w:rPr>
          <w:rStyle w:val="FootnoteAnchor"/>
          <w:rtl w:val="true"/>
        </w:rPr>
        <w:footnoteReference w:id="580"/>
      </w:r>
      <w:r>
        <w:rPr>
          <w:rFonts w:ascii="Amiri" w:hAnsi="Amiri" w:eastAsia="Amiri" w:cs="Amiri"/>
          <w:color w:val="111111"/>
          <w:sz w:val="28"/>
          <w:sz w:val="28"/>
          <w:szCs w:val="28"/>
          <w:rtl w:val="true"/>
          <w:lang w:bidi="ar-SA"/>
        </w:rPr>
        <w:t xml:space="preserve">لِمَ اسقطا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يخافان أن يأخذهما في القيامة فيقول لهما لِمَ اسقطتما عدلي؟</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2991996_2870459653"/>
      <w:bookmarkStart w:id="506" w:name="_Toc194"/>
      <w:bookmarkEnd w:id="505"/>
      <w:r>
        <w:rPr>
          <w:rtl w:val="true"/>
        </w:rPr>
        <w:t>الطبقة الثّالثة</w:t>
      </w:r>
      <w:r>
        <w:rPr>
          <w:rtl w:val="true"/>
        </w:rPr>
        <w:t xml:space="preserve">: </w:t>
      </w:r>
      <w:r>
        <w:rPr>
          <w:rtl w:val="true"/>
        </w:rPr>
        <w:t>طبقة ما بعد تلامذة تلامذته</w:t>
      </w:r>
      <w:r>
        <w:rPr>
          <w:rtl w:val="true"/>
        </w:rPr>
        <w:t>..</w:t>
      </w:r>
      <w:bookmarkEnd w:id="506"/>
    </w:p>
    <w:p>
      <w:pPr>
        <w:pStyle w:val="Heading6"/>
        <w:numPr>
          <w:ilvl w:val="5"/>
          <w:numId w:val="1"/>
        </w:numPr>
        <w:rPr/>
      </w:pPr>
      <w:bookmarkStart w:id="507" w:name="__RefHeading___Toc2991998_2870459653"/>
      <w:bookmarkStart w:id="508" w:name="_Toc195"/>
      <w:bookmarkEnd w:id="507"/>
      <w:r>
        <w:rPr/>
        <w:t>1</w:t>
      </w:r>
      <w:r>
        <w:rPr>
          <w:rtl w:val="true"/>
        </w:rPr>
        <w:t xml:space="preserve">. </w:t>
      </w:r>
      <w:r>
        <w:rPr>
          <w:rtl w:val="true"/>
        </w:rPr>
        <w:t xml:space="preserve">أحمد ابن حنبل </w:t>
      </w:r>
      <w:r>
        <w:rPr>
          <w:rtl w:val="true"/>
        </w:rPr>
        <w:t>(</w:t>
      </w:r>
      <w:r>
        <w:rPr>
          <w:rtl w:val="true"/>
        </w:rPr>
        <w:t xml:space="preserve">ت </w:t>
      </w:r>
      <w:r>
        <w:rPr/>
        <w:t>241</w:t>
      </w:r>
      <w:r>
        <w:rPr>
          <w:rtl w:val="true"/>
        </w:rPr>
        <w:t xml:space="preserve">ﻫ </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البغدادي عن إبراهيم بن مهدي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عليّة</w:t>
      </w:r>
      <w:r>
        <w:rPr>
          <w:rStyle w:val="FootnoteAnchor"/>
          <w:rtl w:val="true"/>
        </w:rPr>
        <w:footnoteReference w:id="582"/>
      </w:r>
      <w:r>
        <w:rPr>
          <w:rFonts w:ascii="Amiri" w:hAnsi="Amiri" w:eastAsia="Amiri" w:cs="Amiri"/>
          <w:color w:val="111111"/>
          <w:sz w:val="28"/>
          <w:sz w:val="28"/>
          <w:szCs w:val="28"/>
          <w:rtl w:val="true"/>
          <w:lang w:bidi="ar-SA"/>
        </w:rPr>
        <w:t>يقول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إسحاق وجابر الجعفي فصدوقان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509" w:name="pg9131_76060"/>
    </w:p>
    <w:p>
      <w:pPr>
        <w:pStyle w:val="BookText"/>
        <w:rPr/>
      </w:pPr>
      <w:bookmarkEnd w:id="50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الدارقطني بإسناده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السنن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أحمد ابن حنبل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يتكلم في جابر في حديثه، إنَّما تكلم فيه لرأيه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2992000_2870459653"/>
      <w:bookmarkStart w:id="511" w:name="_Toc196"/>
      <w:bookmarkEnd w:id="510"/>
      <w:r>
        <w:rPr>
          <w:rtl w:val="true"/>
        </w:rPr>
        <w:t>الطبقات المتأخرة</w:t>
      </w:r>
      <w:r>
        <w:rPr>
          <w:rtl w:val="true"/>
        </w:rPr>
        <w:t>..</w:t>
      </w:r>
      <w:bookmarkEnd w:id="511"/>
    </w:p>
    <w:p>
      <w:pPr>
        <w:pStyle w:val="Heading6"/>
        <w:numPr>
          <w:ilvl w:val="5"/>
          <w:numId w:val="1"/>
        </w:numPr>
        <w:rPr/>
      </w:pPr>
      <w:bookmarkStart w:id="512" w:name="__RefHeading___Toc2992002_2870459653"/>
      <w:bookmarkStart w:id="513" w:name="_Toc197"/>
      <w:bookmarkEnd w:id="512"/>
      <w:r>
        <w:rPr>
          <w:rtl w:val="true"/>
        </w:rPr>
        <w:t xml:space="preserve">ابن عدي </w:t>
      </w:r>
      <w:r>
        <w:rPr>
          <w:rtl w:val="true"/>
        </w:rPr>
        <w:t>(</w:t>
      </w:r>
      <w:r>
        <w:rPr>
          <w:rtl w:val="true"/>
        </w:rPr>
        <w:t xml:space="preserve">ت </w:t>
      </w:r>
      <w:r>
        <w:rPr/>
        <w:t>365</w:t>
      </w:r>
      <w:r>
        <w:rPr>
          <w:rtl w:val="true"/>
        </w:rPr>
        <w:t xml:space="preserve">ﻫ </w:t>
      </w:r>
      <w:r>
        <w:rPr>
          <w:rtl w:val="true"/>
        </w:rPr>
        <w:t>)</w:t>
      </w:r>
      <w:bookmarkEnd w:id="513"/>
    </w:p>
    <w:p>
      <w:pPr>
        <w:pStyle w:val="BookText"/>
        <w:rPr/>
      </w:pPr>
      <w:r>
        <w:rPr>
          <w:rFonts w:ascii="Amiri" w:hAnsi="Amiri" w:eastAsia="Amiri" w:cs="Amiri"/>
          <w:color w:val="111111"/>
          <w:sz w:val="28"/>
          <w:sz w:val="28"/>
          <w:szCs w:val="28"/>
          <w:rtl w:val="true"/>
          <w:lang w:bidi="ar-SA"/>
        </w:rPr>
        <w:t>ابن عدي</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ولجابر حديث صالح، وقد روى عنه الثّوري الكثير وشعبة أقل رواية عنه من الثّوري، وحدّث عنه زهير وشريك وسفيان والحسن بن صالح وابن عيينة وأهل الكوفة وغيرهم، وقد احتمله الناس ورووا عنه، وعامّة ما قذفوه أنَّه 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عنه الثّوري مقدار خمسين حديثاً ولم يتخلّف أحد في الرواية عنه، ولم أرَ له أحاديث جاوزت المقدار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ترجمته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 هذا كلّه أقرب إلى الضعف منه إلى الصدق</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احتج بروايات جابر وأخرجها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ثابت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أنَّه روى عن جابر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ذكر ابن حبان في صحيحه وابن حجر في فتحه والعيني في عمدته وغيرهم أنَّه عمل بحديث جابر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9131_76061"/>
    </w:p>
    <w:p>
      <w:pPr>
        <w:pStyle w:val="BookText"/>
        <w:rPr/>
      </w:pPr>
      <w:bookmarkEnd w:id="514"/>
      <w:r>
        <w:rPr>
          <w:rFonts w:ascii="Amiri" w:hAnsi="Amiri" w:eastAsia="Amiri" w:cs="Amiri"/>
          <w:color w:val="111111"/>
          <w:sz w:val="28"/>
          <w:sz w:val="28"/>
          <w:szCs w:val="28"/>
          <w:rtl w:val="true"/>
          <w:lang w:bidi="ar-SA"/>
        </w:rPr>
        <w:t>مضافاً إلى ذلك فقد أخرج أصحاب الصحاح والمسانيد والسّنن روايات عن جابر واحتجّوا بها كما مرّ تفصيل ذلك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 أخبار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صادق في حديثه وإن فرض الغمز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أحد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صدق الرجل ووثاقته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شكّ في شيء فلا يشكّ في وثاقته، على حدّ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المتحامل عليه من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لرأيه لا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فيه استحق أن يتكلم عليه بمثله ولو كان مثل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لكان أهل الكوفة بغير حديث</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2992004_2870459653"/>
      <w:bookmarkStart w:id="516" w:name="_Toc198"/>
      <w:bookmarkEnd w:id="515"/>
      <w:r>
        <w:rPr>
          <w:rtl w:val="true"/>
        </w:rPr>
        <w:t>أقوال القادحين من العامّة</w:t>
      </w:r>
      <w:bookmarkEnd w:id="516"/>
    </w:p>
    <w:p>
      <w:pPr>
        <w:pStyle w:val="Heading6"/>
        <w:numPr>
          <w:ilvl w:val="5"/>
          <w:numId w:val="1"/>
        </w:numPr>
        <w:rPr/>
      </w:pPr>
      <w:bookmarkStart w:id="517" w:name="__RefHeading___Toc2992006_2870459653"/>
      <w:bookmarkStart w:id="518" w:name="_Toc199"/>
      <w:bookmarkEnd w:id="517"/>
      <w:r>
        <w:rPr>
          <w:rtl w:val="true"/>
        </w:rPr>
        <w:t>الطبقة الأولى</w:t>
      </w:r>
      <w:r>
        <w:rPr>
          <w:rtl w:val="true"/>
        </w:rPr>
        <w:t xml:space="preserve">: </w:t>
      </w:r>
      <w:r>
        <w:rPr>
          <w:rtl w:val="true"/>
        </w:rPr>
        <w:t>أساتذته</w:t>
      </w:r>
      <w:r>
        <w:rPr>
          <w:rtl w:val="true"/>
        </w:rPr>
        <w:t>..</w:t>
      </w:r>
      <w:bookmarkEnd w:id="518"/>
    </w:p>
    <w:p>
      <w:pPr>
        <w:pStyle w:val="Heading6"/>
        <w:numPr>
          <w:ilvl w:val="5"/>
          <w:numId w:val="1"/>
        </w:numPr>
        <w:rPr/>
      </w:pPr>
      <w:bookmarkStart w:id="519" w:name="__RefHeading___Toc2992008_2870459653"/>
      <w:bookmarkStart w:id="520" w:name="_Toc200"/>
      <w:bookmarkEnd w:id="519"/>
      <w:r>
        <w:rPr/>
        <w:t>1</w:t>
      </w:r>
      <w:r>
        <w:rPr>
          <w:rtl w:val="true"/>
        </w:rPr>
        <w:t xml:space="preserve">. </w:t>
      </w:r>
      <w:r>
        <w:rPr>
          <w:rtl w:val="true"/>
        </w:rPr>
        <w:t xml:space="preserve">عامر الشّعبي </w:t>
      </w:r>
      <w:r>
        <w:rPr>
          <w:rtl w:val="true"/>
        </w:rPr>
        <w:t>(</w:t>
      </w:r>
      <w:r>
        <w:rPr>
          <w:rtl w:val="true"/>
        </w:rPr>
        <w:t xml:space="preserve">ت </w:t>
      </w:r>
      <w:r>
        <w:rPr/>
        <w:t>103</w:t>
      </w:r>
      <w:r>
        <w:rPr>
          <w:rtl w:val="true"/>
        </w:rPr>
        <w:t xml:space="preserve">ﻫ </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w:t>
      </w:r>
      <w:r>
        <w:rPr>
          <w:rStyle w:val="FootnoteAnchor"/>
          <w:rtl w:val="true"/>
        </w:rPr>
        <w:footnoteReference w:id="587"/>
      </w:r>
      <w:r>
        <w:rPr>
          <w:rFonts w:ascii="Amiri" w:hAnsi="Amiri" w:eastAsia="Amiri" w:cs="Amiri"/>
          <w:color w:val="111111"/>
          <w:sz w:val="28"/>
          <w:sz w:val="28"/>
          <w:szCs w:val="28"/>
          <w:rtl w:val="true"/>
          <w:lang w:bidi="ar-SA"/>
        </w:rPr>
        <w:t>قال، 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حتى تكذب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الأيام والليالي حتى اتهم بالكذب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21" w:name="pg9131_76062"/>
    </w:p>
    <w:p>
      <w:pPr>
        <w:pStyle w:val="Heading6"/>
        <w:numPr>
          <w:ilvl w:val="5"/>
          <w:numId w:val="1"/>
        </w:numPr>
        <w:rPr/>
      </w:pPr>
      <w:bookmarkStart w:id="522" w:name="__RefHeading___Toc2992010_2870459653"/>
      <w:bookmarkStart w:id="523" w:name="_Toc201"/>
      <w:bookmarkEnd w:id="521"/>
      <w:bookmarkEnd w:id="522"/>
      <w:r>
        <w:rPr/>
        <w:t>2</w:t>
      </w:r>
      <w:r>
        <w:rPr>
          <w:rtl w:val="true"/>
        </w:rPr>
        <w:t xml:space="preserve">. </w:t>
      </w:r>
      <w:r>
        <w:rPr>
          <w:rtl w:val="true"/>
        </w:rPr>
        <w:t xml:space="preserve">سعيد بن جبير </w:t>
      </w:r>
      <w:r>
        <w:rPr>
          <w:rtl w:val="true"/>
        </w:rPr>
        <w:t>(</w:t>
      </w:r>
      <w:r>
        <w:rPr>
          <w:rtl w:val="true"/>
        </w:rPr>
        <w:t xml:space="preserve">ت </w:t>
      </w:r>
      <w:r>
        <w:rPr/>
        <w:t>95</w:t>
      </w:r>
      <w:r>
        <w:rPr>
          <w:rtl w:val="true"/>
        </w:rPr>
        <w:t xml:space="preserve">ﻫ </w:t>
      </w:r>
      <w:r>
        <w:rPr>
          <w:rtl w:val="true"/>
        </w:rPr>
        <w:t xml:space="preserve">) </w:t>
      </w:r>
      <w:r>
        <w:rPr>
          <w:rtl w:val="true"/>
        </w:rPr>
        <w:t>وهو في طبقة مشايخ جابر</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طبقة مشايخ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العقيلي</w:t>
      </w:r>
      <w:r>
        <w:rPr>
          <w:rStyle w:val="FootnoteAnchor"/>
          <w:rtl w:val="true"/>
        </w:rPr>
        <w:footnoteReference w:id="589"/>
      </w:r>
      <w:r>
        <w:rPr>
          <w:rFonts w:ascii="Amiri" w:hAnsi="Amiri" w:eastAsia="Amiri" w:cs="Amiri"/>
          <w:color w:val="111111"/>
          <w:sz w:val="28"/>
          <w:sz w:val="28"/>
          <w:szCs w:val="28"/>
          <w:rtl w:val="true"/>
          <w:lang w:bidi="ar-SA"/>
        </w:rPr>
        <w:t>بإسناده عن أيوب السختياني</w:t>
      </w:r>
      <w:r>
        <w:rPr>
          <w:rStyle w:val="FootnoteAnchor"/>
          <w:rtl w:val="true"/>
        </w:rPr>
        <w:footnoteReference w:id="59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يزيد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جابر</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2992012_2870459653"/>
      <w:bookmarkStart w:id="525" w:name="_Toc202"/>
      <w:bookmarkEnd w:id="524"/>
      <w:r>
        <w:rPr>
          <w:rtl w:val="true"/>
        </w:rPr>
        <w:t>الطبقة الثانية</w:t>
      </w:r>
      <w:r>
        <w:rPr>
          <w:rtl w:val="true"/>
        </w:rPr>
        <w:t xml:space="preserve">: </w:t>
      </w:r>
      <w:r>
        <w:rPr>
          <w:rtl w:val="true"/>
        </w:rPr>
        <w:t>طبقة تلاميذه</w:t>
      </w:r>
      <w:r>
        <w:rPr>
          <w:rtl w:val="true"/>
        </w:rPr>
        <w:t>..</w:t>
      </w:r>
      <w:bookmarkEnd w:id="525"/>
    </w:p>
    <w:p>
      <w:pPr>
        <w:pStyle w:val="Heading6"/>
        <w:numPr>
          <w:ilvl w:val="5"/>
          <w:numId w:val="1"/>
        </w:numPr>
        <w:rPr/>
      </w:pPr>
      <w:bookmarkStart w:id="526" w:name="__RefHeading___Toc2992014_2870459653"/>
      <w:bookmarkStart w:id="527" w:name="_Toc203"/>
      <w:bookmarkEnd w:id="526"/>
      <w:r>
        <w:rPr/>
        <w:t>1</w:t>
      </w:r>
      <w:r>
        <w:rPr>
          <w:rtl w:val="true"/>
        </w:rPr>
        <w:t xml:space="preserve">. </w:t>
      </w:r>
      <w:r>
        <w:rPr>
          <w:rtl w:val="true"/>
        </w:rPr>
        <w:t>النّاس</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يحملون عن جابر قبل أن يظهر ما أظهر، فلما أظهر ما أظهر اتّهمه الناس في حديثه وتركه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2992016_2870459653"/>
      <w:bookmarkStart w:id="529" w:name="_Toc204"/>
      <w:bookmarkEnd w:id="528"/>
      <w:r>
        <w:rPr/>
        <w:t>2</w:t>
      </w:r>
      <w:r>
        <w:rPr>
          <w:rtl w:val="true"/>
        </w:rPr>
        <w:t xml:space="preserve">. </w:t>
      </w:r>
      <w:r>
        <w:rPr>
          <w:rtl w:val="true"/>
        </w:rPr>
        <w:t xml:space="preserve">أبو حنيفة </w:t>
      </w:r>
      <w:r>
        <w:rPr>
          <w:rtl w:val="true"/>
        </w:rPr>
        <w:t>(</w:t>
      </w:r>
      <w:r>
        <w:rPr>
          <w:rtl w:val="true"/>
        </w:rPr>
        <w:t xml:space="preserve">ت </w:t>
      </w:r>
      <w:r>
        <w:rPr/>
        <w:t>150</w:t>
      </w:r>
      <w:r>
        <w:rPr>
          <w:rtl w:val="true"/>
        </w:rPr>
        <w:t xml:space="preserve">ﻫ </w:t>
      </w:r>
      <w:r>
        <w:rPr>
          <w:rtl w:val="true"/>
        </w:rPr>
        <w:t>)</w:t>
      </w:r>
      <w:bookmarkEnd w:id="5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حنيفة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حبان عن أحمد بن أبي الجواري عن أبي يحيى الجماني أنّه سمع أبا حنيفة </w:t>
      </w:r>
      <w:bookmarkStart w:id="530" w:name="pg9131_76063"/>
    </w:p>
    <w:p>
      <w:pPr>
        <w:pStyle w:val="BookText"/>
        <w:rPr/>
      </w:pPr>
      <w:bookmarkEnd w:id="53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لقيت فيمن لقيت، أكذب من جابر الجعفي، ما أتيته بشيء قط من رأيي إلّا جاءني فيه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أنَّ عنده كذا وكذا ألف حديث</w:t>
      </w:r>
      <w:r>
        <w:rPr>
          <w:rStyle w:val="FootnoteAnchor"/>
          <w:rtl w:val="true"/>
        </w:rPr>
        <w:footnoteReference w:id="593"/>
      </w:r>
      <w:r>
        <w:rPr>
          <w:rFonts w:ascii="Amiri" w:hAnsi="Amiri" w:eastAsia="Amiri" w:cs="Amiri"/>
          <w:color w:val="111111"/>
          <w:sz w:val="28"/>
          <w:sz w:val="28"/>
          <w:szCs w:val="28"/>
          <w:rtl w:val="true"/>
          <w:lang w:bidi="ar-SA"/>
        </w:rPr>
        <w:t xml:space="preserve">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ينطق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1" w:name="__RefHeading___Toc2992018_2870459653"/>
      <w:bookmarkStart w:id="532" w:name="_Toc205"/>
      <w:bookmarkEnd w:id="531"/>
      <w:r>
        <w:rPr/>
        <w:t>3</w:t>
      </w:r>
      <w:r>
        <w:rPr>
          <w:rtl w:val="true"/>
        </w:rPr>
        <w:t xml:space="preserve">. </w:t>
      </w:r>
      <w:r>
        <w:rPr>
          <w:rtl w:val="true"/>
        </w:rPr>
        <w:t xml:space="preserve">سلام بن أبي مطيع </w:t>
      </w:r>
      <w:r>
        <w:rPr>
          <w:rtl w:val="true"/>
        </w:rPr>
        <w:t>(</w:t>
      </w:r>
      <w:r>
        <w:rPr>
          <w:rtl w:val="true"/>
        </w:rPr>
        <w:t xml:space="preserve">ت </w:t>
      </w:r>
      <w:r>
        <w:rPr/>
        <w:t>164</w:t>
      </w:r>
      <w:r>
        <w:rPr>
          <w:rtl w:val="true"/>
        </w:rPr>
        <w:t xml:space="preserve">ﻫ </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بن أبي مطيع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ابن حنبل عن إبراهيم بن زياد سبلان،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 بن أبي مطيع،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جابراً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خمسين ألف حديث ما حدّثت بها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أيوب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جابر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2992020_2870459653"/>
      <w:bookmarkStart w:id="534" w:name="_Toc206"/>
      <w:bookmarkEnd w:id="533"/>
      <w:r>
        <w:rPr/>
        <w:t>4</w:t>
      </w:r>
      <w:r>
        <w:rPr>
          <w:rtl w:val="true"/>
        </w:rPr>
        <w:t xml:space="preserve">. </w:t>
      </w:r>
      <w:r>
        <w:rPr>
          <w:rtl w:val="true"/>
        </w:rPr>
        <w:t xml:space="preserve">زائدة </w:t>
      </w:r>
      <w:r>
        <w:rPr>
          <w:rtl w:val="true"/>
        </w:rPr>
        <w:t>(</w:t>
      </w:r>
      <w:r>
        <w:rPr>
          <w:rtl w:val="true"/>
        </w:rPr>
        <w:t xml:space="preserve">ت </w:t>
      </w:r>
      <w:r>
        <w:rPr/>
        <w:t>161</w:t>
      </w:r>
      <w:r>
        <w:rPr>
          <w:rtl w:val="true"/>
        </w:rPr>
        <w:t xml:space="preserve">ﻫ </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تروي عنهم، ابن أبي ليلى، وجابر الجعفي، والكلبي؟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جابر الجعفي فكان والله كذّاباً يؤمن بالرجعة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يعلى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زائدة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الجعفي رافضي يشتم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زائدة أن نترك حديثه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535" w:name="pg9131_76064"/>
    </w:p>
    <w:p>
      <w:pPr>
        <w:pStyle w:val="Heading6"/>
        <w:numPr>
          <w:ilvl w:val="5"/>
          <w:numId w:val="1"/>
        </w:numPr>
        <w:rPr/>
      </w:pPr>
      <w:bookmarkStart w:id="536" w:name="__RefHeading___Toc2992022_2870459653"/>
      <w:bookmarkStart w:id="537" w:name="_Toc207"/>
      <w:bookmarkEnd w:id="535"/>
      <w:bookmarkEnd w:id="536"/>
      <w:r>
        <w:rPr/>
        <w:t>5</w:t>
      </w:r>
      <w:r>
        <w:rPr>
          <w:rtl w:val="true"/>
        </w:rPr>
        <w:t xml:space="preserve">. </w:t>
      </w:r>
      <w:r>
        <w:rPr>
          <w:rtl w:val="true"/>
        </w:rPr>
        <w:t xml:space="preserve">جرير بن عبد الحميد </w:t>
      </w:r>
      <w:r>
        <w:rPr>
          <w:rtl w:val="true"/>
        </w:rPr>
        <w:t>(</w:t>
      </w:r>
      <w:r>
        <w:rPr>
          <w:rtl w:val="true"/>
        </w:rPr>
        <w:t xml:space="preserve">ت </w:t>
      </w:r>
      <w:r>
        <w:rPr/>
        <w:t>188</w:t>
      </w:r>
      <w:r>
        <w:rPr>
          <w:rtl w:val="true"/>
        </w:rPr>
        <w:t xml:space="preserve">ﻫ </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 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أيوب 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جابر الجعفي فلم أكتب عنه، لأنَّه كان يؤمن بالرجعة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بإسناده عن أبي غسان محمَّد بن عمرو زنيج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جابراً الجعفي ولم أكتب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جابر فإنَّه كان يؤمن بالرجعة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2992024_2870459653"/>
      <w:bookmarkStart w:id="539" w:name="_Toc208"/>
      <w:bookmarkEnd w:id="538"/>
      <w:r>
        <w:rPr/>
        <w:t>6</w:t>
      </w:r>
      <w:r>
        <w:rPr>
          <w:rtl w:val="true"/>
        </w:rPr>
        <w:t xml:space="preserve">. </w:t>
      </w:r>
      <w:r>
        <w:rPr>
          <w:rtl w:val="true"/>
        </w:rPr>
        <w:t xml:space="preserve">سفيان بن عيينة </w:t>
      </w:r>
      <w:r>
        <w:rPr>
          <w:rtl w:val="true"/>
        </w:rPr>
        <w:t>(</w:t>
      </w:r>
      <w:r>
        <w:rPr>
          <w:rtl w:val="true"/>
        </w:rPr>
        <w:t xml:space="preserve">ت </w:t>
      </w:r>
      <w:r>
        <w:rPr/>
        <w:t>198</w:t>
      </w:r>
      <w:r>
        <w:rPr>
          <w:rtl w:val="true"/>
        </w:rPr>
        <w:t xml:space="preserve">ﻫ </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بإسناده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جابر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 أَوْ يَحْكُمَ اللَّهُ لِي ۖ وَهُوَ خَيْرُ الْحَاكِمِينَ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تأويل هذه الآية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 السّحاب فلا نخرج مع من خرج من ولده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علياً ينادي من السّحاب اخرجوا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فهذا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هذه كانت في إخوة يوسف</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40" w:name="pg9131_76065"/>
    </w:p>
    <w:p>
      <w:pPr>
        <w:pStyle w:val="BookText"/>
        <w:rPr/>
      </w:pPr>
      <w:bookmarkEnd w:id="54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 بإسناده عن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جابر الجعفي فسمعت منه ذاك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الإيمان بالرجعة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عن شهاب أنّه سمع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جابر الجعفي وما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يعلّمه ما يعلمه، ثم دعا عليٌ الحسنَ فعلّمه ما يعلم، ثم دعا الحسنُ الحسينَ فعلّمه ما يعلم، حتى بلغ جعفر بن محمَّد قال فتركته لذلك ولم أسمع منه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أكثم الخراساني</w:t>
      </w:r>
      <w:r>
        <w:rPr>
          <w:rStyle w:val="FootnoteAnchor"/>
          <w:rtl w:val="true"/>
        </w:rPr>
        <w:footnoteReference w:id="604"/>
      </w:r>
      <w:r>
        <w:rPr>
          <w:rFonts w:ascii="Amiri" w:hAnsi="Amiri" w:eastAsia="Amiri" w:cs="Amiri"/>
          <w:color w:val="111111"/>
          <w:sz w:val="28"/>
          <w:sz w:val="28"/>
          <w:szCs w:val="28"/>
          <w:rtl w:val="true"/>
          <w:lang w:bidi="ar-SA"/>
        </w:rPr>
        <w:t>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أبا محمَّد</w:t>
      </w:r>
    </w:p>
    <w:p>
      <w:pPr>
        <w:pStyle w:val="BookText"/>
        <w:rPr/>
      </w:pPr>
      <w:r>
        <w:rPr>
          <w:rFonts w:ascii="Amiri" w:hAnsi="Amiri" w:eastAsia="Amiri" w:cs="Amiri"/>
          <w:color w:val="111111"/>
          <w:sz w:val="28"/>
          <w:sz w:val="28"/>
          <w:szCs w:val="28"/>
          <w:rtl w:val="true"/>
          <w:lang w:bidi="ar-SA"/>
        </w:rPr>
        <w:t>الذين عابوا على جابر الجعفي قوله حدّثني وصي الأوصياء،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 w:name="__RefHeading___Toc2992026_2870459653"/>
      <w:bookmarkStart w:id="542" w:name="_Toc209"/>
      <w:bookmarkEnd w:id="541"/>
      <w:r>
        <w:rPr/>
        <w:t>7</w:t>
      </w:r>
      <w:r>
        <w:rPr>
          <w:rtl w:val="true"/>
        </w:rPr>
        <w:t xml:space="preserve">. </w:t>
      </w:r>
      <w:r>
        <w:rPr>
          <w:rtl w:val="true"/>
        </w:rPr>
        <w:t xml:space="preserve">يحيى بن أبي عمرو أبو زرعة </w:t>
      </w:r>
      <w:r>
        <w:rPr>
          <w:rtl w:val="true"/>
        </w:rPr>
        <w:t>(</w:t>
      </w:r>
      <w:r>
        <w:rPr>
          <w:rtl w:val="true"/>
        </w:rPr>
        <w:t xml:space="preserve">ت </w:t>
      </w:r>
      <w:r>
        <w:rPr/>
        <w:t>148</w:t>
      </w:r>
      <w:r>
        <w:rPr>
          <w:rtl w:val="true"/>
        </w:rPr>
        <w:t xml:space="preserve">ﻫ </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أبي عمرو أبو 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ليّن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543" w:name="pg9131_76066"/>
    </w:p>
    <w:p>
      <w:pPr>
        <w:pStyle w:val="Heading6"/>
        <w:numPr>
          <w:ilvl w:val="5"/>
          <w:numId w:val="1"/>
        </w:numPr>
        <w:rPr/>
      </w:pPr>
      <w:bookmarkStart w:id="544" w:name="__RefHeading___Toc2992028_2870459653"/>
      <w:bookmarkStart w:id="545" w:name="_Toc210"/>
      <w:bookmarkEnd w:id="543"/>
      <w:bookmarkEnd w:id="544"/>
      <w:r>
        <w:rPr>
          <w:rtl w:val="true"/>
        </w:rPr>
        <w:t>الطبقة الثالثة</w:t>
      </w:r>
      <w:r>
        <w:rPr>
          <w:rtl w:val="true"/>
        </w:rPr>
        <w:t xml:space="preserve">: </w:t>
      </w:r>
      <w:r>
        <w:rPr>
          <w:rtl w:val="true"/>
        </w:rPr>
        <w:t>طبقة تلامذة تلامذته ومن بعدهم</w:t>
      </w:r>
      <w:r>
        <w:rPr>
          <w:rtl w:val="true"/>
        </w:rPr>
        <w:t>..</w:t>
      </w:r>
      <w:bookmarkEnd w:id="545"/>
    </w:p>
    <w:p>
      <w:pPr>
        <w:pStyle w:val="Heading6"/>
        <w:numPr>
          <w:ilvl w:val="5"/>
          <w:numId w:val="1"/>
        </w:numPr>
        <w:rPr/>
      </w:pPr>
      <w:bookmarkStart w:id="546" w:name="__RefHeading___Toc2992030_2870459653"/>
      <w:bookmarkStart w:id="547" w:name="_Toc211"/>
      <w:bookmarkEnd w:id="546"/>
      <w:r>
        <w:rPr/>
        <w:t>1</w:t>
      </w:r>
      <w:r>
        <w:rPr>
          <w:rtl w:val="true"/>
        </w:rPr>
        <w:t xml:space="preserve">. </w:t>
      </w:r>
      <w:r>
        <w:rPr>
          <w:rtl w:val="true"/>
        </w:rPr>
        <w:t xml:space="preserve">عبد الرحمن بن مهدي </w:t>
      </w:r>
      <w:r>
        <w:rPr>
          <w:rtl w:val="true"/>
        </w:rPr>
        <w:t>(</w:t>
      </w:r>
      <w:r>
        <w:rPr>
          <w:rtl w:val="true"/>
        </w:rPr>
        <w:t xml:space="preserve">ت </w:t>
      </w:r>
      <w:r>
        <w:rPr/>
        <w:t>198</w:t>
      </w:r>
      <w:r>
        <w:rPr>
          <w:rtl w:val="true"/>
        </w:rPr>
        <w:t xml:space="preserve">ﻫ </w:t>
      </w:r>
      <w:r>
        <w:rPr>
          <w:rtl w:val="true"/>
        </w:rPr>
        <w:t>)..</w:t>
      </w:r>
      <w:bookmarkEnd w:id="5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يكتب حديثه على الاعتبار ولا يحتج به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محمَّد بن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سفيان بن عيينة؟ لقد تركت لجابر الجعفي لقوله؛ لما حكي عنه أكثر من ألف حديث، ثم هو يحدّث عنه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يحدّثنا عنه قبل ذلك،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المزي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حاتم الرازي، عن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يحيى وعبد الرحمن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2992032_2870459653"/>
      <w:bookmarkStart w:id="549" w:name="_Toc212"/>
      <w:bookmarkEnd w:id="548"/>
      <w:r>
        <w:rPr/>
        <w:t>2</w:t>
      </w:r>
      <w:r>
        <w:rPr>
          <w:rtl w:val="true"/>
        </w:rPr>
        <w:t xml:space="preserve">. </w:t>
      </w:r>
      <w:r>
        <w:rPr>
          <w:rtl w:val="true"/>
        </w:rPr>
        <w:t xml:space="preserve">يحيى بن معين </w:t>
      </w:r>
      <w:r>
        <w:rPr>
          <w:rtl w:val="true"/>
        </w:rPr>
        <w:t>(</w:t>
      </w:r>
      <w:r>
        <w:rPr>
          <w:rtl w:val="true"/>
        </w:rPr>
        <w:t xml:space="preserve">ت </w:t>
      </w:r>
      <w:r>
        <w:rPr/>
        <w:t>233</w:t>
      </w:r>
      <w:r>
        <w:rPr>
          <w:rtl w:val="true"/>
        </w:rPr>
        <w:t xml:space="preserve">ﻫ </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ليس بشيء</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معين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جابراً الجعفي ممّن رآه إلّا </w:t>
      </w:r>
      <w:bookmarkStart w:id="550" w:name="pg9131_76067"/>
    </w:p>
    <w:p>
      <w:pPr>
        <w:pStyle w:val="BookText"/>
        <w:rPr/>
      </w:pPr>
      <w:bookmarkEnd w:id="550"/>
      <w:r>
        <w:rPr>
          <w:rFonts w:ascii="Amiri" w:hAnsi="Amiri" w:eastAsia="Amiri" w:cs="Amiri"/>
          <w:color w:val="111111"/>
          <w:sz w:val="28"/>
          <w:sz w:val="28"/>
          <w:szCs w:val="28"/>
          <w:rtl w:val="true"/>
          <w:lang w:bidi="ar-SA"/>
        </w:rPr>
        <w:t>زائدة وكان جابر كذاباً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عدي عن محمَّد بن علي المروزي عن عثمان بن سعيد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فجابر الجعفي لِمَ يضعّف؟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يضعفونه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2992034_2870459653"/>
      <w:bookmarkStart w:id="552" w:name="_Toc213"/>
      <w:bookmarkEnd w:id="551"/>
      <w:r>
        <w:rPr/>
        <w:t>3</w:t>
      </w:r>
      <w:r>
        <w:rPr>
          <w:rtl w:val="true"/>
        </w:rPr>
        <w:t xml:space="preserve">. </w:t>
      </w:r>
      <w:r>
        <w:rPr>
          <w:rtl w:val="true"/>
        </w:rPr>
        <w:t xml:space="preserve">العجلي </w:t>
      </w:r>
      <w:r>
        <w:rPr>
          <w:rtl w:val="true"/>
        </w:rPr>
        <w:t>(</w:t>
      </w:r>
      <w:r>
        <w:rPr>
          <w:rtl w:val="true"/>
        </w:rPr>
        <w:t xml:space="preserve">ت </w:t>
      </w:r>
      <w:r>
        <w:rPr/>
        <w:t>261</w:t>
      </w:r>
      <w:r>
        <w:rPr>
          <w:rtl w:val="true"/>
        </w:rPr>
        <w:t xml:space="preserve">ﻫ </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كان ضعيفاً يغلو في التشيع، وكان يدلّس</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Heading6"/>
        <w:numPr>
          <w:ilvl w:val="5"/>
          <w:numId w:val="1"/>
        </w:numPr>
        <w:rPr/>
      </w:pPr>
      <w:bookmarkStart w:id="553" w:name="__RefHeading___Toc2992036_2870459653"/>
      <w:bookmarkStart w:id="554" w:name="_Toc214"/>
      <w:bookmarkEnd w:id="553"/>
      <w:r>
        <w:rPr/>
        <w:t>4</w:t>
      </w:r>
      <w:r>
        <w:rPr>
          <w:rtl w:val="true"/>
        </w:rPr>
        <w:t xml:space="preserve">. </w:t>
      </w:r>
      <w:r>
        <w:rPr>
          <w:rtl w:val="true"/>
        </w:rPr>
        <w:t xml:space="preserve">النسائي </w:t>
      </w:r>
      <w:r>
        <w:rPr>
          <w:rtl w:val="true"/>
        </w:rPr>
        <w:t>(</w:t>
      </w:r>
      <w:r>
        <w:rPr>
          <w:rtl w:val="true"/>
        </w:rPr>
        <w:t xml:space="preserve">ت </w:t>
      </w:r>
      <w:r>
        <w:rPr/>
        <w:t>303</w:t>
      </w:r>
      <w:r>
        <w:rPr>
          <w:rtl w:val="true"/>
        </w:rPr>
        <w:t xml:space="preserve">ﻫ </w:t>
      </w:r>
      <w:r>
        <w:rPr>
          <w:rtl w:val="true"/>
        </w:rPr>
        <w:t>)</w:t>
      </w:r>
      <w:bookmarkEnd w:id="554"/>
    </w:p>
    <w:p>
      <w:pPr>
        <w:pStyle w:val="BookText"/>
        <w:rPr/>
      </w:pPr>
      <w:r>
        <w:rPr>
          <w:rFonts w:ascii="Amiri" w:hAnsi="Amiri" w:eastAsia="Amiri" w:cs="Amiri"/>
          <w:color w:val="111111"/>
          <w:sz w:val="28"/>
          <w:sz w:val="28"/>
          <w:szCs w:val="28"/>
          <w:rtl w:val="true"/>
          <w:lang w:bidi="ar-SA"/>
        </w:rPr>
        <w:t>وعن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متروك كوفي</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5" w:name="__RefHeading___Toc2992038_2870459653"/>
      <w:bookmarkStart w:id="556" w:name="_Toc215"/>
      <w:bookmarkEnd w:id="555"/>
      <w:r>
        <w:rPr/>
        <w:t>5</w:t>
      </w:r>
      <w:r>
        <w:rPr>
          <w:rtl w:val="true"/>
        </w:rPr>
        <w:t xml:space="preserve">. </w:t>
      </w:r>
      <w:r>
        <w:rPr>
          <w:rtl w:val="true"/>
        </w:rPr>
        <w:t xml:space="preserve">ابن حبّان </w:t>
      </w:r>
      <w:r>
        <w:rPr>
          <w:rtl w:val="true"/>
        </w:rPr>
        <w:t>(</w:t>
      </w:r>
      <w:r>
        <w:rPr>
          <w:rtl w:val="true"/>
        </w:rPr>
        <w:t xml:space="preserve">ت </w:t>
      </w:r>
      <w:r>
        <w:rPr/>
        <w:t>354</w:t>
      </w:r>
      <w:r>
        <w:rPr>
          <w:rtl w:val="true"/>
        </w:rPr>
        <w:t xml:space="preserve">ﻫ </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حبّان جابر الجعفي في المبتدعين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557" w:name="pg9131_76068"/>
    </w:p>
    <w:p>
      <w:pPr>
        <w:pStyle w:val="BookText"/>
        <w:rPr/>
      </w:pPr>
      <w:bookmarkEnd w:id="55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ذكر ابن حبّان في ترجمة جابر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سبئياً من أصحاب عبد الله بن سبأ، وكان يقول،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الدنيا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2992040_2870459653"/>
      <w:bookmarkStart w:id="559" w:name="_Toc216"/>
      <w:bookmarkEnd w:id="558"/>
      <w:r>
        <w:rPr/>
        <w:t>6</w:t>
      </w:r>
      <w:r>
        <w:rPr>
          <w:rtl w:val="true"/>
        </w:rPr>
        <w:t xml:space="preserve">. </w:t>
      </w:r>
      <w:r>
        <w:rPr>
          <w:rtl w:val="true"/>
        </w:rPr>
        <w:t xml:space="preserve">ابن عدي </w:t>
      </w:r>
      <w:r>
        <w:rPr>
          <w:rtl w:val="true"/>
        </w:rPr>
        <w:t>(</w:t>
      </w:r>
      <w:r>
        <w:rPr>
          <w:rtl w:val="true"/>
        </w:rPr>
        <w:t xml:space="preserve">ت </w:t>
      </w:r>
      <w:r>
        <w:rPr/>
        <w:t>365</w:t>
      </w:r>
      <w:r>
        <w:rPr>
          <w:rtl w:val="true"/>
        </w:rPr>
        <w:t xml:space="preserve">ﻫ </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له أحاديث جاوزت المقدار في الإنكار، وهو مع هذا كله أقرب إلى الضعف منه إلى الصدق</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2992042_2870459653"/>
      <w:bookmarkStart w:id="561" w:name="_Toc217"/>
      <w:bookmarkEnd w:id="560"/>
      <w:r>
        <w:rPr>
          <w:rtl w:val="true"/>
        </w:rPr>
        <w:t>الأمور التي طعن بها القادحون في جابر</w:t>
      </w:r>
      <w:bookmarkEnd w:id="561"/>
    </w:p>
    <w:p>
      <w:pPr>
        <w:pStyle w:val="Heading6"/>
        <w:numPr>
          <w:ilvl w:val="5"/>
          <w:numId w:val="1"/>
        </w:numPr>
        <w:rPr/>
      </w:pPr>
      <w:bookmarkStart w:id="562" w:name="__RefHeading___Toc2992044_2870459653"/>
      <w:bookmarkStart w:id="563" w:name="_Toc218"/>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تنقسم الطعون في جابر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الطعن في صدقه بتعابير مختلفة شدّة وضعفاً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فيه لين، يأتي في ما</w:t>
      </w:r>
    </w:p>
    <w:p>
      <w:pPr>
        <w:pStyle w:val="BookText"/>
        <w:rPr/>
      </w:pPr>
      <w:r>
        <w:rPr>
          <w:rFonts w:ascii="Amiri" w:hAnsi="Amiri" w:eastAsia="Amiri" w:cs="Amiri"/>
          <w:color w:val="111111"/>
          <w:sz w:val="28"/>
          <w:sz w:val="28"/>
          <w:szCs w:val="28"/>
          <w:rtl w:val="true"/>
          <w:lang w:bidi="ar-SA"/>
        </w:rPr>
        <w:t>ليس فيه حديث بحديث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الطعن في 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سبئياً، إيمانه بالرجعة، كونه رافضياً يشتم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وراثة العلم، إثباته الوصاية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غلوه في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الكلام في المهمّ من هذا القسم في المقام الأوَّل، حيث بيّنا أنَّه لم يثبت كون الرجل سبئياً ولا غالياً، بل الثابت خلاف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الحديث في هذا القسم لا يتعلق بمحلّ الكلام، لأنَّه ليس قدحاً في الراوي بما هو راوٍ</w:t>
      </w:r>
      <w:r>
        <w:rPr>
          <w:rFonts w:eastAsia="Amiri" w:cs="Amiri" w:ascii="Amiri" w:hAnsi="Amiri"/>
          <w:color w:val="111111"/>
          <w:sz w:val="28"/>
          <w:szCs w:val="28"/>
          <w:rtl w:val="true"/>
          <w:lang w:bidi="ar-SA"/>
        </w:rPr>
        <w:t xml:space="preserve">. </w:t>
      </w:r>
      <w:bookmarkStart w:id="564" w:name="pg9131_76069"/>
    </w:p>
    <w:p>
      <w:pPr>
        <w:pStyle w:val="BookText"/>
        <w:rPr/>
      </w:pPr>
      <w:bookmarkEnd w:id="564"/>
      <w:r>
        <w:rPr>
          <w:rFonts w:ascii="Amiri" w:hAnsi="Amiri" w:eastAsia="Amiri" w:cs="Amiri"/>
          <w:color w:val="111111"/>
          <w:sz w:val="28"/>
          <w:sz w:val="28"/>
          <w:szCs w:val="28"/>
          <w:rtl w:val="true"/>
          <w:lang w:bidi="ar-SA"/>
        </w:rPr>
        <w:t>نعم، قد يجعل بطلان عقيدة الرجل أمارة على عدم التزام الشخص بالشريعة ممّا يشكل معه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بعدد من الرواة؛ إذ ذكروا فيهم بعض هذه الصفات ولم يقدحوا في 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المبتدع إذا كان مستنداً إلى تأويل أو شبهة لا يقتضي ذلك استساغته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إنَّما يتم في شأن بعض العقائد المذكورة عند مَن يرى في هذه العقائد ابتداعاً وضلالاً، ولا ينهض عند مَن لا يرى ذلك كالإمامية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يتجنب بعض أهل الحديث أحاديث أهل البدع لا لمكان الشكّ في صدقهم، بل خشية أن يكون ذلك ترويجاً لهم ولبدعهم، وهذا إنَّما يجوز إذا استغنى بحديث غيرهم في موضوع حديثهم كي لا يفوت شيء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الحديث في القسم الأوَّل لننظر في المطاعن المذكورة</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2992046_2870459653"/>
      <w:bookmarkStart w:id="566" w:name="_Toc219"/>
      <w:bookmarkEnd w:id="565"/>
      <w:r>
        <w:rPr>
          <w:rtl w:val="true"/>
        </w:rPr>
        <w:t>تقييم المطاعن المذكورة</w:t>
      </w:r>
      <w:bookmarkEnd w:id="566"/>
    </w:p>
    <w:p>
      <w:pPr>
        <w:pStyle w:val="Heading6"/>
        <w:numPr>
          <w:ilvl w:val="5"/>
          <w:numId w:val="1"/>
        </w:numPr>
        <w:rPr/>
      </w:pPr>
      <w:bookmarkStart w:id="567" w:name="__RefHeading___Toc2992048_2870459653"/>
      <w:bookmarkStart w:id="568" w:name="_Toc220"/>
      <w:bookmarkEnd w:id="567"/>
      <w:r>
        <w:rPr>
          <w:rtl w:val="true"/>
        </w:rPr>
        <w:t>الأوَّل</w:t>
      </w:r>
      <w:r>
        <w:rPr>
          <w:rtl w:val="true"/>
        </w:rPr>
        <w:t xml:space="preserve">: </w:t>
      </w:r>
      <w:r>
        <w:rPr>
          <w:rtl w:val="true"/>
        </w:rPr>
        <w:t>كذبه في ما ادعاه من أنَّ لديه أحاديث كثيرة لم يروها لأحد</w:t>
      </w:r>
      <w:r>
        <w:rPr>
          <w:rtl w:val="true"/>
        </w:rPr>
        <w:t>..</w:t>
      </w:r>
      <w:bookmarkEnd w:id="568"/>
    </w:p>
    <w:p>
      <w:pPr>
        <w:pStyle w:val="BookText"/>
        <w:rPr/>
      </w:pPr>
      <w:r>
        <w:rPr>
          <w:rFonts w:ascii="Amiri" w:hAnsi="Amiri" w:eastAsia="Amiri" w:cs="Amiri"/>
          <w:color w:val="111111"/>
          <w:sz w:val="28"/>
          <w:sz w:val="28"/>
          <w:szCs w:val="28"/>
          <w:rtl w:val="true"/>
          <w:lang w:bidi="ar-SA"/>
        </w:rPr>
        <w:t xml:space="preserve">وهذا المضمون قدحه به أبو حنيفة 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 الأوَّل أنَّ عنده ثلاثين ألف حديث، وذكر الثّاني أنَّ العدد خمسون ألف حديث</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يؤيد بورود هذا المضمون عنه في آثار الإمامية فقد روى الكشي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جبريل بن أحمد، حدّثني محمَّد بن عيسى، عن إسماعيل بن مهران، عن أبي جميلة المفضّل بن صالح،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ألف حديث لم أحدّث بها أحداً قط، ولا أحدّث بها أحداً أبداً،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جعلت فداك إنَّك قد حمّلتني وقراً عظيماً بما حدّثتني به من سركم الذي لا أحدّث به أحداً، فربّما جاش في صدري حتى يأخذني منه شبه الجنون،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فإذا كان ذلك فاخرج إلى الجبّان فاحفر حفيرة ودل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هذا الحديث في كتاب الاختصاص المنسوب إلى الشيخ المفيد عن أبي غالب الزراري،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عن محمَّد بن عيسى، عن إسماعيل بن مهران، عن أبي جميلة المفضّل بن صالح، عن جابر بن يزيد الجعفي</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عن هذا الطعن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بعدم حصول الوثوق بصدور هذا القول من جابر أصلاً، فربما كان في هذا العدد مبالغة وتهويلاً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المتقدّم من طرق الإمامية فيمكن الخدش فيه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 فمن جهة المفضّل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متناً فلأنَّ الكليني نقل 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سبعين ألف</w:t>
      </w:r>
      <w:r>
        <w:rPr>
          <w:rStyle w:val="FootnoteAnchor"/>
          <w:rtl w:val="true"/>
        </w:rPr>
        <w:footnoteReference w:id="621"/>
      </w:r>
      <w:r>
        <w:rPr>
          <w:rFonts w:ascii="Amiri" w:hAnsi="Amiri" w:eastAsia="Amiri" w:cs="Amiri"/>
          <w:color w:val="111111"/>
          <w:sz w:val="28"/>
          <w:sz w:val="28"/>
          <w:szCs w:val="28"/>
          <w:rtl w:val="true"/>
          <w:lang w:bidi="ar-SA"/>
        </w:rPr>
        <w:t xml:space="preserve">وهو ما رواه عن العدة، عن صالح بن أبي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الرازي، واسم أبي الخير زاذويه، مجهول</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ملتبساً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الرجال لابن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الفضل بن شاذان كان يرتضيه ويمدحه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السكوني،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حدّثه، عن جابر</w:t>
      </w:r>
    </w:p>
    <w:p>
      <w:pPr>
        <w:pStyle w:val="BookText"/>
        <w:rPr/>
      </w:pPr>
      <w:r>
        <w:rPr>
          <w:rFonts w:ascii="IRNazanin" w:hAnsi="IRNazanin" w:eastAsia="IRNazanin"/>
          <w:color w:val="111111"/>
          <w:sz w:val="28"/>
          <w:sz w:val="28"/>
          <w:szCs w:val="28"/>
          <w:rtl w:val="true"/>
          <w:lang w:bidi="fa-IR"/>
        </w:rPr>
        <w:t>ابن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حديثاً لم أحدّث بها أحداً قط ولا أحدّث بها أحداً أبداً، فلما مضى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على عنقي وضاق بها صدري فأتيت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أباك حدّثني سبعين حديثاً لم يخرج مني شيء منها، ولا يخرج شيء منها إلى أحد وأمرني بسترها، وقد ثقلت على عنقي وضاق بها صدري فما تأمرني؟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إذا ضاق بك من ذلك شيء فاخرج إلى الجبّانة واحتفر حفيرة ثم دل رأسك فيها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بكذا وكذا ثُمّ طمّه، فإنَّ الأرض تستر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فخفّ عني ما كنت أجده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إسماعيل بن مهران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يبعد أن يكون الذي أرسل عنه إسماعيل بن مهران في نقل الكليني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 المفضّل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الطرق الأربع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طريقا الكليني وطريق الكشي وطريق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تنتهي إلى إسماعيل بن مهران، وتفرّع الطرق كان في طبقة تلامذته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فالشاهد في هذا الحديث أنّه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يزول الوثوق باشتمال الحديث السابق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أنّ من القريب أن تكون رواية واحدة بعد ترجيح وحدة إسنادها على ما سبق، بل قد يرجّح نقل الكليني الخالي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الكشي والاختصاص المشتمل على ذلك؛ لأنَّ في نسخة رجال الكشي أغلاطاً</w:t>
      </w:r>
      <w:r>
        <w:rPr>
          <w:rStyle w:val="FootnoteAnchor"/>
          <w:rtl w:val="true"/>
        </w:rPr>
        <w:footnoteReference w:id="624"/>
      </w:r>
      <w:r>
        <w:rPr>
          <w:rFonts w:ascii="Amiri" w:hAnsi="Amiri" w:eastAsia="Amiri" w:cs="Amiri"/>
          <w:color w:val="111111"/>
          <w:sz w:val="28"/>
          <w:sz w:val="28"/>
          <w:szCs w:val="28"/>
          <w:rtl w:val="true"/>
          <w:lang w:bidi="ar-SA"/>
        </w:rPr>
        <w:t>، وكتاب الاختصاص ليس مصدراً معتبراً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الجعفي اختص بالإمام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طويلة، ومن المستبعد جداً أنَّ مَنْ يلازم الإمام هكذا مدّة مديدة أن يختص بسبعين حديثاً فقط من الإمام ويأمره بأن لا يحدّث بها أحداً، وعليه فالمفروض أنَّ هنا نقصاً وهو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يندفع بملاحظة ما بثّه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وأمَّا تلك الأحاديث التي أُمِرَ جابر بعدم بثّها فلعلّها من 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يستطيع تحمّلها إلّا خواص الخواص، ومن ثَمَّ أُمِرَ أن لا يحدّث بها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الإنصاف أنّ الأقرب اشتمال الرواية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ذكر أنّه قد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كلمة الوقر وتوصيفه بالعظمة ما يدل على كثرته</w:t>
      </w:r>
      <w:r>
        <w:rPr>
          <w:rStyle w:val="FootnoteAnchor"/>
          <w:rtl w:val="true"/>
        </w:rPr>
        <w:footnoteReference w:id="625"/>
      </w:r>
      <w:r>
        <w:rPr>
          <w:rFonts w:ascii="IRNazanin" w:hAnsi="IRNazanin" w:eastAsia="IRNazanin"/>
          <w:color w:val="111111"/>
          <w:sz w:val="28"/>
          <w:sz w:val="28"/>
          <w:szCs w:val="28"/>
          <w:rtl w:val="true"/>
          <w:lang w:bidi="fa-IR"/>
        </w:rPr>
        <w:t xml:space="preserve">، فإنّ العلم إنَّما يضيق بحامله إذا كان كثيراً وتعذّر بثّه على صاحبه،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كلامه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بأنَّ هذا الكلام من جابر ناظر إلى ما سمعه من الأحاديث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أمر لم يكن موجوداً لدى العامّة، ولا كان من الممكن نقلها لهم لعدم إذعانهم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حكي عن غير واحد من تلامذة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سمعوا منهم أعداداً كبيرة من الأحاديث فعلى سبيل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ترجمة أبان بن تغلب بن رباح في رجال النجاشي بطريق معتبر عن أبان ابن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أبان بن تغلب روى عني ثلاثين 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فأروها عنه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حمدويه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ياسين الضرير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عن حريز، عن محمَّد ابن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شجر في رأيي شيء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سألته عن </w:t>
      </w:r>
      <w:bookmarkStart w:id="569" w:name="pg9131_76074"/>
    </w:p>
    <w:p>
      <w:pPr>
        <w:pStyle w:val="BookText"/>
        <w:rPr/>
      </w:pPr>
      <w:bookmarkEnd w:id="569"/>
      <w:r>
        <w:rPr>
          <w:rFonts w:ascii="IRNazanin" w:hAnsi="IRNazanin" w:eastAsia="IRNazanin"/>
          <w:color w:val="111111"/>
          <w:sz w:val="28"/>
          <w:sz w:val="28"/>
          <w:szCs w:val="28"/>
          <w:rtl w:val="true"/>
          <w:lang w:bidi="fa-IR"/>
        </w:rPr>
        <w:t xml:space="preserve">ثلاثين ألف حديث، 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عشر ألف حديث</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ألف حديث، ثم لقيت جعفراً ابنه فسمعت منه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ستة عشر ألف حديث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وكثرة تحمّل الروايات متعارف عند العامّة كثيراً، فقد نقل عن الأعمش أنَّه روى اثني عشر ألف حديث، عن أبي صالح، عن أبي هريرة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وقال عبيد الله بن عبيد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الأشجعي، أبو عبد الرحمن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سفيان الثوري ثلاثين ألف حديث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يحيى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عبيد الله بن عمر بن ميسرة الجشمي، مولاهم، أبو سعيد البصري القواريري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حديث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2992050_2870459653"/>
      <w:bookmarkStart w:id="571" w:name="_Toc221"/>
      <w:bookmarkEnd w:id="570"/>
      <w:r>
        <w:rPr>
          <w:rtl w:val="true"/>
        </w:rPr>
        <w:t>الطعن بالكذب</w:t>
      </w:r>
      <w:bookmarkEnd w:id="571"/>
    </w:p>
    <w:p>
      <w:pPr>
        <w:pStyle w:val="Heading6"/>
        <w:numPr>
          <w:ilvl w:val="5"/>
          <w:numId w:val="1"/>
        </w:numPr>
        <w:rPr/>
      </w:pPr>
      <w:bookmarkStart w:id="572" w:name="__RefHeading___Toc2992052_2870459653"/>
      <w:bookmarkStart w:id="573" w:name="_Toc222"/>
      <w:bookmarkEnd w:id="572"/>
      <w:r>
        <w:rPr>
          <w:rtl w:val="true"/>
        </w:rPr>
        <w:t>الثّاني</w:t>
      </w:r>
      <w:r>
        <w:rPr>
          <w:rtl w:val="true"/>
        </w:rPr>
        <w:t xml:space="preserve">: </w:t>
      </w:r>
      <w:r>
        <w:rPr>
          <w:rtl w:val="true"/>
        </w:rPr>
        <w:t>اتّهامه بالكذب</w:t>
      </w:r>
      <w:r>
        <w:rPr>
          <w:rtl w:val="true"/>
        </w:rPr>
        <w:t>..</w:t>
      </w:r>
      <w:bookmarkEnd w:id="573"/>
    </w:p>
    <w:p>
      <w:pPr>
        <w:pStyle w:val="BookText"/>
        <w:rPr/>
      </w:pPr>
      <w:r>
        <w:rPr>
          <w:rFonts w:ascii="Amiri" w:hAnsi="Amiri" w:eastAsia="Amiri" w:cs="Amiri"/>
          <w:color w:val="111111"/>
          <w:sz w:val="28"/>
          <w:sz w:val="28"/>
          <w:szCs w:val="28"/>
          <w:rtl w:val="true"/>
          <w:lang w:bidi="ar-SA"/>
        </w:rPr>
        <w:t>ويلاحظ أنّ الاتّهام بالكذب ناظر إلى أحد أمور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 الكامل في ضعفاء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أحمد بن يحيى بن زيد بن سيار أبو العباس النحوي الشيباني مولاهم المعروف بثعلب إمام الكوفيين في النحو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ناظراً إلى آرائه ومعتقداته وليس في ما كان ينقله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مرداس، نا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أحمد ابن حنبل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يتكلم في جابر في حديثه إنَّما تكلم فيه لرأيه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عقيدة الرجل لا توجب اتّهامه بالكذب، بل توجب الحكم عليه بأنّه ضال ومبتدع، وقد يؤدي إلى سلب الوثوق به، وأمّا الكذب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اتّهامه بالكذب من جهة دعوى كون العقائد التي يذكرها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إثبات الرجعة، أو الوصاية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ملفّقة من قبله فيكون كاذباً في إثباتها، أو يكون من جهة أنّه يروي تلك العقائد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فيكذب في نسبتها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وجه اتّهامه بالكذب هو عقيدته الموافقة مع اعتقاد الإمامية فيكون الطعن مبنائياً غير متوجه عند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يكون تكذيبه ناظراً إلى ادّعائه كثرة الأحاديث التي رواها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سبق نقله في الطعن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الاتّهام أيضاً مندفع لأنّه إنَّما يروي تلك الروايات من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فيرتفع الاتّهام عند الإمامية الذين يرون أنّ أهل البيت كانوا ورثة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ناظراً إلى نقله لأحاديث لا سبيل إلى تصديقها، كما تقدّم عن أبي حنيفة في تكذيبه له عندما كان يأتيه بشيء من رأيه فيحدّثه جابر بحديث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عدم السبيل إلى تصديقه أحد أمرين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قد روى تلك الأحاديث من طريق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ممّا لم يألفه </w:t>
      </w:r>
    </w:p>
    <w:p>
      <w:pPr>
        <w:pStyle w:val="BookText"/>
        <w:rPr/>
      </w:pP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فاتهموه، ومثل هذه التّهمة لا تصح عند الإمامية الذين ألِفوا آثار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إنكار تلك الأحاديث وغرابتها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عدّوا من الأحاديث المنكرة له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سلمة بن شبيب، حدّثنا الحميدي، 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جابراً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 أَوْ يَحْكُمَ اللَّهُ لِي ۖ وَهُوَ خَيْرُ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لم يجئ تأويل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فقلنا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تقول إنَّ علياً في السّحاب فلا نخرج مع من خرج من ولده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علياً ينادي من السّحاب اخرجوا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فهذا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هذه كانت في إخوة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يكون هذا التوجيه حدساً من سفيان، ولعلّ نظر جابر كان إلى تأويل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يكون جابر قد ذكر ذلك كتأويل للآية لا كتفسير لها، ولا ينافي ذلك الحفاظ على ظاهر الآية وهو نظرها إلى إخوة يوسف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لم يورد ذلك حديثاً مرفوعاً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يكذّب فيه، فإن لم يصح تأويله كان خطأً لا كذباً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والوارد من طرقنا في هذا المضمون هو ما رواه الصفار عن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هل لك من حمار يسير بك من المطلع إلى المغرب في يوم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جعلني الله فداك وأنّى لي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لتبلغن الأسباب، والله لتركبن السّحاب</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روى الصفار عن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رماه القميون بالغلو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إبراهيم، وأحمد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يزدان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عمّن حدّثه من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أعطاني الله تبارك وتعالى تسعة أشياء لم يعطها أحد قبلي خلا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فتحت لي السّبل، وعلمت الأنساب، وأُجري لي السّحاب</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عقد الصفار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البصائر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في ركوب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وترقيه في الأسباب والأفلاك</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كلّها ضعيفة الإسناد ضعفاً شديداً، على أنّه لم يرد في شيء منها </w:t>
      </w:r>
      <w:bookmarkStart w:id="574" w:name="pg9131_76078"/>
    </w:p>
    <w:p>
      <w:pPr>
        <w:pStyle w:val="BookText"/>
        <w:rPr/>
      </w:pPr>
      <w:bookmarkEnd w:id="574"/>
      <w:r>
        <w:rPr>
          <w:rFonts w:ascii="IRNazanin" w:hAnsi="IRNazanin" w:eastAsia="IRNazanin"/>
          <w:color w:val="111111"/>
          <w:sz w:val="28"/>
          <w:sz w:val="28"/>
          <w:szCs w:val="28"/>
          <w:rtl w:val="true"/>
          <w:lang w:bidi="fa-IR"/>
        </w:rPr>
        <w:t xml:space="preserve">تفسير الآية الواردة في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أبو عمرو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يحيى بن عبد الحميد الحماني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في إثبات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أقواماً يزعمون أنّ جعفر بن محمَّد ضعيف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رجلاً صالحاً مسلماً ورعاً، فاكتنفه قوم جهال يدخلون عليه ويخرجون من عنده ويقولون حدّثنا جعفر بن محمَّد، ويحدّثون بأحاديث كلها منكرات كذب موضوعة على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جعفراً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السحاب يطير مع الريح</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عيينة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جابر الجعفي وما سمعت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يعلّمه ما يعلمه، ثم دعا عليٌ الحسنَ فعلّمه ما يعلم، ثم دعا الحسنُ الحسينَ فعلّمه ما يعلم، حتى بلغ جعفر بن محمَّد قال فتركته لذلك ولم أسمع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وتكذيب جابر في ذلك يبتني على مبنى العامّة في عدم الإقرار بوراثة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يرد عند الإمامية الذين رووا ذلك، وقد روى العامة أيضاً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كل باب يفتح ألف باب</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2992054_2870459653"/>
      <w:bookmarkStart w:id="576" w:name="_Toc223"/>
      <w:bookmarkEnd w:id="575"/>
      <w:r>
        <w:rPr>
          <w:rtl w:val="true"/>
        </w:rPr>
        <w:t>الطعن بالتدليس</w:t>
      </w:r>
      <w:bookmarkEnd w:id="576"/>
    </w:p>
    <w:p>
      <w:pPr>
        <w:pStyle w:val="Heading6"/>
        <w:numPr>
          <w:ilvl w:val="5"/>
          <w:numId w:val="1"/>
        </w:numPr>
        <w:rPr/>
      </w:pPr>
      <w:bookmarkStart w:id="577" w:name="__RefHeading___Toc2992056_2870459653"/>
      <w:bookmarkStart w:id="578" w:name="_Toc224"/>
      <w:bookmarkEnd w:id="577"/>
      <w:r>
        <w:rPr>
          <w:rtl w:val="true"/>
        </w:rPr>
        <w:t>الثّالث</w:t>
      </w:r>
      <w:r>
        <w:rPr>
          <w:rtl w:val="true"/>
        </w:rPr>
        <w:t xml:space="preserve">: </w:t>
      </w:r>
      <w:r>
        <w:rPr>
          <w:rtl w:val="true"/>
        </w:rPr>
        <w:t>الطعن عليه بالتدليس</w:t>
      </w:r>
      <w:r>
        <w:rPr>
          <w:rtl w:val="true"/>
        </w:rPr>
        <w:t>..</w:t>
      </w:r>
      <w:bookmarkEnd w:id="5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يدلّس</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w:t>
      </w:r>
      <w:bookmarkStart w:id="579" w:name="pg9131_76079"/>
    </w:p>
    <w:p>
      <w:pPr>
        <w:pStyle w:val="BookText"/>
        <w:rPr/>
      </w:pPr>
      <w:bookmarkEnd w:id="5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رمى جابراً بالتدليس غير العجلي</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992058_2870459653"/>
      <w:bookmarkStart w:id="581" w:name="_Toc225"/>
      <w:bookmarkEnd w:id="580"/>
      <w:r>
        <w:rPr>
          <w:rtl w:val="true"/>
        </w:rPr>
        <w:t>التدليس في اللغة</w:t>
      </w:r>
      <w:r>
        <w:rPr>
          <w:rtl w:val="true"/>
        </w:rPr>
        <w:t>..</w:t>
      </w:r>
      <w:bookmarkEnd w:id="581"/>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ودلّس في البيع وفي كل شيء إذا لم يبيّن له عيبه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قد دلَّس فلان على فلان،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زوى عنه العيب الذي في متاعه، وستره عليه، كأنَّه أعطاه في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الدّلس، والدّلس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يدالس ولا يوالس، فيدالس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يورّي، ولا يستر العيب على صاحبه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الاصطلاح فقد قال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المدلّسين الذين لا يميز مَنْ كتب عنهم بين ما سمعوه وما لم يسمعوه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التدليس فهو أن يحدّث الرجل عن الرجل قد لقيه وأدرك زمانه وأخذ عنه وسمع منه وحدّث عنه بما لم يسمعه منه، وإنَّما سمعه من غيره عنه ممّن ترضى حاله أو لا ترضى</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التدليس فمعناه عند جماعة أهل العلم بالحديث أن يكون الرجل قد لقي شيخاً من شيوخه فسمع منه أحاديث لم يسمع غيرها منه، ثُمَّ أخبره بعض أصحابه ممّن يثق به عن ذلك الشيخ بأحاديث غير تلك التي سمع منه فيحدّث بها عن </w:t>
      </w:r>
    </w:p>
    <w:p>
      <w:pPr>
        <w:pStyle w:val="BookText"/>
        <w:rPr/>
      </w:pPr>
      <w:r>
        <w:rPr>
          <w:rFonts w:ascii="Amiri" w:hAnsi="Amiri" w:eastAsia="Amiri" w:cs="Amiri"/>
          <w:color w:val="111111"/>
          <w:sz w:val="28"/>
          <w:sz w:val="28"/>
          <w:szCs w:val="28"/>
          <w:rtl w:val="true"/>
          <w:lang w:bidi="ar-SA"/>
        </w:rPr>
        <w:t xml:space="preserve">الشّيخ دون أن يذكر صاحبه الذي حدّثه بها فيقول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يعني ذلك الشّيخ</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عن هذا الطعن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بأنّ كثيراً من العلماء الثقات وأئمة الحديث قد وصفوا بالتدليس من غير أن يؤدي ذلك إلى الطعن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ابن حجر كتاباً في طبقات المدلّسين، وذكر فيه كبار التابعين وعلماءهم ممّن أجمعوا على وثاقتهم، ومع ذلك وصموا بالتدليس، فمن التابعين عمرو بن دينار، وعبد الله بن زيد الجرمي، وعبد الله بن عطاء الطائفي، ومن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أبي تميمة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 تكذيب سعيد بن جبير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واقد المروزي، وحفص بن غياث، ومن علمائهم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الأصبهاني، وعلي بن عمر بن مهدي الدارقطني، والفضل بن دكين من كبار شيوخ البخاري، بل نفس البخاري ذكروه في المدلسين، وكذلك مسلم بن الحجاج صاحب الصحيح</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ذكر بعض مشايخ جابر وتلامذته من المدلّسين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مشايخ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 اليماني التابعي المشهور، ذكره الكرابيسي في المدلسين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كثيراً من علم ابن عباس، ثم كان بعد ذلك يرسل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عائشة، فقال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أراه سمع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سمع منها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المدلّسون من تلامذته فنذكر أشهرهم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سعيد الثّوري، وصفه النسائي وغيره بالتدليس، 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أقلّ تدليسه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 الهلالي الكوفي ثم المكي الإمام المشهور فقيه الحجاز في زمانه كان يدلّس، لكن لا يدلّس إلّا عن ثقة، وادعى ابن حبّان بأنَّ ذلك كان خاصّاَ، ووصفه النّسائي وغيره بالتدليس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المجيد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الحاكم النيسابوري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علو قدره كان يدلّس ويأخذ عن كل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البيهقي في السّنن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الثقات فقد كان يدلّس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الهيثمي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ولكنَّه يدلّس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الهيثمي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إلّا أنَّه يدلّس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زائدة أبو يحيى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ويعقوب بن سفيان، وابن سعد، والبزار، وقال أبو زرعة وأبو حاتم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كان يدلّس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غياث بن طلق بن معاوية، كان ثقة مأموناً ثبتاً إلّا أنَّه كان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 بن بشير ويكنى أبا معاوية مولى لبني سليم، وكان ثقة كثير الحديث ثبتاً يدلّس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ذكر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 ومعرفة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ذكر أمثلة أخرى من المدلّسين عن غير الكتاب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التدليس ينقسم عند المحدّثين إلى جائز ومذموم، وعليه فلا يكفي في الطعن على الرجل أن يكون مدلّساً، بل لا بُدَّ أن يثبت كون تدليسه من القسم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تلخيص القول في التدليس الذي أجازه مَنْ أجازه من العلماء بالحديث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الرجل عن شيخ قد لقيه وسمع منه بما لم يسمع منه وسمعه من غيره عنه فيوهم أنَّه سمعه من شيخه ذلك، وإنَّما سمعه من غيره أو من بعض أصحابه عنه ولا يكون ذلك إلّا عن ثقة، فإن دلّس عن غير ثقة فهو تدليس مذموم عند جماعة أهل الحديث، وكذلك إن دلّس عمّن لم يسمع منه فقد جاوز حدّ التدليس الذي رخص فيه مَنْ رخص من العلماء إلى ما ينكرونه ويذمونه ولا يحمدونه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التدليس لا يوجب سقوط الوثوق بالرجل وإسقاط أحاديثه مطلقاً، بل يوجب تنزيل مسانيده التي تحتمل التدليس منزلة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تدليسه بصيغة تقتضي السماع كان ذلك كذباً لا تدليساً، فيوجب زوال الثقة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تقي الدين ابن دقيق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وهو أن يروي الراوي حديثاً عمّن لم يسمعه منه، فإن كانت صيغة روايته تقتضي سماعه منه نصّاً فهذا كذب لا يسمّى بالتدليس، وإن لم يقتضِ ذلك نصّاً كما كان المتقدمون يقولون فلان عن فلان، ولا يقولون أخبرنا ولا حدّثنا، وكذلك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أو روى فلان، أو غيرهما من الألفاظ التي لا تصرح باللقاء، فهذا هو التدليس</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لدينا كون جابر الجعفي من المدلّسين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جابر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ظاهراً مسندة لتلمذته عليهما، وهي ليست مظنّة لتدليسه، فقد 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يزيد على أربعمائة وخمسين رواية،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على ثمانين رواية، وهي جلّ روايات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أغلبها بصيغة السؤال، وهو لا يحتمل التدليس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عن الصحابة والتابعين، وهذا القسم هو مظنّة التدليس الذي اتهم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وغالب أسانيد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مظنّة التدليس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عاميّة، قد روى جابر مرسلاً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روايتين، وواحدة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روايتين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جابر بن عبد الله الأنصاري مباشرة اثنتي عشرة رواية، وروايتين بتوسط أبي الزبير المكي، ورواية واحدة بتوسط أبي 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ورجل، وروى أربع روايات عن عبد الله بن نجي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ثلاث روايات عن الشّعبي، وسعيد بن المسيب، ورواية واحدة عن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حمزة الثمالي، وأبي الطفيل، وشرحبيل بن سعد الأنباري، ومسافر، وعبد الأعلى، ومحمَّد بن علي بن عبد الله بن عباس، وعبد الرحمن بن سابط، وإبراهيم القرشي، وتميم بن جذيم، وعكرمة، وسويد بن غفلة، ومجاهد، والهيثم بن عبد العزيز، وأرسل عن المسيب بن نجية رواية واحدة، ورفع رواية عن أبي مريم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عدم إدراك جابر لمن روى عنه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يصدق فيه التدليس كما في روايته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تعدّ روايته عن </w:t>
      </w:r>
      <w:bookmarkStart w:id="582" w:name="pg9131_76084"/>
    </w:p>
    <w:p>
      <w:pPr>
        <w:pStyle w:val="BookText"/>
        <w:rPr/>
      </w:pPr>
      <w:bookmarkEnd w:id="582"/>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وقد مرّ الكلام فيه في الجهة الخامسة من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أن يكون مظنّة التدليس هو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روايات الرجل من مرتبة الأسناد المتصل بالتدليس إنَّما يكون فيما إذا كان تدليسه كثيراً، وأمّا إذا كان تدليسه قليلاً فلا تسقط رواياته عند المحدثين، ولم يثبت بتتبع روايات جابر تدليساً كثيراً عنه، ولعلّه لذلك لم يَذْكُرْ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المطاعن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يعقوب</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ابن المديني</w:t>
      </w:r>
      <w:r>
        <w:rPr>
          <w:rStyle w:val="FootnoteAnchor"/>
          <w:rtl w:val="true"/>
        </w:rPr>
        <w:footnoteReference w:id="647"/>
      </w:r>
      <w:r>
        <w:rPr>
          <w:rFonts w:ascii="Amiri" w:hAnsi="Amiri" w:eastAsia="Amiri" w:cs="Amiri"/>
          <w:color w:val="111111"/>
          <w:sz w:val="28"/>
          <w:sz w:val="28"/>
          <w:szCs w:val="28"/>
          <w:rtl w:val="true"/>
          <w:lang w:bidi="ar-SA"/>
        </w:rPr>
        <w:t>عن الرجل يدلّس أيكون حجّة فيما لم يقل 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التدليس فلا حتى يقول حدّثنا</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يكن الغالب عليه التدليس فيكون قوله حجّة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992060_2870459653"/>
      <w:bookmarkStart w:id="584" w:name="_Toc226"/>
      <w:bookmarkEnd w:id="583"/>
      <w:r>
        <w:rPr>
          <w:rtl w:val="true"/>
        </w:rPr>
        <w:t>الطعن عليه باللين</w:t>
      </w:r>
      <w:bookmarkEnd w:id="584"/>
    </w:p>
    <w:p>
      <w:pPr>
        <w:pStyle w:val="Heading6"/>
        <w:numPr>
          <w:ilvl w:val="5"/>
          <w:numId w:val="1"/>
        </w:numPr>
        <w:rPr/>
      </w:pPr>
      <w:bookmarkStart w:id="585" w:name="__RefHeading___Toc2992062_2870459653"/>
      <w:bookmarkStart w:id="586" w:name="_Toc227"/>
      <w:bookmarkEnd w:id="585"/>
      <w:r>
        <w:rPr>
          <w:rtl w:val="true"/>
        </w:rPr>
        <w:t>الرابع</w:t>
      </w:r>
      <w:r>
        <w:rPr>
          <w:rtl w:val="true"/>
        </w:rPr>
        <w:t xml:space="preserve">: </w:t>
      </w:r>
      <w:r>
        <w:rPr>
          <w:rtl w:val="true"/>
        </w:rPr>
        <w:t>الطعن عليه بأنَّ فيه ليناً</w:t>
      </w:r>
      <w:r>
        <w:rPr>
          <w:rtl w:val="true"/>
        </w:rPr>
        <w:t>..</w:t>
      </w:r>
      <w:bookmarkEnd w:id="5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ليان من العيش، أي في نعيم وخفض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تملق</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اصطلاحاً فنقل الخطيب البغدادي عن الدارقطني 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فلان ليّن أيش تريد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ساقطاً متروك الحديث، ولكن مجروحاً بشيء لا يسقط عن 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عمر القصار أخبرهم عنه وجدت الألفاظ في الجرح والتعديل على مراتب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أجابوا في الرجل بلين الحديث فهو ممّن يكتب حديثه وينظر فيه اعتباراً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 اللين لا ينفي كون الرجل صادقاً، وإنَّما يعني أنّ لديه أخطاءً واشتباهات غير عمدية، ومن ثَمَّ لا يخرج عن حدود العدالة ويوصف بالصدق، بل ربما وصفوه بالثقة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يريدون بالثقة في مثل ذلك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توصيفهم الرجل بالصدق والوثاقة مع إثبات لين فيه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الحكم بن 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 أبو سعد البقّال الأعور مولى حذيفة ابن اليمان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لاحظ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أبي سعد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مدلّس، قلت هو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لا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زيد الأسلمي وثقه ابن حبان وابن معين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فيه لين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لين، ووثّقه الحاكم وابن حبان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السري، وثّقه ابن حبان وابن معين وغيره، وفيه لين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حكيم وثّقه ابن حبان وغيره، وفيه لين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وهو ثقة، وفيه لين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حبيب وثّقه ابن أبي حاتم، وفيه لين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خالد بن نزار وهو ثقة، وفيه لين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بلج الفزاري وهو ثقة، وفيه لين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أنّ التوصيف باللين لا ينفي كون الرجل صادقاً، بل يعني وقوعه في الخطأ والاشتباه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يلاحظ على هذا المستوى من التضعيف أنّه لا يبعد أن يكون هذا الاتهام أيضاً مبنياً على عدم سلامة رواياته من منظورهم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مبانيهم في أمر الإمامة والمعارف </w:t>
      </w:r>
    </w:p>
    <w:p>
      <w:pPr>
        <w:pStyle w:val="BookText"/>
        <w:rPr/>
      </w:pPr>
      <w:r>
        <w:rPr>
          <w:rFonts w:ascii="IRNazanin" w:hAnsi="IRNazanin" w:eastAsia="IRNazanin"/>
          <w:color w:val="111111"/>
          <w:sz w:val="28"/>
          <w:sz w:val="28"/>
          <w:szCs w:val="28"/>
          <w:rtl w:val="true"/>
          <w:lang w:bidi="fa-IR"/>
        </w:rPr>
        <w:t xml:space="preserve">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لإنكارهم ما ورد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وينبّه على ذلك تضعيفهم لغير واحد من رواة الإمامية الذين عرفوا لديهم بالثقة، كأبي حمزة الثمالي، ورشيد الهجري وحبّة العرني، وما ذلك إلّا لانقطاعهم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أبي صفية أبو حمزة الثمالي كوفي مولى المهلب واسم أبي صفية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ضعيف الحديث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العباس بن محمَّد الدوري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ليّن الحديث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w:t>
      </w:r>
      <w:r>
        <w:rPr>
          <w:rStyle w:val="FootnoteAnchor"/>
          <w:rtl w:val="true"/>
        </w:rPr>
        <w:footnoteReference w:id="661"/>
      </w:r>
      <w:r>
        <w:rPr>
          <w:rFonts w:ascii="Amiri" w:hAnsi="Amiri" w:eastAsia="Amiri" w:cs="Amiri"/>
          <w:color w:val="111111"/>
          <w:sz w:val="28"/>
          <w:sz w:val="28"/>
          <w:szCs w:val="28"/>
          <w:rtl w:val="true"/>
          <w:lang w:bidi="ar-SA"/>
        </w:rPr>
        <w:t>عن أبي حمزة ثابت ابن أبي صفية الثمالي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ليّن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والده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دينار أبو سعيد عقيصاً كوفي تيمي روى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ليّن، وهو أحبّ إلي من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العباسُ بن محمَّد الدوري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عقيصاً ليس بشيء، شرّ من رشيد الهجري وحبّة العرني وأصبغ ابن نباتة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يزيد الجعفي ثقة حتّى على مباني العامّة وما قدحوه به لا ينهض على ذلك، وإنَّما جاء القدح لرأيه لا لحديثه، كما صرّح به أحمد ابن حنبل على ما سبق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تمام ما أردنا ذكره في هذه الحلقة، ويأتي في العدد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الخاتمة وهي الراوي والمروي عنه من الفريقين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bookmarkStart w:id="587" w:name="pg9131_76089"/>
    </w:p>
    <w:p>
      <w:pPr>
        <w:pStyle w:val="Heading2"/>
        <w:numPr>
          <w:ilvl w:val="1"/>
          <w:numId w:val="1"/>
        </w:numPr>
        <w:rPr/>
      </w:pPr>
      <w:bookmarkStart w:id="588" w:name="__RefHeading___Toc2992064_2870459653"/>
      <w:bookmarkStart w:id="589" w:name="_Toc228"/>
      <w:bookmarkEnd w:id="587"/>
      <w:bookmarkEnd w:id="588"/>
      <w:r>
        <w:rPr>
          <w:rtl w:val="true"/>
        </w:rPr>
        <w:t xml:space="preserve">جواب مسألتين للفقيه الكبير الشّيخ أحمد آل كاشف الغطاء </w:t>
      </w:r>
      <w:r>
        <w:rPr>
          <w:rtl w:val="true"/>
        </w:rPr>
        <w:t>(</w:t>
      </w:r>
      <w:r>
        <w:rPr>
          <w:rtl w:val="true"/>
        </w:rPr>
        <w:t>قدس سره</w:t>
      </w:r>
      <w:r>
        <w:rPr>
          <w:rtl w:val="true"/>
        </w:rPr>
        <w:t>)</w:t>
      </w:r>
      <w:bookmarkEnd w:id="589"/>
    </w:p>
    <w:p>
      <w:pPr>
        <w:pStyle w:val="Heading3"/>
        <w:numPr>
          <w:ilvl w:val="2"/>
          <w:numId w:val="1"/>
        </w:numPr>
        <w:rPr/>
      </w:pPr>
      <w:bookmarkStart w:id="590" w:name="__RefHeading___Toc2992066_2870459653"/>
      <w:bookmarkStart w:id="591" w:name="_Toc229"/>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جواب مسألتين</w:t>
      </w:r>
    </w:p>
    <w:p>
      <w:pPr>
        <w:pStyle w:val="BookText"/>
        <w:rPr/>
      </w:pPr>
      <w:r>
        <w:rPr>
          <w:rFonts w:ascii="Amiri" w:hAnsi="Amiri" w:eastAsia="Amiri" w:cs="Amiri"/>
          <w:color w:val="111111"/>
          <w:sz w:val="28"/>
          <w:sz w:val="28"/>
          <w:szCs w:val="28"/>
          <w:rtl w:val="true"/>
          <w:lang w:bidi="ar-SA"/>
        </w:rPr>
        <w:t>للفقيه الكبير</w:t>
      </w:r>
    </w:p>
    <w:p>
      <w:pPr>
        <w:pStyle w:val="BookText"/>
        <w:rPr/>
      </w:pPr>
      <w:r>
        <w:rPr>
          <w:rFonts w:ascii="Amiri" w:hAnsi="Amiri" w:eastAsia="Amiri" w:cs="Amiri"/>
          <w:color w:val="111111"/>
          <w:sz w:val="28"/>
          <w:sz w:val="28"/>
          <w:szCs w:val="28"/>
          <w:rtl w:val="true"/>
          <w:lang w:bidi="ar-SA"/>
        </w:rPr>
        <w:t xml:space="preserve">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الوصاية بالولاية لمن يتجدّد من الأولاد</w:t>
      </w:r>
    </w:p>
    <w:p>
      <w:pPr>
        <w:pStyle w:val="BookText"/>
        <w:rPr/>
      </w:pPr>
      <w:r>
        <w:rPr>
          <w:rFonts w:ascii="Amiri" w:hAnsi="Amiri" w:eastAsia="Amiri" w:cs="Amiri"/>
          <w:color w:val="111111"/>
          <w:sz w:val="28"/>
          <w:sz w:val="28"/>
          <w:szCs w:val="28"/>
          <w:rtl w:val="true"/>
          <w:lang w:bidi="ar-SA"/>
        </w:rPr>
        <w:t>مع وجود قرينة على التعميم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البعاج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التعميم والتقييد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الفهداوي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9131_76091"/>
      <w:bookmarkStart w:id="593" w:name="pg9131_76091"/>
      <w:bookmarkEnd w:id="593"/>
    </w:p>
    <w:p>
      <w:pPr>
        <w:pStyle w:val="Heading3"/>
        <w:numPr>
          <w:ilvl w:val="2"/>
          <w:numId w:val="1"/>
        </w:numPr>
        <w:rPr/>
      </w:pPr>
      <w:bookmarkStart w:id="594" w:name="pg9131_76091"/>
      <w:bookmarkStart w:id="595" w:name="__RefHeading___Toc2992068_2870459653"/>
      <w:bookmarkStart w:id="596" w:name="_Toc230"/>
      <w:bookmarkEnd w:id="594"/>
      <w:bookmarkEnd w:id="595"/>
      <w:r>
        <w:rPr>
          <w:rtl w:val="true"/>
        </w:rPr>
        <w:t>مقدّمة المجلّة</w:t>
      </w:r>
      <w:bookmarkEnd w:id="5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فإنَّ فخر الأمم يرتكز على دعامتين رئيستين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أصالتها، وهويتها الحضارية المتجلّية بما أبدعه يراع مفكريها، وهذا ما امتازت به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سطّر علماؤها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سعيهم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مجالات المعرفة الإنسانيّة أُلوف المصنّفات، ولمّا كانت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معنيّة بإخراج نفائس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الأبحاث التّخصّصيّة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أنظار المهتمّين وجعلها في متناول أيديهم، عكفت في هذا العدد على إخراج مخطوطتين للمرحوم آية الله الشّيخ أحمد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سؤالان موجّهان من بعض أهل الفضل في البحرين إلى مرجع الطَّائفة في عصره السَّيّد محمَّد كاظم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 في الوصاية بالولاية، والآخر في الشَّهيد، وقد تصدّى الشَّيخ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طلبت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جواب الأوَّل من فضيلة 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وتحقيق جواب الآخر من فضيلة الشَّيخ سعد الفهداوي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وكتابة ترجمة للمسؤول والسَّائل والمجيب من فضيلة 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سائلين المولى عزّ وجلّ التَّوفيق لإخراج المزيد من التّراث التَّليد إنّه ولي التَّوفيق</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9131_76093"/>
      <w:bookmarkStart w:id="598" w:name="pg9131_76093"/>
      <w:bookmarkEnd w:id="598"/>
    </w:p>
    <w:p>
      <w:pPr>
        <w:pStyle w:val="Heading3"/>
        <w:numPr>
          <w:ilvl w:val="2"/>
          <w:numId w:val="1"/>
        </w:numPr>
        <w:rPr/>
      </w:pPr>
      <w:bookmarkStart w:id="599" w:name="pg9131_76093"/>
      <w:bookmarkStart w:id="600" w:name="__RefHeading___Toc2992070_2870459653"/>
      <w:bookmarkStart w:id="601" w:name="_Toc231"/>
      <w:bookmarkEnd w:id="599"/>
      <w:bookmarkEnd w:id="600"/>
      <w:r>
        <w:rPr>
          <w:rtl w:val="true"/>
        </w:rPr>
        <w:t>مقدّمة التّحقيق</w:t>
      </w:r>
      <w:bookmarkEnd w:id="601"/>
    </w:p>
    <w:p>
      <w:pPr>
        <w:pStyle w:val="Heading4"/>
        <w:numPr>
          <w:ilvl w:val="3"/>
          <w:numId w:val="1"/>
        </w:numPr>
        <w:rPr/>
      </w:pPr>
      <w:bookmarkStart w:id="602" w:name="__RefHeading___Toc2992072_2870459653"/>
      <w:bookmarkStart w:id="603" w:name="_Toc232"/>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حمداً يوافق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الصَّلاة وأتمّ التّسليم على خير من اجتباه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واحدةً من أهم سمات الأوساط العلميّة الحيّة هو الاجتهاد الّذي يُعدُّ بمنزلة الروح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يُثري الفكر بالآراء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ويزيدها وضوحاً بتنقيح موضوعاتها، وبيان حدودها، وتقويم 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فالفقيه لا يكون فقيهاً حتّى يكون متقناً لجملةٍ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مُضطلِعاً بارتكازات التّشريع، مُلمّاً بالمرتكزات العقلائيّة وحدودها، فشِيدتْ حواضرٌ عُرفت بهذه السّمة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الحواضر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يشهد لها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متمثّلة بحوزتها العلميَّة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ولا زالت وستبقى موئل المجتهدين والفطاحل الّذين أوصلوا علمي الفقه والأُصول إلى مستويات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هي تُفصح لنا عن درّتين من لآلئ مكنونات بحرها الزاخر، وهما بحثان فقهيّان استدلاليّان للفقيه الكبير آية الله الشَّيخ أحمد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يكشفان عن دقّة تحليلٍ، وتتبّعٍ لأقوال السَّلف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ولُطف 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عرضهما نضع بين يدي القارئ الكريم في هذه المقدّمة مطالب عدّة ضمن أبواب 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المسؤول والسّائل والمجيب،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آل 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المعتمدة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w:t>
      </w:r>
      <w:bookmarkStart w:id="604" w:name="pg9131_76095"/>
    </w:p>
    <w:p>
      <w:pPr>
        <w:pStyle w:val="Heading4"/>
        <w:numPr>
          <w:ilvl w:val="3"/>
          <w:numId w:val="1"/>
        </w:numPr>
        <w:rPr/>
      </w:pPr>
      <w:bookmarkStart w:id="605" w:name="__RefHeading___Toc2992074_2870459653"/>
      <w:bookmarkStart w:id="606" w:name="_Toc233"/>
      <w:bookmarkEnd w:id="604"/>
      <w:bookmarkEnd w:id="605"/>
      <w:r>
        <w:rPr>
          <w:rtl w:val="true"/>
        </w:rPr>
        <w:t>الباب الأوَّل</w:t>
      </w:r>
      <w:bookmarkEnd w:id="606"/>
    </w:p>
    <w:p>
      <w:pPr>
        <w:pStyle w:val="Heading5"/>
        <w:numPr>
          <w:ilvl w:val="4"/>
          <w:numId w:val="1"/>
        </w:numPr>
        <w:rPr/>
      </w:pPr>
      <w:bookmarkStart w:id="607" w:name="__RefHeading___Toc2992076_2870459653"/>
      <w:bookmarkStart w:id="608" w:name="_Toc234"/>
      <w:bookmarkEnd w:id="607"/>
      <w:r>
        <w:rPr/>
        <w:t>1</w:t>
      </w:r>
      <w:r>
        <w:rPr>
          <w:rtl w:val="true"/>
        </w:rPr>
        <w:t xml:space="preserve">. </w:t>
      </w:r>
      <w:r>
        <w:rPr>
          <w:rtl w:val="true"/>
        </w:rPr>
        <w:t xml:space="preserve">ترجمة السَّيّد محمَّد كاظم اليزدي </w:t>
      </w:r>
      <w:r>
        <w:rPr>
          <w:rtl w:val="true"/>
        </w:rPr>
        <w:t>(</w:t>
      </w:r>
      <w:r>
        <w:rPr>
          <w:rtl w:val="true"/>
        </w:rPr>
        <w:t>رضوان الله تعالی علیه</w:t>
      </w:r>
      <w:r>
        <w:rPr>
          <w:rtl w:val="true"/>
        </w:rPr>
        <w:t>)</w:t>
      </w:r>
      <w:bookmarkEnd w:id="608"/>
    </w:p>
    <w:p>
      <w:pPr>
        <w:pStyle w:val="Heading6"/>
        <w:numPr>
          <w:ilvl w:val="5"/>
          <w:numId w:val="1"/>
        </w:numPr>
        <w:rPr/>
      </w:pPr>
      <w:bookmarkStart w:id="609" w:name="__RefHeading___Toc2992078_2870459653"/>
      <w:bookmarkStart w:id="610" w:name="_Toc235"/>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هو أحد أساطين المذهب، غنيّ عن التعريف إلّا أنّنا نقتصر على ما لا بُدَّ من ذكره في أمثال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محمَّد كاظم ابن السَّيّد عبد العظيم الطباطبائي الحسني، اليزدي،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يزد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ﻫ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المقدّمات في يزد، ثُمَّ سافر إلى مشهد المقدّسة وواصل دراسته فيها، ثُمَّ هاجر إلى أصفهان وتتلمذ فيها على كلٍّ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ابن الشّيخ محمَّد تقي صاحب الحاشية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على إجازة منه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الميرزا محمَّد هاشم 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جعفر بن محمَّد صفي الأصفهاني الآباده ئي، الملقّب بالفارسي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611" w:name="pg9131_76096"/>
    </w:p>
    <w:p>
      <w:pPr>
        <w:pStyle w:val="BookText"/>
        <w:rPr/>
      </w:pPr>
      <w:bookmarkEnd w:id="611"/>
      <w:r>
        <w:rPr>
          <w:rFonts w:ascii="IRNazanin" w:hAnsi="IRNazanin" w:eastAsia="IRNazanin"/>
          <w:color w:val="111111"/>
          <w:sz w:val="28"/>
          <w:sz w:val="28"/>
          <w:szCs w:val="28"/>
          <w:rtl w:val="true"/>
          <w:lang w:bidi="fa-IR"/>
        </w:rPr>
        <w:t xml:space="preserve">ثُمَّ هاجر إلى النّجف الأشرف عام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ﻫ، ولم يدرك درس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عند كلّ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هاجر إلى سامراء وبقي، المترجَم له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راضي بن محمَّد بن محسن بن خضر، الجناجي، النّجفي، سبط الشّيخ جعفر كاشف الغطاء، وجدّ العائلة المعروفة في النّجف بآل الشّيخ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مهدي ابن الشّيخ علي ابن الشّيخ جعفر كاشف الغطاء الملقب بالجعفريّ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992080_2870459653"/>
      <w:bookmarkStart w:id="613" w:name="_Toc236"/>
      <w:bookmarkEnd w:id="612"/>
      <w:r>
        <w:rPr>
          <w:rtl w:val="true"/>
        </w:rPr>
        <w:t>تلامذته</w:t>
      </w:r>
      <w:bookmarkEnd w:id="613"/>
    </w:p>
    <w:p>
      <w:pPr>
        <w:pStyle w:val="BookText"/>
        <w:rPr/>
      </w:pPr>
      <w:r>
        <w:rPr>
          <w:rFonts w:ascii="Amiri" w:hAnsi="Amiri" w:eastAsia="Amiri" w:cs="Amiri"/>
          <w:color w:val="111111"/>
          <w:sz w:val="28"/>
          <w:sz w:val="28"/>
          <w:szCs w:val="28"/>
          <w:rtl w:val="true"/>
          <w:lang w:bidi="ar-SA"/>
        </w:rPr>
        <w:t xml:space="preserve">تخرّج من تحت منبره الشّريف من ملأ الخافقين، أبرزهم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الشّيخ أحمد آل كاشف الغطاء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أبو الحسن ابن السَّيّد محمد الموسوي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أغا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المولى محمد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بن علي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أغا حسين بن محمود بن محمد الطّباطبائي القمّي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2992082_2870459653"/>
      <w:bookmarkStart w:id="615" w:name="_Toc237"/>
      <w:bookmarkEnd w:id="614"/>
      <w:r>
        <w:rPr>
          <w:rtl w:val="true"/>
        </w:rPr>
        <w:t>مرجعيته</w:t>
      </w:r>
      <w:bookmarkEnd w:id="6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بداية مرجعيته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أستاذه المجدّد الشّيرازيّ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ﻫ، ثمّ توسّعت مرجعيته شيئاً فشيئاً إلى عام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ﻫ حيث شملت معظم البلاد الإسلاميّة، ثُمَّ بعد وفاة المحقّق الآخوند الخرساني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مرجعيته مطلقة شملت جميع البلاد الإسلاميّة إلى حين وفاته</w:t>
      </w:r>
      <w:r>
        <w:rPr>
          <w:rFonts w:eastAsia="IRNazanin" w:cs="IRNazanin"/>
          <w:color w:val="111111"/>
          <w:sz w:val="28"/>
          <w:szCs w:val="28"/>
          <w:rtl w:val="true"/>
          <w:lang w:bidi="fa-IR"/>
        </w:rPr>
        <w:t xml:space="preserve">. </w:t>
      </w:r>
      <w:bookmarkStart w:id="616" w:name="pg9131_76097"/>
    </w:p>
    <w:p>
      <w:pPr>
        <w:pStyle w:val="Heading6"/>
        <w:numPr>
          <w:ilvl w:val="5"/>
          <w:numId w:val="1"/>
        </w:numPr>
        <w:rPr/>
      </w:pPr>
      <w:bookmarkStart w:id="617" w:name="__RefHeading___Toc2992084_2870459653"/>
      <w:bookmarkStart w:id="618" w:name="_Toc238"/>
      <w:bookmarkEnd w:id="616"/>
      <w:bookmarkEnd w:id="617"/>
      <w:r>
        <w:rPr>
          <w:rtl w:val="true"/>
        </w:rPr>
        <w:t>مصنفاته</w:t>
      </w:r>
      <w:bookmarkEnd w:id="618"/>
    </w:p>
    <w:p>
      <w:pPr>
        <w:pStyle w:val="BookText"/>
        <w:rPr/>
      </w:pPr>
      <w:r>
        <w:rPr>
          <w:rFonts w:ascii="IRNazanin" w:hAnsi="IRNazanin" w:eastAsia="IRNazanin"/>
          <w:color w:val="111111"/>
          <w:sz w:val="28"/>
          <w:sz w:val="28"/>
          <w:szCs w:val="28"/>
          <w:rtl w:val="true"/>
          <w:lang w:bidi="fa-IR"/>
        </w:rPr>
        <w:t xml:space="preserve">للمترجَم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كثيرة،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حاشيته على مكاسب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حاشيته على فرائد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اجتماع الأمر والنهي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العروة الوثقى</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2992086_2870459653"/>
      <w:bookmarkStart w:id="620" w:name="_Toc239"/>
      <w:bookmarkEnd w:id="619"/>
      <w:r>
        <w:rPr>
          <w:rtl w:val="true"/>
        </w:rPr>
        <w:t>العروة الوثقى</w:t>
      </w:r>
      <w:bookmarkEnd w:id="620"/>
    </w:p>
    <w:p>
      <w:pPr>
        <w:pStyle w:val="BookText"/>
        <w:rPr/>
      </w:pPr>
      <w:r>
        <w:rPr>
          <w:rFonts w:ascii="IRNazanin" w:hAnsi="IRNazanin" w:eastAsia="IRNazanin"/>
          <w:color w:val="111111"/>
          <w:sz w:val="28"/>
          <w:sz w:val="28"/>
          <w:szCs w:val="28"/>
          <w:rtl w:val="true"/>
          <w:lang w:bidi="fa-IR"/>
        </w:rPr>
        <w:t xml:space="preserve">وهو من أهم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مفاخر المتون الفقهيّة، بل هو الأوَّل بلا منازع في المائة سنة الأخيرة، فكان ولا زال محط أنظار واهتمام الأعاظم، وينبئك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مدار البحوث العالية منذ تأليفه</w:t>
      </w:r>
      <w:r>
        <w:rPr>
          <w:rStyle w:val="FootnoteAnchor"/>
          <w:rtl w:val="true"/>
        </w:rPr>
        <w:footnoteReference w:id="667"/>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الأعلام لشرحه حتّى بلغت شروحه العشرات، ولم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فقهي شرح بهذا الكم في هذه الأواخر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التّعاليق عليه حتّى جمع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عشر مجلداً ضمّت بين دفتيها تعاليق لواحد وأربعين عَلَماً</w:t>
      </w:r>
      <w:r>
        <w:rPr>
          <w:rFonts w:eastAsia="Amiri" w:cs="Amiri" w:ascii="Amiri" w:hAnsi="Amiri"/>
          <w:color w:val="111111"/>
          <w:sz w:val="28"/>
          <w:szCs w:val="28"/>
          <w:rtl w:val="true"/>
          <w:lang w:bidi="ar-SA"/>
        </w:rPr>
        <w:t xml:space="preserve">. </w:t>
      </w:r>
      <w:bookmarkStart w:id="621" w:name="pg9131_76098"/>
    </w:p>
    <w:p>
      <w:pPr>
        <w:pStyle w:val="Heading6"/>
        <w:numPr>
          <w:ilvl w:val="5"/>
          <w:numId w:val="1"/>
        </w:numPr>
        <w:rPr/>
      </w:pPr>
      <w:bookmarkStart w:id="622" w:name="__RefHeading___Toc2992088_2870459653"/>
      <w:bookmarkStart w:id="623" w:name="_Toc240"/>
      <w:bookmarkEnd w:id="621"/>
      <w:bookmarkEnd w:id="622"/>
      <w:r>
        <w:rPr>
          <w:rtl w:val="true"/>
        </w:rPr>
        <w:t xml:space="preserve">أهم الحوادث السّياسيّة التي اتفقت إبّان مرجعيته </w:t>
      </w:r>
      <w:r>
        <w:rPr>
          <w:rtl w:val="true"/>
        </w:rPr>
        <w:t>(</w:t>
      </w:r>
      <w:r>
        <w:rPr>
          <w:rtl w:val="true"/>
        </w:rPr>
        <w:t>رضوان الله تعالی علیه</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فتنة المشروطة والمستبدة التي كانت بدايتها عام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يبدِ فيها الرأي بالموافقة أو العدم، وسيأتي تفصيل ذلك في ترجمة الشّيخ أحمد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فتواه بالدفاع عن بلاد المسلمين ضد إيطاليا عند احتلالها ليبيا، وضد روسيا وإنكلترا عند مهاجمتهما لشمال وجنوب إيران في ذي الحجّة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حضرة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 سيرته وأضواء على مرجعيته ووثائقه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فتواه بوجوب النّفير العام على كلّ متمكّن من الدّفاع عن العراق ضد الاحتلال البريطاني في محرم الحرام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رجب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ثمّ ازدادت علّته إلى أن لبّى داعي ربّه طلوع الفجر من يوم الثّلاثاء الثّامن والعشرين من رجب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624" w:name="pg9131_76099"/>
    </w:p>
    <w:p>
      <w:pPr>
        <w:pStyle w:val="Heading5"/>
        <w:numPr>
          <w:ilvl w:val="4"/>
          <w:numId w:val="1"/>
        </w:numPr>
        <w:rPr/>
      </w:pPr>
      <w:bookmarkStart w:id="625" w:name="__RefHeading___Toc2992090_2870459653"/>
      <w:bookmarkStart w:id="626" w:name="_Toc241"/>
      <w:bookmarkEnd w:id="624"/>
      <w:bookmarkEnd w:id="625"/>
      <w:r>
        <w:rPr/>
        <w:t>2</w:t>
      </w:r>
      <w:r>
        <w:rPr>
          <w:rtl w:val="true"/>
        </w:rPr>
        <w:t xml:space="preserve">. </w:t>
      </w:r>
      <w:r>
        <w:rPr>
          <w:rtl w:val="true"/>
        </w:rPr>
        <w:t xml:space="preserve">الشّيخ أحمد آل حرز </w:t>
      </w:r>
      <w:r>
        <w:rPr>
          <w:rtl w:val="true"/>
        </w:rPr>
        <w:t>(</w:t>
      </w:r>
      <w:r>
        <w:rPr>
          <w:rtl w:val="true"/>
        </w:rPr>
        <w:t>رحمة الله</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آل 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الشّيخ أحمد بن عبد الرّضا بن حسين بن محمَّد بن عبد الله آل حرز الجزيري الجد حفصي البحراني، ولد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البحرين في حدود عام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وكان فاضلاً ورعاً تقيّاً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المقدّمات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عشر سنين هاجر إلى العراق لإكمال دراسته، حيث قضى فيه ثمانية عشر عاماً، أقام في كربلاء المقدّسة سنوات عدّة، ثمّ انتقل إلى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 من نميرها إلى أن عاد إلى البحرين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ﻫ ولم تنقطع العلاقة بينه وبين السَّيّد اليزدي حيث كان يرسل إليه ما يصله من الحقوق الشّرعية، كما لم تنقطع بينهما المراسيل، والسّؤالان اللذان بين أيدينا من مصاديق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عاد إلى البحرين استقر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النّاس ويؤمّهم جمعة وجماعة، كما وتولّى القضاء هناك نحو عشرين سنة، فكان محمود السّيرة طيّب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مؤلّفاته رسالة في تقليد الميّت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حباء الأحبّاء في تسوية النّصوص بين تقليد الأموات والأحياء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لبّى نداء ربّه ليلة الاثنين في العشرة الأخيرة من شهر محرّم الحرام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ﻫ، 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جد حفص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جنوبي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المقبرة المذكورة سُمّيت بذلك لدفن الشّيخ فيها، وإنّ المسجد سُمّيَ بذلك على حذف المُضاف،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مقبرة الإمام</w:t>
      </w:r>
      <w:r>
        <w:rPr>
          <w:rFonts w:eastAsia="Amiri" w:cs="Amiri" w:ascii="Amiri" w:hAnsi="Amiri"/>
          <w:color w:val="111111"/>
          <w:sz w:val="28"/>
          <w:szCs w:val="28"/>
          <w:rtl w:val="true"/>
          <w:lang w:bidi="ar-SA"/>
        </w:rPr>
        <w:t xml:space="preserve">. </w:t>
      </w:r>
      <w:bookmarkStart w:id="627" w:name="pg9131_76101"/>
    </w:p>
    <w:p>
      <w:pPr>
        <w:pStyle w:val="Heading5"/>
        <w:numPr>
          <w:ilvl w:val="4"/>
          <w:numId w:val="1"/>
        </w:numPr>
        <w:rPr/>
      </w:pPr>
      <w:bookmarkStart w:id="628" w:name="__RefHeading___Toc2992092_2870459653"/>
      <w:bookmarkStart w:id="629" w:name="_Toc242"/>
      <w:bookmarkEnd w:id="627"/>
      <w:bookmarkEnd w:id="628"/>
      <w:r>
        <w:rPr/>
        <w:t>3</w:t>
      </w:r>
      <w:r>
        <w:rPr>
          <w:rtl w:val="true"/>
        </w:rPr>
        <w:t xml:space="preserve">. </w:t>
      </w:r>
      <w:r>
        <w:rPr>
          <w:rtl w:val="true"/>
        </w:rPr>
        <w:t xml:space="preserve">الشّيخ أحمد آل كاشف الغطاء </w:t>
      </w:r>
      <w:r>
        <w:rPr>
          <w:rtl w:val="true"/>
        </w:rPr>
        <w:t>(</w:t>
      </w:r>
      <w:r>
        <w:rPr>
          <w:rtl w:val="true"/>
        </w:rPr>
        <w:t>قدس سره</w:t>
      </w:r>
      <w:r>
        <w:rPr>
          <w:rtl w:val="true"/>
        </w:rPr>
        <w:t>)</w:t>
      </w:r>
      <w:bookmarkEnd w:id="629"/>
    </w:p>
    <w:p>
      <w:pPr>
        <w:pStyle w:val="Heading6"/>
        <w:numPr>
          <w:ilvl w:val="5"/>
          <w:numId w:val="1"/>
        </w:numPr>
        <w:rPr/>
      </w:pPr>
      <w:bookmarkStart w:id="630" w:name="__RefHeading___Toc2992094_2870459653"/>
      <w:bookmarkStart w:id="631" w:name="_Toc243"/>
      <w:bookmarkEnd w:id="630"/>
      <w:r>
        <w:rPr/>
        <w:t>1</w:t>
      </w:r>
      <w:r>
        <w:rPr>
          <w:rtl w:val="true"/>
        </w:rPr>
        <w:t xml:space="preserve">. </w:t>
      </w:r>
      <w:r>
        <w:rPr>
          <w:rtl w:val="true"/>
        </w:rPr>
        <w:t>نسبه ونسبته</w:t>
      </w:r>
      <w:r>
        <w:rPr>
          <w:rtl w:val="true"/>
        </w:rPr>
        <w:t>..</w:t>
      </w:r>
      <w:bookmarkEnd w:id="631"/>
    </w:p>
    <w:p>
      <w:pPr>
        <w:pStyle w:val="BookText"/>
        <w:rPr/>
      </w:pPr>
      <w:r>
        <w:rPr>
          <w:rFonts w:ascii="Amiri" w:hAnsi="Amiri" w:eastAsia="Amiri" w:cs="Amiri"/>
          <w:color w:val="111111"/>
          <w:sz w:val="28"/>
          <w:sz w:val="28"/>
          <w:szCs w:val="28"/>
          <w:rtl w:val="true"/>
          <w:lang w:bidi="ar-SA"/>
        </w:rPr>
        <w:t>هو الشّيخ أحمد ابن الشّيخ علي ابن الشّيخ محمَّد رضا ابن الشّيخ موسى ابن الشّيخ جعفر الكبير صاحب كتاب كشف الغطاء ابن الشّيخ خضر بن يحيى الجناجي النّجفي المالكي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2" w:name="__RefHeading___Toc2992096_2870459653"/>
      <w:bookmarkStart w:id="633" w:name="_Toc244"/>
      <w:bookmarkEnd w:id="632"/>
      <w:r>
        <w:rPr/>
        <w:t>2</w:t>
      </w:r>
      <w:r>
        <w:rPr>
          <w:rtl w:val="true"/>
        </w:rPr>
        <w:t xml:space="preserve">. </w:t>
      </w:r>
      <w:r>
        <w:rPr>
          <w:rtl w:val="true"/>
        </w:rPr>
        <w:t>ولادته ونشأته</w:t>
      </w:r>
      <w:r>
        <w:rPr>
          <w:rtl w:val="true"/>
        </w:rPr>
        <w:t>..</w:t>
      </w:r>
      <w:bookmarkEnd w:id="63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ﻫ الموافق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في النّجف الأشرف، ونشأ في هذا البيت التليد ومنذ صباه أشرفت على تربيته السَّيّدة الجليلة والدته، يقول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حريصة على تربيتي وأخي الذي يكبرني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لها يومئذ سوانا، فكان أكبر همّها تعليمنا، فلم يبلغ أحدنا الخمس إلّا وكان عند معلمة القرآن على ما كان الجاري آنذاك</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2992098_2870459653"/>
      <w:bookmarkStart w:id="635" w:name="_Toc245"/>
      <w:bookmarkEnd w:id="634"/>
      <w:r>
        <w:rPr/>
        <w:t>3</w:t>
      </w:r>
      <w:r>
        <w:rPr>
          <w:rtl w:val="true"/>
        </w:rPr>
        <w:t xml:space="preserve">. </w:t>
      </w:r>
      <w:r>
        <w:rPr>
          <w:rtl w:val="true"/>
        </w:rPr>
        <w:t>دراسته وحياته العلميَّة</w:t>
      </w:r>
      <w:r>
        <w:rPr>
          <w:rtl w:val="true"/>
        </w:rPr>
        <w:t>..</w:t>
      </w:r>
      <w:bookmarkEnd w:id="6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تتوفّر عندنا إحصائية بأساتذته في مرحلتي المقدّمات والسّطوح، ولكن ذكر الشّيخ محمَّد حرز الدّين أنّه هاجر إلى سامراء وأقام فيها سنين ثم رجع إلى النّجف</w:t>
      </w:r>
      <w:r>
        <w:rPr>
          <w:rStyle w:val="FootnoteAnchor"/>
          <w:rtl w:val="true"/>
        </w:rPr>
        <w:footnoteReference w:id="6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نذكر بعضهم نقلاً عن معاصره وزميله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فقد حضر في مرحلة السّطح عند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ابن السَّيّد محمود الأمين الشّقراوي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السَّيّد محسن الأمين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النّجم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البحث الخارج فقد حضر عند كلٍّ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طه نجف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آغا رضا الهمداني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في سامراء صبيحة يوم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ﻫ، والمدفون برواق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كاظم الهروي الخراساني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كاظم الطّباطبائي اليزدي صاحب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 المترجَم به حتّى صار أحد أوصيائه وخلفه في مقام المرجعية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فتح الله ابن الحاج ميرزا جواد النّمازي الشّيرازي،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 الأصفهاني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636" w:name="pg9131_76103"/>
    </w:p>
    <w:p>
      <w:pPr>
        <w:pStyle w:val="BookText"/>
        <w:rPr/>
      </w:pPr>
      <w:bookmarkEnd w:id="63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جواد بن علي بن قاسم بن محمَّد بن أحمد آل محيي الدّين الحارثي، الهمداني، العاملي،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7" w:name="__RefHeading___Toc2992100_2870459653"/>
      <w:bookmarkStart w:id="638" w:name="_Toc246"/>
      <w:bookmarkEnd w:id="637"/>
      <w:r>
        <w:rPr/>
        <w:t>4</w:t>
      </w:r>
      <w:r>
        <w:rPr>
          <w:rtl w:val="true"/>
        </w:rPr>
        <w:t xml:space="preserve">. </w:t>
      </w:r>
      <w:r>
        <w:rPr>
          <w:rtl w:val="true"/>
        </w:rPr>
        <w:t>مكانته العلميَّة</w:t>
      </w:r>
      <w:r>
        <w:rPr>
          <w:rtl w:val="true"/>
        </w:rPr>
        <w:t>..</w:t>
      </w:r>
      <w:bookmarkEnd w:id="638"/>
    </w:p>
    <w:p>
      <w:pPr>
        <w:pStyle w:val="BookText"/>
        <w:rPr/>
      </w:pPr>
      <w:r>
        <w:rPr>
          <w:rFonts w:ascii="IRNazanin" w:hAnsi="IRNazanin" w:eastAsia="IRNazanin"/>
          <w:color w:val="111111"/>
          <w:sz w:val="28"/>
          <w:sz w:val="28"/>
          <w:szCs w:val="28"/>
          <w:rtl w:val="true"/>
          <w:lang w:bidi="fa-IR"/>
        </w:rPr>
        <w:t xml:space="preserve">لا خلاف في علوّ المقام العلمي للمترجَم له في الجو العامّ للحوزة العلميّة في النّجف الأشرف، وقد أشاد بعلميّته أستاذه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عن الاستفتاءات التي ترد على السَّيّد، بل كان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جميع المرافعات إليه وإلى أخيه الشّيخ محمَّد الحسين، يقول الشّيخ محمَّد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السَّيّد الأستاذ قد انحصرت الزّعامة الرّوحانية والمرجعية العظمى في ذلك العصر بشخصه الكريم، وله الحكم النّافذ، يُرجِع لأخي المرحوم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جميع المرافعات ويمضي حكمنا</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في موسوعة طبقات الفقهاء أنّ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يشيد بالشّيخ أحمد ويرشد النّاس إليه في أخذ الفتاوى والأحكام الشّرعية منه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ويحدِّثنا الشّيخ آغا بزرگ الطهراني عن حضور شيخنا المترجَم له على الشّيخ آغا رضا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 أحضر بحثه أيّام اشتغاله بأبواب الزكاة، وأن يكتب مقدار صفحة في كل ليلة ويمليها على تلامذته في مجلس البحث، وأكثرهم الفضلاء،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أحمد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ينتقدونه إلى أن يجتمع رأيهم على شيء فكان يغيّره تارة ولا يغيّره أخرى، لتماميته بنظره الشّريف وعدم ورود اعتراضاتهم </w:t>
      </w:r>
      <w:bookmarkStart w:id="639" w:name="pg9131_76104"/>
    </w:p>
    <w:p>
      <w:pPr>
        <w:pStyle w:val="BookText"/>
        <w:rPr/>
      </w:pPr>
      <w:bookmarkEnd w:id="639"/>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أحمد كاشف الغطاء كان عالماً يذعن باجتهاده فحول المجتهدين بشهادة الأعلام من معاصريه، كما سيأتي نقله عن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2992102_2870459653"/>
      <w:bookmarkStart w:id="641" w:name="_Toc247"/>
      <w:bookmarkEnd w:id="640"/>
      <w:r>
        <w:rPr/>
        <w:t>5</w:t>
      </w:r>
      <w:r>
        <w:rPr>
          <w:rtl w:val="true"/>
        </w:rPr>
        <w:t xml:space="preserve">. </w:t>
      </w:r>
      <w:r>
        <w:rPr>
          <w:rtl w:val="true"/>
        </w:rPr>
        <w:t>مرجعيته</w:t>
      </w:r>
      <w:r>
        <w:rPr>
          <w:rtl w:val="true"/>
        </w:rPr>
        <w:t>..</w:t>
      </w:r>
      <w:bookmarkEnd w:id="641"/>
    </w:p>
    <w:p>
      <w:pPr>
        <w:pStyle w:val="BookText"/>
        <w:rPr/>
      </w:pPr>
      <w:r>
        <w:rPr>
          <w:rFonts w:ascii="IRNazanin" w:hAnsi="IRNazanin" w:eastAsia="IRNazanin"/>
          <w:color w:val="111111"/>
          <w:sz w:val="28"/>
          <w:sz w:val="28"/>
          <w:szCs w:val="28"/>
          <w:rtl w:val="true"/>
          <w:lang w:bidi="fa-IR"/>
        </w:rPr>
        <w:t xml:space="preserve">تصدى المترجَم له للمرجعية بعد وفاة أستاذه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استقل المترجَم بالبحث والتّدريس وعلا شأنه وتصدى للمرجعية بعد وفاة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إليه في التّقليد طائفة من العراقيين والإيرانيين والأفغان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2992104_2870459653"/>
      <w:bookmarkStart w:id="643" w:name="_Toc248"/>
      <w:bookmarkEnd w:id="642"/>
      <w:r>
        <w:rPr/>
        <w:t>6</w:t>
      </w:r>
      <w:r>
        <w:rPr>
          <w:rtl w:val="true"/>
        </w:rPr>
        <w:t xml:space="preserve">. </w:t>
      </w:r>
      <w:r>
        <w:rPr>
          <w:rtl w:val="true"/>
        </w:rPr>
        <w:t>عصره</w:t>
      </w:r>
      <w:r>
        <w:rPr>
          <w:rtl w:val="true"/>
        </w:rPr>
        <w:t>..</w:t>
      </w:r>
      <w:bookmarkEnd w:id="643"/>
    </w:p>
    <w:p>
      <w:pPr>
        <w:pStyle w:val="BookText"/>
        <w:rPr/>
      </w:pPr>
      <w:r>
        <w:rPr>
          <w:rFonts w:ascii="Amiri" w:hAnsi="Amiri" w:eastAsia="Amiri" w:cs="Amiri"/>
          <w:color w:val="111111"/>
          <w:sz w:val="28"/>
          <w:sz w:val="28"/>
          <w:szCs w:val="28"/>
          <w:rtl w:val="true"/>
          <w:lang w:bidi="ar-SA"/>
        </w:rPr>
        <w:t>نذكر لمحة بسيطة عن عصر المترجَم له السّياسي، والعلمي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عصره السّياسي فقد عاصر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أحداثاً مفصليّة في التاريخ أوَّلها كان فتنة المشروطة والمستبدة في إيران</w:t>
      </w:r>
      <w:r>
        <w:rPr>
          <w:rStyle w:val="FootnoteAnchor"/>
          <w:rtl w:val="true"/>
        </w:rPr>
        <w:footnoteReference w:id="681"/>
      </w:r>
      <w:r>
        <w:rPr>
          <w:rFonts w:ascii="Amiri" w:hAnsi="Amiri" w:eastAsia="Amiri" w:cs="Amiri"/>
          <w:color w:val="111111"/>
          <w:sz w:val="28"/>
          <w:sz w:val="28"/>
          <w:szCs w:val="28"/>
          <w:rtl w:val="true"/>
          <w:lang w:bidi="ar-SA"/>
        </w:rPr>
        <w:t>، ووصول جمعية الاتّحاد والتّرقي إلى الحكم في الدّولة العثمانية وإعلانهم للدستور الجديد</w:t>
      </w:r>
      <w:r>
        <w:rPr>
          <w:rStyle w:val="FootnoteAnchor"/>
          <w:rtl w:val="true"/>
        </w:rPr>
        <w:footnoteReference w:id="682"/>
      </w:r>
      <w:r>
        <w:rPr>
          <w:rFonts w:ascii="Amiri" w:hAnsi="Amiri" w:eastAsia="Amiri" w:cs="Amiri"/>
          <w:color w:val="111111"/>
          <w:sz w:val="28"/>
          <w:sz w:val="28"/>
          <w:szCs w:val="28"/>
          <w:rtl w:val="true"/>
          <w:lang w:bidi="ar-SA"/>
        </w:rPr>
        <w:t xml:space="preserve">، ثُمَّ قيام الحرب العالمية الأولى واحتلال </w:t>
      </w:r>
    </w:p>
    <w:p>
      <w:pPr>
        <w:pStyle w:val="BookText"/>
        <w:rPr/>
      </w:pPr>
      <w:r>
        <w:rPr>
          <w:rFonts w:ascii="IRNazanin" w:hAnsi="IRNazanin" w:eastAsia="IRNazanin"/>
          <w:color w:val="111111"/>
          <w:sz w:val="28"/>
          <w:sz w:val="28"/>
          <w:szCs w:val="28"/>
          <w:rtl w:val="true"/>
          <w:lang w:bidi="fa-IR"/>
        </w:rPr>
        <w:t xml:space="preserve">العراق من قبل بريطانيا بعد مقاومة شديدة من عشائر الوسط والجنوب إثر فتوى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بالجهاد حتى أنّ السَّيّد أرسل أولاده إلى البصرة للمشاركة في الجهاد، وبقي الشّيخ أحمد إلى جانب السَّيّد في النّجف ليساعده على إدارة الأمور، ثُمَّ بعد تخاذل الجيش العثماني واحتلال العراق آثر السَّيّد عدم التّدخل في الشّؤون السّياسية؛ لعدم ثقته بنتائجها، ثُمَّ في عام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ثورة النّجف وقتل الحاكم البريطاني مارشال، ثُمَّ بعد وفاة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أواخر رجب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المصادف نيسان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الثّورة العراقية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العشرين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بفتوى الميرزا محمَّد تقي الشّيرازي، والظّاهر أنَّ الشّيخ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يتدخل في تلك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عصره العلمي فكانت حوزة النّجف الأشرف في عنفوان ازدهارها العلمي حيث كان علم الأصول في قمة تطوّره بعد القفزة الهائلة التي أحدثها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ومن بعده تلامذته وتلامذتهم حيث كان هناك السَّيّد المجدّد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الفشاركي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هادي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وفي الفقه كان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والميرزا حسين الخليلي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وآقا رضا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وشيخ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وفي الحديث والرّجال كان الميرزا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الأخلاق الملا حسين قلي الهمداني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طبقة أساتذته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طبقة زملائه كان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الفيرزآبادي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علي حفيد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bookmarkStart w:id="644" w:name="pg9131_76106"/>
    </w:p>
    <w:p>
      <w:pPr>
        <w:pStyle w:val="Heading6"/>
        <w:numPr>
          <w:ilvl w:val="5"/>
          <w:numId w:val="1"/>
        </w:numPr>
        <w:rPr/>
      </w:pPr>
      <w:bookmarkStart w:id="645" w:name="__RefHeading___Toc2992106_2870459653"/>
      <w:bookmarkStart w:id="646" w:name="_Toc249"/>
      <w:bookmarkEnd w:id="644"/>
      <w:bookmarkEnd w:id="645"/>
      <w:r>
        <w:rPr/>
        <w:t>7</w:t>
      </w:r>
      <w:r>
        <w:rPr>
          <w:rtl w:val="true"/>
        </w:rPr>
        <w:t xml:space="preserve">. </w:t>
      </w:r>
      <w:r>
        <w:rPr>
          <w:rtl w:val="true"/>
        </w:rPr>
        <w:t>أقوال العلماء فيه</w:t>
      </w:r>
      <w:r>
        <w:rPr>
          <w:rtl w:val="true"/>
        </w:rPr>
        <w:t>..</w:t>
      </w:r>
      <w:bookmarkEnd w:id="646"/>
    </w:p>
    <w:p>
      <w:pPr>
        <w:pStyle w:val="BookText"/>
        <w:rPr/>
      </w:pPr>
      <w:r>
        <w:rPr>
          <w:rFonts w:ascii="Amiri" w:hAnsi="Amiri" w:eastAsia="Amiri" w:cs="Amiri"/>
          <w:color w:val="111111"/>
          <w:sz w:val="28"/>
          <w:sz w:val="28"/>
          <w:szCs w:val="28"/>
          <w:rtl w:val="true"/>
          <w:lang w:bidi="ar-SA"/>
        </w:rPr>
        <w:t xml:space="preserve">قال معاصره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مجتهداً مسلَّماً، صدّق اجتهاده جملة من فحول المجتهدين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معاصره الآخر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محقِّقاً مدققاً فقيهاً، وكان كثير الجد والاجتهاد في طلب العلم ولم يزل مثابراً على ذلك كلّ أيام حياته، وتلمّذ كثيراً على الفقيه السَّيّد كاظم اليزدي واختصّ به في آخر الأمر وجعله السَّيّد أحد أوصيائه وصارت له رياسة بعد أستاذه المذكور وقلّده جماعة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مهدي الموسوي الأصفهاني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فاضلاً، وفقيهاً كاملاً، ومجتهداً عادلاً، فهو كعبة العلوم التي تُشدُّ إليها الرحال، وبيت شرف المنطوق والمفهوم الذي يطوف به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عمدة اشتغاله على الفقيه المحقّق الآقا رضا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حضر على شيخنا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ظهرت فتنة المشروطة فانقطع في الحضور، وتخلّص في ملازمة سيّدنا العلّامة الطباطبائي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تخرّج، وكان أحد أوصيائه على ماله، وكان سيّدنا المشار إليه يأمر الناس بالرجوع إليه ويرشدهم في أخذ الفتاوى والأحكام عنه، وكان يمضي في حياته أحكامه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جليلة ومصنفات جميلة في الفقه والأصول تشهد بعلو مقامه ووفور فضله وعلمه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647" w:name="pg9131_76107"/>
    </w:p>
    <w:p>
      <w:pPr>
        <w:pStyle w:val="BookText"/>
        <w:rPr/>
      </w:pPr>
      <w:bookmarkEnd w:id="647"/>
      <w:r>
        <w:rPr>
          <w:rFonts w:ascii="Amiri" w:hAnsi="Amiri" w:eastAsia="Amiri" w:cs="Amiri"/>
          <w:color w:val="111111"/>
          <w:sz w:val="28"/>
          <w:sz w:val="28"/>
          <w:szCs w:val="28"/>
          <w:rtl w:val="true"/>
          <w:lang w:bidi="ar-SA"/>
        </w:rPr>
        <w:t>وقال في فهرس التّراث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فقيه ومجتهد كبير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2992108_2870459653"/>
      <w:bookmarkStart w:id="649" w:name="_Toc250"/>
      <w:bookmarkEnd w:id="648"/>
      <w:r>
        <w:rPr/>
        <w:t>8</w:t>
      </w:r>
      <w:r>
        <w:rPr>
          <w:rtl w:val="true"/>
        </w:rPr>
        <w:t xml:space="preserve">. </w:t>
      </w:r>
      <w:r>
        <w:rPr>
          <w:rtl w:val="true"/>
        </w:rPr>
        <w:t xml:space="preserve">علاقته بالسَّيّد اليزدي </w:t>
      </w:r>
      <w:r>
        <w:rPr>
          <w:rtl w:val="true"/>
        </w:rPr>
        <w:t>(</w:t>
      </w:r>
      <w:r>
        <w:rPr>
          <w:rtl w:val="true"/>
        </w:rPr>
        <w:t>رضوان الله تعالی علیه</w:t>
      </w:r>
      <w:r>
        <w:rPr>
          <w:rtl w:val="true"/>
        </w:rPr>
        <w:t>)..</w:t>
      </w:r>
      <w:bookmarkEnd w:id="649"/>
    </w:p>
    <w:p>
      <w:pPr>
        <w:pStyle w:val="BookText"/>
        <w:rPr/>
      </w:pPr>
      <w:r>
        <w:rPr>
          <w:rFonts w:ascii="Amiri" w:hAnsi="Amiri" w:eastAsia="Amiri" w:cs="Amiri"/>
          <w:color w:val="111111"/>
          <w:sz w:val="28"/>
          <w:sz w:val="28"/>
          <w:szCs w:val="28"/>
          <w:rtl w:val="true"/>
          <w:lang w:bidi="ar-SA"/>
        </w:rPr>
        <w:t>يظهر عمق علاقة المترجَم له بأستاذه السَّيّد اليزدي والارتباط الوثيق بينهما في فتنة المشروطة والمستبدة حيث كان مناصره وعضده والممثّل الرسمي له مع السّلطات الحاكمة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الفتنة انقسم المجتمع العامّ والعلمي في العراق وإيران إلى قسمين كل قسم يناصر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 وقفوا في جانب المشروطة، بل كانوا منظّرين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فقد اتّهم بأنّه يدعم المستبدة، ولكن مناصروه وأتباعه يقولون إنّ موقفه كان حياديّاً ولكن الطّرف الآخر فسّره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المستبدة، قال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السَّيّد كاظم فكان حياديّاً، ولكنّهم أصرّوا على أن يوافق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وأصرّ على الامتناع؛ بدعوى أنّه أمر مجهول العاقبة، ولا يسوغ لي الموافقة على أمر مجهول بل ربَّما كان يبوح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لا يترتب عليه الضّرر والفساد ولكنّي لا أمنع ولا أوافق</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هذا الموقف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للتهديد والسّبّ حتى شهر قائمقام النّجف آنذاك المسدّس في وجه السَّيّد</w:t>
      </w:r>
      <w:r>
        <w:rPr>
          <w:rStyle w:val="FootnoteAnchor"/>
          <w:rtl w:val="true"/>
        </w:rPr>
        <w:footnoteReference w:id="688"/>
      </w:r>
      <w:r>
        <w:rPr>
          <w:rFonts w:ascii="Amiri" w:hAnsi="Amiri" w:eastAsia="Amiri" w:cs="Amiri"/>
          <w:color w:val="111111"/>
          <w:sz w:val="28"/>
          <w:sz w:val="28"/>
          <w:szCs w:val="28"/>
          <w:rtl w:val="true"/>
          <w:lang w:bidi="ar-SA"/>
        </w:rPr>
        <w:t xml:space="preserve">، ويذكر الشّيخ محمَّد الحسين أنّه في هذه المرحلة </w:t>
      </w:r>
      <w:bookmarkStart w:id="650" w:name="pg9131_76108"/>
    </w:p>
    <w:p>
      <w:pPr>
        <w:pStyle w:val="BookText"/>
        <w:rPr/>
      </w:pPr>
      <w:bookmarkEnd w:id="650"/>
      <w:r>
        <w:rPr>
          <w:rFonts w:ascii="Amiri" w:hAnsi="Amiri" w:eastAsia="Amiri" w:cs="Amiri"/>
          <w:color w:val="111111"/>
          <w:sz w:val="28"/>
          <w:sz w:val="28"/>
          <w:szCs w:val="28"/>
          <w:rtl w:val="true"/>
          <w:lang w:bidi="ar-SA"/>
        </w:rPr>
        <w:t xml:space="preserve">لم يبقَ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إلّا هو وأخوه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سافرا إلى بغداد والتقيا بواليها هناك وأقنعاه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إظهاره للشدّة والتهديد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والأخوين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يخرجون عن أحكام الدولة وقوانينها، وليس لهم الضغط على حريتهم بأن يدخلوا فيما لا يعرفون عاقبته، فقنع الوالي بذلك</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2992110_2870459653"/>
      <w:bookmarkStart w:id="652" w:name="_Toc251"/>
      <w:bookmarkEnd w:id="651"/>
      <w:r>
        <w:rPr/>
        <w:t>9</w:t>
      </w:r>
      <w:r>
        <w:rPr>
          <w:rtl w:val="true"/>
        </w:rPr>
        <w:t xml:space="preserve">. </w:t>
      </w:r>
      <w:r>
        <w:rPr>
          <w:rtl w:val="true"/>
        </w:rPr>
        <w:t xml:space="preserve">الشّيخ أحمد </w:t>
      </w:r>
      <w:r>
        <w:rPr>
          <w:rtl w:val="true"/>
        </w:rPr>
        <w:t>(</w:t>
      </w:r>
      <w:r>
        <w:rPr>
          <w:rtl w:val="true"/>
        </w:rPr>
        <w:t>رضوان الله تعالی علیه</w:t>
      </w:r>
      <w:r>
        <w:rPr>
          <w:rtl w:val="true"/>
        </w:rPr>
        <w:t xml:space="preserve">) </w:t>
      </w:r>
      <w:r>
        <w:rPr>
          <w:rtl w:val="true"/>
        </w:rPr>
        <w:t>ومتن العروة الوثقى</w:t>
      </w:r>
      <w:r>
        <w:rPr>
          <w:rtl w:val="true"/>
        </w:rPr>
        <w:t>..</w:t>
      </w:r>
      <w:bookmarkEnd w:id="652"/>
    </w:p>
    <w:p>
      <w:pPr>
        <w:pStyle w:val="BookText"/>
        <w:rPr/>
      </w:pPr>
      <w:r>
        <w:rPr>
          <w:rFonts w:ascii="Amiri" w:hAnsi="Amiri" w:eastAsia="Amiri" w:cs="Amiri"/>
          <w:color w:val="111111"/>
          <w:sz w:val="28"/>
          <w:sz w:val="28"/>
          <w:szCs w:val="28"/>
          <w:rtl w:val="true"/>
          <w:lang w:bidi="ar-SA"/>
        </w:rPr>
        <w:t xml:space="preserve">لا شكّ ولا ريب أنَّ متن العروة الوثقى في العصر الأخير هو المتن الفقهي الأوَّل من غير منازع، وقد امتاز هذا السِفر الجليل بسبك العبارة وروعة البيان وسلاسة الألفاظ، وقد اعتنى فقهاء الطائفة منذ صدوره وإلى الآن به، ومن ثَمَّ لا نجد فقيهاً إلّا وعلّق عليه أو شرحه، وهو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مفاخر الفقه الجعفري وآياته الزّاهرة في العصور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علاقة الشّيخ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بالعروة فهي قد بدأت من أوَّل سطر فيه، حيث كان يعرض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وعلى أخيه ما كان يكتبه ويطلب منهما إصلاح ما وقع فيه من خلل أدبي أو علمي</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يحدِّثنا الشّيخ محمَّد الحسين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فيه في السّنة الثّانية والعشرين بعد الألف والثلاثمائة، وكان كل يومين أو ثلاثة ينتهز من وقته المستغرق بأشغال المرجعية العظمى فرصة يحرّر فيها من هذا الكتاب الورقتين والثّلاث بخطه الدّقيق يدفعها لي ولأخي آية الله الشّيخ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إصلاح عبارته من حيث العربية، ورفع الرّكاكة أو التّعقيد، والنّظر في أدلّة </w:t>
      </w:r>
      <w:bookmarkStart w:id="653" w:name="pg9131_76109"/>
    </w:p>
    <w:p>
      <w:pPr>
        <w:pStyle w:val="BookText"/>
        <w:rPr/>
      </w:pPr>
      <w:bookmarkEnd w:id="653"/>
      <w:r>
        <w:rPr>
          <w:rFonts w:ascii="IRNazanin" w:hAnsi="IRNazanin" w:eastAsia="IRNazanin"/>
          <w:color w:val="111111"/>
          <w:sz w:val="28"/>
          <w:sz w:val="28"/>
          <w:szCs w:val="28"/>
          <w:rtl w:val="true"/>
          <w:lang w:bidi="fa-IR"/>
        </w:rPr>
        <w:t xml:space="preserve">الفروع ومطابقة الفتوى للدليل؛ حذراً من أنّ مشغوليته العظمى أدخلت سهواً عليه في ذلك أو غفلة، ولا يعتمد على غيرنا في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مهمّاته وشؤونه من إرجاع المرافعات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وكنّا نستفرغ الوسع ونسهر الليالي في إصلاح العبارات وجعلها بغاية الوضوح والسّلامة بحيث يفهمها حتى العاميّ والأميّ، كما ننظر أيضاً في المدارك والأدلّة ونتذاكر في كلِّ فرعٍ فرع مع أفاضل ذلك العصر في دارنا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مجتمع الأعلام والأعاظم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يومي الخميس والجمعة ومنهم الآيتان الحجّتان المرحوم ميرزا محمَّد حسين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يصير من المراجع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المحقّق وحيد عصره الأستاذ الشّيخ حسن الكربلائي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وبعد استفراغ الوسع وسدّ الفراغ نعود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أصلحنا ونتذاكر معه في مجلس خاصّ، فربّما رجع إلى رأينا في الفتوى وربّما أصرّ واستمر على رأيه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أنّ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المترجَم له مع الشّيخ الآغا الميرزا رضي بن محمَّد حسن بن عبد الكريم الزنوزي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بتجديد النّظر في العروة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2992112_2870459653"/>
      <w:bookmarkStart w:id="655" w:name="_Toc252"/>
      <w:bookmarkEnd w:id="654"/>
      <w:r>
        <w:rPr/>
        <w:t>10</w:t>
      </w:r>
      <w:r>
        <w:rPr>
          <w:rtl w:val="true"/>
        </w:rPr>
        <w:t xml:space="preserve">. </w:t>
      </w:r>
      <w:r>
        <w:rPr>
          <w:rtl w:val="true"/>
        </w:rPr>
        <w:t xml:space="preserve">الشّيخ أحمد </w:t>
      </w:r>
      <w:r>
        <w:rPr>
          <w:rtl w:val="true"/>
        </w:rPr>
        <w:t>(</w:t>
      </w:r>
      <w:r>
        <w:rPr>
          <w:rtl w:val="true"/>
        </w:rPr>
        <w:t>رضوان الله تعالی علیه</w:t>
      </w:r>
      <w:r>
        <w:rPr>
          <w:rtl w:val="true"/>
        </w:rPr>
        <w:t xml:space="preserve">) </w:t>
      </w:r>
      <w:r>
        <w:rPr>
          <w:rtl w:val="true"/>
        </w:rPr>
        <w:t>وفاجعة البقيع</w:t>
      </w:r>
      <w:r>
        <w:rPr>
          <w:rtl w:val="true"/>
        </w:rPr>
        <w:t>..</w:t>
      </w:r>
      <w:bookmarkEnd w:id="65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استيلاء الوهابية على أرض الحرمين واحتلالهم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ﻫ الموافق الخامس من كانون الأوَّل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w:t>
      </w:r>
      <w:bookmarkStart w:id="656" w:name="pg9131_76110"/>
    </w:p>
    <w:p>
      <w:pPr>
        <w:pStyle w:val="BookText"/>
        <w:rPr/>
      </w:pPr>
      <w:bookmarkEnd w:id="656"/>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ﻫ الموافق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أوَّل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زمر الوهابية بهدم قبور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قبور الصّحابة وزوجات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من شوال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ﻫ، وبوقوع هذه الفاجعة توالت البرقيات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إلى عاصمة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ككربلاء والكاظمية وبغداد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للاستغاثة والعون والوقوف بوجه تمادي هذه الطغمة، وبدورهم قام مراجع وعلماء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باستنهاض المسلمين للوقوف بوجه هذه الزمر وتماديها في هتك مقدساتهم، ومن العلماء الذين تصدوا لذلك المترجَم له حيث بعث ببرقيات إلى مختلف الشّخصيات المؤثرة آنذاك من ملوك وعلماء وشخصيات إسلامية لاستنهاضهم للوقوف بوجه هذه الفئة والدّفاع عن المقدسات، وقد وجد المترجَم له تجاوباً معه في هذا المنحى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قامت الحكومات آنذاك بالتّنديد بما تفعله زمرة الوهابية بمقدسات ومشاعر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بعث رسائل أخرى يشكرهم على ما أبدوه من الوقوف ضد الهجمة الوهابية على الحرمين الشّريفين ومساندتهم له وأنّه ينتظر البشارة بقمع هذه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مصر، مفتي الديار المصرية، شيخ الجامع الأزهر وعلماؤه، ملك أفغانستان، ملك الحجاز، رئيس المجلس النيابي في بغداد، جمعية الخلافة الإسلامية العظمى في بومباي</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2992114_2870459653"/>
      <w:bookmarkStart w:id="658" w:name="_Toc253"/>
      <w:bookmarkEnd w:id="657"/>
      <w:r>
        <w:rPr/>
        <w:t>11</w:t>
      </w:r>
      <w:r>
        <w:rPr>
          <w:rtl w:val="true"/>
        </w:rPr>
        <w:t xml:space="preserve">. </w:t>
      </w:r>
      <w:r>
        <w:rPr>
          <w:rtl w:val="true"/>
        </w:rPr>
        <w:t xml:space="preserve">وصيّة السَّيّد اليزدي </w:t>
      </w:r>
      <w:r>
        <w:rPr>
          <w:rtl w:val="true"/>
        </w:rPr>
        <w:t>(</w:t>
      </w:r>
      <w:r>
        <w:rPr>
          <w:rtl w:val="true"/>
        </w:rPr>
        <w:t>رضوان الله تعالی علیه</w:t>
      </w:r>
      <w:r>
        <w:rPr>
          <w:rtl w:val="true"/>
        </w:rPr>
        <w:t>)..</w:t>
      </w:r>
      <w:bookmarkEnd w:id="65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ورقتان، كتب الأخرى بعد ثلاثة أيام من الأولى، واحتوت الأولى معاملات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ووقف ووصيّة، وكان من ضمن الوصيّة أن تطبع تكملة العروة الوثقى، </w:t>
      </w:r>
    </w:p>
    <w:p>
      <w:pPr>
        <w:pStyle w:val="BookText"/>
        <w:rPr/>
      </w:pPr>
      <w:r>
        <w:rPr>
          <w:rFonts w:ascii="IRNazanin" w:hAnsi="IRNazanin" w:eastAsia="IRNazanin"/>
          <w:color w:val="111111"/>
          <w:sz w:val="28"/>
          <w:sz w:val="28"/>
          <w:szCs w:val="28"/>
          <w:rtl w:val="true"/>
          <w:lang w:bidi="fa-IR"/>
        </w:rPr>
        <w:t xml:space="preserve">وجاء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 الأوصياء عني على تنفيذ تلك الأمور وعلى إبراء ذمّتي وقضاء ديوني وأداء الحقوق التي عليّ واستيفاء الديون التي لي على النّاس بموجب السّندات التي باسمي وغيرها عن الحقوق الشّرعية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الشّيخ أحمد آل كاشف الغطاء، وأخاه الشّيخ محمَّد حسين، والحاج ميرزا محمَّد أغا الهندي التبريزي، والشّيخ علي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تأييدهم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وجعلت لهؤلاء الأوصياء النّظارة على تلك الأوقاف جميعاً وعلى المتولي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حصول الاختلاف فالعمل على رأي الشّيخ أحمد وأخيه الشّيخ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تأييدهما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جميع ما في الورقة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الأحقر محمَّد كاظم الطباطبائي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كليدار الرّوضة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السَّيّد محمَّد 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رؤوف شلاش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البهبهاني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وتصرفاتهم بعدي نافذة مقبولة في أموري على حسب ما ينظر في هذه الورقة وسابقتها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وكلّت الأوصياء المزبورين وكالة مطلقة وفوّضتهم على جميع ما يعود لي ولورثتي وما بيدي ممّا يرجع إلى أمور المسلمين من الولاية على الأوقاف وعلى الصغار وغير ذلك ممّا يرجع إلى حكّام الشرع الحنيف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حرّرت 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1337</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659" w:name="pg9131_76112"/>
    </w:p>
    <w:p>
      <w:pPr>
        <w:pStyle w:val="Heading6"/>
        <w:numPr>
          <w:ilvl w:val="5"/>
          <w:numId w:val="1"/>
        </w:numPr>
        <w:rPr/>
      </w:pPr>
      <w:bookmarkStart w:id="660" w:name="__RefHeading___Toc2992116_2870459653"/>
      <w:bookmarkStart w:id="661" w:name="_Toc254"/>
      <w:bookmarkEnd w:id="659"/>
      <w:bookmarkEnd w:id="660"/>
      <w:r>
        <w:rPr/>
        <w:t>12</w:t>
      </w:r>
      <w:r>
        <w:rPr>
          <w:rtl w:val="true"/>
        </w:rPr>
        <w:t xml:space="preserve">. </w:t>
      </w:r>
      <w:r>
        <w:rPr>
          <w:rtl w:val="true"/>
        </w:rPr>
        <w:t>آثاره ومؤلفاته</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الحديث في الوصايا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المطبعة العلوية بالنّجف الأشرف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قلائد الدّرر في مناسك من حج واعتمر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بعد وفاته في المطبعة العلميّة بالنّجف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 ومشكاة الهدى ومصباح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في جزئين، الجزء الأوَّل في العبادات، والثّاني في العقود والإيقاعات، طبع الجزء الأوَّل في النّجف على الحروف في المطبعة الحيدرية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ﻫ، وطبع الجزء الثّاني في المطبعة المسطورة في نفس السّنة، وقد ترجمها بعض طلاب مجلس درسه إلى الفارسية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 في ترجمة 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التّرجمة في بومباي على الحجر في جزأين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ﻫ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هذه الرّسالة مرة أخرى بعد وفاة المؤلف في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ﻫ بحواشي أخيه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قامت مكتبة الإمام الشّيخ محمَّد الحسين آل كاشف الغطاء العامّة بإعادة نشره مرّة ثالثة بأربع مجلدات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صدور هذه الرّسالة كتب الشّيخ مهدي الحجّار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الفضل الذي أخلصته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ليسعدني على حاجاتي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قد غرقت ببحر علمك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 سفينة لنجاتي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الحاشية على 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الشّيخ آغا بزرگ عند الشّيخ علي ابن الشّيخ محمَّد رضا ابن الشّيخ هادي آل كاشف الغطاء</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العروة الوثقى، أدرج أوائلها أخوه الشّيخ محمَّد الحسين آل كاشف الغطاء في حاشيته على العروة المطبوعة في النّجف الأشرف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ﻫ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عنها في خاتمة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تعاليقنا هذه عليه فقد كان الأخ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بخطه على هامش نسخته حواشٍ كثيرة من أوَّل الكتاب إلى أوائل الزكاة، ويظهر أنّها كانت بصورة مستعجلة لم يعد النّظر فيها، مع عظيم ما فيها من التّحقيقات المبتكرة التي لم يسبقهُ إليها سابق، وقد أدرجنا في حواشينا هذه منها ما يوافق رأينا مع بعض الإيضاح والإصلاح</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يعرف فقاهة الشّيخ أحمد فلينظر إلى سفينة النّجاة وتعليقته على العروة الوثقى</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المتّقين على ذخيرة الصّالحين، تعليقة على كتاب ذخيرة الصّالحين من فتاوى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دار السّلام في بغداد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المطالب لتحصيل المكاسب، وهي تعليقة على مكاسب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سمّاها بهذا الاسم الشّيخ شمس الدّين بن نجم الدّين الزّنجاني</w:t>
      </w:r>
      <w:r>
        <w:rPr>
          <w:rStyle w:val="FootnoteAnchor"/>
          <w:rtl w:val="true"/>
        </w:rPr>
        <w:footnoteReference w:id="702"/>
      </w:r>
      <w:r>
        <w:rPr>
          <w:rFonts w:ascii="Amiri" w:hAnsi="Amiri" w:eastAsia="Amiri" w:cs="Amiri"/>
          <w:color w:val="111111"/>
          <w:sz w:val="28"/>
          <w:sz w:val="28"/>
          <w:szCs w:val="28"/>
          <w:rtl w:val="true"/>
          <w:lang w:bidi="ar-SA"/>
        </w:rPr>
        <w:t>، طبع في طهران، مطبعة الحيدري</w:t>
      </w:r>
      <w:r>
        <w:rPr>
          <w:rFonts w:eastAsia="Amiri" w:cs="Amiri" w:ascii="Amiri" w:hAnsi="Amiri"/>
          <w:color w:val="111111"/>
          <w:sz w:val="28"/>
          <w:szCs w:val="28"/>
          <w:rtl w:val="true"/>
          <w:lang w:bidi="ar-SA"/>
        </w:rPr>
        <w:t xml:space="preserve">. </w:t>
      </w:r>
      <w:bookmarkStart w:id="662" w:name="pg9131_76114"/>
    </w:p>
    <w:p>
      <w:pPr>
        <w:pStyle w:val="Heading6"/>
        <w:numPr>
          <w:ilvl w:val="5"/>
          <w:numId w:val="1"/>
        </w:numPr>
        <w:rPr/>
      </w:pPr>
      <w:bookmarkStart w:id="663" w:name="__RefHeading___Toc2992118_2870459653"/>
      <w:bookmarkStart w:id="664" w:name="_Toc255"/>
      <w:bookmarkEnd w:id="662"/>
      <w:bookmarkEnd w:id="663"/>
      <w:r>
        <w:rPr/>
        <w:t>13</w:t>
      </w:r>
      <w:r>
        <w:rPr>
          <w:rtl w:val="true"/>
        </w:rPr>
        <w:t xml:space="preserve">. </w:t>
      </w:r>
      <w:r>
        <w:rPr>
          <w:rtl w:val="true"/>
        </w:rPr>
        <w:t>تلامذته</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إبراهيم ابن الشّيخ مهدي ابن الشّيخ محمَّد ابن الشّيخ حسين ابن الشّيخ محمَّد ابن الشّيخ أحمد أطيمش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حبيب بن محمَّد بن حسن بن إبراهيم المهاجر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بن محمود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شريف بن يوسف بن جواد بن إسماعيل بن محمَّد آل شرف الدّين الموسوي، العاملي الشّحوري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أخو العلّامة السَّيّد عبد الحسين شرف الدّين صاحب المراجعات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شهاب الدّين محمَّد حسين ابن السَّيّد محمود ابن شرف الدّين علي الحسيني المرعشي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صدر الدّين فضل الله ابن السَّيّد محمَّد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عيسى ابن السَّيّد حمد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قاسم ابن الشّيخ حسن محيي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كاتب بن راضي بن علي بن الحسين الأسدي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جواد ابن السَّيّد محسن الغريفي الشّهير بالصّائغ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الحسين بن مهدي المهدوي السّعيدي اللاهيجي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علي ابن السَّيّد محسن بن محمَّد بن علي بن إسماعيل الموسوي الغريفي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علي نعمة بن يحيى بن عطوي بن يحيى بن حسين بن علي بن عبد الله بن علي بن نعمة المشطوب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بن محمَّد حسن الدوزدوزاني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ابن السَّيد مهدي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7"/>
      </w:r>
      <w:bookmarkStart w:id="665" w:name="pg9131_76116"/>
    </w:p>
    <w:p>
      <w:pPr>
        <w:pStyle w:val="BookText"/>
        <w:rPr/>
      </w:pPr>
      <w:bookmarkEnd w:id="665"/>
      <w:r>
        <w:rPr>
          <w:rFonts w:ascii="Amiri" w:hAnsi="Amiri" w:eastAsia="Amiri" w:cs="Amiri"/>
          <w:color w:val="111111"/>
          <w:sz w:val="28"/>
          <w:sz w:val="28"/>
          <w:szCs w:val="28"/>
          <w:rtl w:val="true"/>
          <w:lang w:bidi="ar-SA"/>
        </w:rPr>
        <w:t>شقيق السَّيّد محسن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مهدي بن داود الحجّار ابن سلمان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مهدي بن صحن بن عبد علي بن زامل بن جنزيل السّاعدي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ابن السَّيّد علي ابن السَّيّد محمَّد ابن السَّيّد إسماعيل ابن السَّيّد محمَّد الغياث الغريفي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موسى بن عمران بن أحمد بن عبد الحسين آل دعيبل الخفاجي،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موسى بن محسن بن علي بن حسين بن محمَّد العصامي،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يعقوب علي السرخه ديزجي الزنجاني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2992120_2870459653"/>
      <w:bookmarkStart w:id="667" w:name="_Toc256"/>
      <w:bookmarkEnd w:id="666"/>
      <w:r>
        <w:rPr/>
        <w:t>14</w:t>
      </w:r>
      <w:r>
        <w:rPr>
          <w:rtl w:val="true"/>
        </w:rPr>
        <w:t xml:space="preserve">. </w:t>
      </w:r>
      <w:r>
        <w:rPr>
          <w:rtl w:val="true"/>
        </w:rPr>
        <w:t>إجازته في الرواية</w:t>
      </w:r>
      <w:r>
        <w:rPr>
          <w:rtl w:val="true"/>
        </w:rPr>
        <w:t>..</w:t>
      </w:r>
      <w:bookmarkEnd w:id="66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ولأخيه الشّيخ محمَّد الحسين إجازة رواية من الشّيخ الميرزا حسين بن خليل </w:t>
      </w:r>
      <w:bookmarkStart w:id="668" w:name="pg9131_76117"/>
    </w:p>
    <w:p>
      <w:pPr>
        <w:pStyle w:val="BookText"/>
        <w:rPr/>
      </w:pPr>
      <w:bookmarkEnd w:id="668"/>
      <w:r>
        <w:rPr>
          <w:rFonts w:ascii="Amiri" w:hAnsi="Amiri" w:eastAsia="Amiri" w:cs="Amiri"/>
          <w:color w:val="111111"/>
          <w:sz w:val="28"/>
          <w:sz w:val="28"/>
          <w:szCs w:val="28"/>
          <w:rtl w:val="true"/>
          <w:lang w:bidi="ar-SA"/>
        </w:rPr>
        <w:t>الرّازي</w:t>
      </w:r>
      <w:r>
        <w:rPr>
          <w:rStyle w:val="FootnoteAnchor"/>
          <w:rtl w:val="true"/>
        </w:rPr>
        <w:footnoteReference w:id="724"/>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فإنّ أولادي الأعزّة الكرام أحفاد الأساطين العظام أصحاب المراتب القدسيّة، وأرباب الملكات النّفسيّة، المجدّين في تحصيل العلوم الشّرعيّة، والحائزين حظاً وافراً من مراتبها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بهم الأخوين العالمين، الفاضلين، الأورعين، الكاملين، قرّتي عين العلم والكمال، وكوكبي سماء السّعد والإقبال، الفائتين مجداً، والفائقين جدّاً، التّقيين، النّقيين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والشّيخ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استجازوني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ووجدتهم أهلاً لذلك فأجزت لهم جميع مقروءاتي ومسموعاتي من الرّوايات وغيرها وجميع ما رويته بإسنادي المتّصل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 طرقي وأوثقها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هذه الإجازة العلّامة الطّهراني في الذّريعة وتاريخها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ﻫ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2992122_2870459653"/>
      <w:bookmarkStart w:id="670" w:name="_Toc257"/>
      <w:bookmarkEnd w:id="669"/>
      <w:r>
        <w:rPr/>
        <w:t>15</w:t>
      </w:r>
      <w:r>
        <w:rPr>
          <w:rtl w:val="true"/>
        </w:rPr>
        <w:t xml:space="preserve">. </w:t>
      </w:r>
      <w:r>
        <w:rPr>
          <w:rtl w:val="true"/>
        </w:rPr>
        <w:t>أولاده</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يعقب، له مخطوطات في مكتبة الإمام محمَّد الحسين آل كاشف الغطاء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عباس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الدّولة العراقيّة لدراسة التّاريخ في ألمانيا عام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بعد إكمال اللّغة حوّل دراسته إلى الاقتصاد ولم يكمل دراسته لظروف الحرب إذ رجع إلى بغداد بعد نشوب الحرب العالميّة الثّانية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ثمّ بعد ذلك أُرسل إلى سويسرا لإكمال دراسته في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گالن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اقتصاديّ معروف، أسّس فرع البنك اللّبناني المتّحد في بغداد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سجن لثلاث سنوات إبّان العهد الملكي لنشاطه السّياسي، وافاه الأجل في مصر ودفن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في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في أميركا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وللأستاذ عباس مكتبة نفيسة ورثها من أبيه، أهدتها ذريته إلى مكتبة الإمام كاشف الغطاء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خريج الجامعة الأميركية في بيروت قسم الهندسة المدنيّة 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حصل على الماجستير من جامعة </w:t>
      </w:r>
      <w:bookmarkStart w:id="671" w:name="pg9131_76119"/>
    </w:p>
    <w:p>
      <w:pPr>
        <w:pStyle w:val="BookText"/>
        <w:rPr/>
      </w:pPr>
      <w:bookmarkEnd w:id="671"/>
      <w:r>
        <w:rPr>
          <w:rFonts w:ascii="Amiri" w:hAnsi="Amiri" w:eastAsia="Amiri" w:cs="Amiri"/>
          <w:color w:val="111111"/>
          <w:sz w:val="28"/>
          <w:sz w:val="28"/>
          <w:szCs w:val="28"/>
          <w:rtl w:val="true"/>
          <w:lang w:bidi="ar-SA"/>
        </w:rPr>
        <w:t xml:space="preserve">كاليفورنيا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هندسة الرّي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وحصل على شهادة الدّكتوراه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الأميركية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يعتبر عالماً في اختصاصه، حاصل على وسام الإنقاذ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لمساهمته في إنقاذ بغداد من الغرق، له عدَّة مؤلّفات في اختصاصه، وهو أيضاً شاعر وكاتب في غير اختصاصه، وله مجموعة مخطوطة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تبرَّع ورثته بمكتبته العامرة إلى مكتبة الإمام كاشف الغطاء العامّة في النّجف الأشرف</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2992124_2870459653"/>
      <w:bookmarkStart w:id="673" w:name="_Toc258"/>
      <w:bookmarkEnd w:id="672"/>
      <w:r>
        <w:rPr/>
        <w:t>16</w:t>
      </w:r>
      <w:r>
        <w:rPr>
          <w:rtl w:val="true"/>
        </w:rPr>
        <w:t xml:space="preserve">. </w:t>
      </w:r>
      <w:r>
        <w:rPr>
          <w:rtl w:val="true"/>
        </w:rPr>
        <w:t>وفاته ومدفنه</w:t>
      </w:r>
      <w:r>
        <w:rPr>
          <w:rtl w:val="true"/>
        </w:rPr>
        <w:t>..</w:t>
      </w:r>
      <w:bookmarkEnd w:id="673"/>
    </w:p>
    <w:p>
      <w:pPr>
        <w:pStyle w:val="BookText"/>
        <w:rPr/>
      </w:pPr>
      <w:r>
        <w:rPr>
          <w:rFonts w:ascii="Amiri" w:hAnsi="Amiri" w:eastAsia="Amiri" w:cs="Amiri"/>
          <w:color w:val="111111"/>
          <w:sz w:val="28"/>
          <w:sz w:val="28"/>
          <w:szCs w:val="28"/>
          <w:rtl w:val="true"/>
          <w:lang w:bidi="ar-SA"/>
        </w:rPr>
        <w:t xml:space="preserve">عرض للشيخ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الأمعاء، ومع عدم وجود الطّبيب البارع للتشخيص والعلاج ساءت حالته حتى احتجب عن النّاس وانقطع عن الدّرس، وفي بدايات شهر ذي الحجّة سافر إلى بغداد للاستجمام والعلاج، ولكن حالته ساءت ولم يمهله الأجل فانتقل إلى الرّفيق الأعلى في اليوم العشرين من ذي الحجّة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ﻫ المصادف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تغسيله وتكفينه في كربلاء المقدَّسة، ثُمَّ توجَّه الموكب الجنائزي الكبير إلى النّجف الأشرف واستقبل من قبل العلماء والفضلاء وعامَّة النّاس استقبالاً مهيباً، وأقيمت الصّلاة عليه في الصّحن الشّريف بإمامة أخيه الشّيخ محمَّد الحسين، ثُمَّ وُرِّي الثّرى في مقبرة العائلة في محلَّة العمارة في النّجف الأشرف</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أقيمت على روحه الطاهرة مجالس الفاتحة في العراق، وعطّلت الحكومة </w:t>
      </w:r>
    </w:p>
    <w:p>
      <w:pPr>
        <w:pStyle w:val="BookText"/>
        <w:rPr/>
      </w:pPr>
      <w:r>
        <w:rPr>
          <w:rFonts w:ascii="Amiri" w:hAnsi="Amiri" w:eastAsia="Amiri" w:cs="Amiri"/>
          <w:color w:val="111111"/>
          <w:sz w:val="28"/>
          <w:sz w:val="28"/>
          <w:szCs w:val="28"/>
          <w:rtl w:val="true"/>
          <w:lang w:bidi="ar-SA"/>
        </w:rPr>
        <w:t xml:space="preserve">يومذاك الدّوام حداداً على الفقيد، وبُعثت إلى أخيه الشّيخ محمَّد الحسين رسائل التّعزية، ومن تلك الرّسائل رسالة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يَردُّ جحفل الغي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الفضا وازدلفت بنودهُ</w:t>
      </w:r>
    </w:p>
    <w:p>
      <w:pPr>
        <w:pStyle w:val="BookText"/>
        <w:rPr/>
      </w:pPr>
      <w:r>
        <w:rPr>
          <w:rFonts w:ascii="Amiri" w:hAnsi="Amiri" w:eastAsia="Amiri" w:cs="Amiri"/>
          <w:color w:val="111111"/>
          <w:sz w:val="28"/>
          <w:sz w:val="28"/>
          <w:szCs w:val="28"/>
          <w:rtl w:val="true"/>
          <w:lang w:bidi="ar-SA"/>
        </w:rPr>
        <w:t xml:space="preserve">ومَنْ يروي مجدب العامّ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 من ماء النّوال عودهُ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فليستحل نور الصّباح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توارى في الثرى عمودهُ</w:t>
      </w:r>
      <w:r>
        <w:rPr>
          <w:rStyle w:val="FootnoteAnchor"/>
          <w:rtl w:val="true"/>
        </w:rPr>
        <w:footnoteReference w:id="731"/>
      </w:r>
      <w:bookmarkStart w:id="674" w:name="pg9131_76121"/>
    </w:p>
    <w:p>
      <w:pPr>
        <w:pStyle w:val="Heading4"/>
        <w:numPr>
          <w:ilvl w:val="3"/>
          <w:numId w:val="1"/>
        </w:numPr>
        <w:rPr/>
      </w:pPr>
      <w:bookmarkStart w:id="675" w:name="__RefHeading___Toc2992126_2870459653"/>
      <w:bookmarkStart w:id="676" w:name="_Toc259"/>
      <w:bookmarkEnd w:id="674"/>
      <w:bookmarkEnd w:id="675"/>
      <w:r>
        <w:rPr>
          <w:rtl w:val="true"/>
        </w:rPr>
        <w:t>الباب الثاني</w:t>
      </w:r>
      <w:r>
        <w:rPr>
          <w:rtl w:val="true"/>
        </w:rPr>
        <w:t xml:space="preserve">: </w:t>
      </w:r>
      <w:r>
        <w:rPr>
          <w:rtl w:val="true"/>
        </w:rPr>
        <w:t>التعريف بالمسألتين</w:t>
      </w:r>
      <w:bookmarkEnd w:id="676"/>
    </w:p>
    <w:p>
      <w:pPr>
        <w:pStyle w:val="Heading5"/>
        <w:numPr>
          <w:ilvl w:val="4"/>
          <w:numId w:val="1"/>
        </w:numPr>
        <w:rPr/>
      </w:pPr>
      <w:bookmarkStart w:id="677" w:name="__RefHeading___Toc2992128_2870459653"/>
      <w:bookmarkStart w:id="678" w:name="_Toc260"/>
      <w:bookmarkEnd w:id="677"/>
      <w:r>
        <w:rPr/>
        <w:t>1</w:t>
      </w:r>
      <w:r>
        <w:rPr>
          <w:rtl w:val="true"/>
        </w:rPr>
        <w:t xml:space="preserve">. </w:t>
      </w:r>
      <w:r>
        <w:rPr>
          <w:rtl w:val="true"/>
        </w:rPr>
        <w:t>التعريف بمسألة الوصاية بالولاية</w:t>
      </w:r>
      <w:bookmarkEnd w:id="678"/>
    </w:p>
    <w:p>
      <w:pPr>
        <w:pStyle w:val="BookText"/>
        <w:rPr/>
      </w:pPr>
      <w:r>
        <w:rPr>
          <w:rFonts w:ascii="Amiri" w:hAnsi="Amiri" w:eastAsia="Amiri" w:cs="Amiri"/>
          <w:color w:val="111111"/>
          <w:sz w:val="28"/>
          <w:sz w:val="28"/>
          <w:szCs w:val="28"/>
          <w:rtl w:val="true"/>
          <w:lang w:bidi="ar-SA"/>
        </w:rPr>
        <w:t xml:space="preserve">تُعدُّ مسألة الوصاية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التسليط على طفل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الابتلائية في الجملة، ولذا لم تخلُ منها كتب الفقهاء الاستدلاليّة والفتوائيّة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يُفْرَد لها بابٌ مستقلٌ في كتب القدماء، وإنّما ذُكرت في ضمن مسائل الوصيّة لاسيّما عند ذكر شرائط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خصّها بعنوان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جعلها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 وتبعه جملةٌ ممّن تأخّر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ما كان، بالرغم من كون المسألة مذكورةً في بطون الكتب إلّا أنّه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يُتطرّق الى خصوص صورة الوصاية بالولاية على منْ يتجدّد من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المسألة التي عالجتها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لأجل ذلك استغرب السائل من جواب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يظهر من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التعرّض لها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يمكن عدّ هذه الرسالة أوّلُ رسالة مستقلة مفصّلة في الوصاية بالولاية على من يتجدّد من الأولاد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والرسالة عبارة عن سؤالٍ ورد إلى مرجع الطائفة آنذاك 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أهل الفضل في البحرين مُعقّباً على جواب استفتاءٍ سابق من بعض أهل بلده ورد </w:t>
      </w:r>
      <w:bookmarkStart w:id="679" w:name="pg9131_76122"/>
    </w:p>
    <w:p>
      <w:pPr>
        <w:pStyle w:val="BookText"/>
        <w:rPr/>
      </w:pPr>
      <w:bookmarkEnd w:id="679"/>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الوصاية بالولاية على مَنْ يتجدّد من الأولاد حيث كان الجواب هو الصحّة، فأراد السائل جواباً مفصّلاً عن مستند الحكم في المسألة، فكأنّه استغرب القول بالصحّة في الجواب السابق، وحيث إنّ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حواريّ السَّيّد والمختصّين به، العارفين بمبانيه، المعنيّين بأجوبة الاستفتاءات التي ترد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السائل بما أراده، فكانت كما هي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يُذكر لها عنوان فاُقترِح أنْ تكون بعنوان يناسب ومضمونها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شمول الوصاية بالولاية لمن يتجدد من الأولاد مع وجود قرينة على التعميم</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2992130_2870459653"/>
      <w:bookmarkStart w:id="681" w:name="_Toc261"/>
      <w:bookmarkEnd w:id="680"/>
      <w:r>
        <w:rPr/>
        <w:t>2</w:t>
      </w:r>
      <w:r>
        <w:rPr>
          <w:rtl w:val="true"/>
        </w:rPr>
        <w:t xml:space="preserve">. </w:t>
      </w:r>
      <w:r>
        <w:rPr>
          <w:rtl w:val="true"/>
        </w:rPr>
        <w:t>التعريف بمسألة الشهيد</w:t>
      </w:r>
      <w:bookmarkEnd w:id="681"/>
    </w:p>
    <w:p>
      <w:pPr>
        <w:pStyle w:val="BookText"/>
        <w:rPr/>
      </w:pPr>
      <w:r>
        <w:rPr>
          <w:rFonts w:ascii="Amiri" w:hAnsi="Amiri" w:eastAsia="Amiri" w:cs="Amiri"/>
          <w:color w:val="111111"/>
          <w:sz w:val="28"/>
          <w:sz w:val="28"/>
          <w:szCs w:val="28"/>
          <w:rtl w:val="true"/>
          <w:lang w:bidi="ar-SA"/>
        </w:rPr>
        <w:t xml:space="preserve">اتّفق المسلمون على أنّ للشهيد أحكاماً خاصّة، كما اتّفقت كلمة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حدود تلك الأحكام، إلَّا أنّه وقع الخلاف في تحديد مفهوم الشّهيد والعناصر المقوّمة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والمعروف بينهم أنّ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حدى بالسائل أن يستفهم، حيث إنّ ذلك ينافي ما هو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الشهيد من قتل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المقصود بالشهيد فيهما هو مَن تترتب عليه أحكامه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تكفّل الشيخ أحمد آل كاشف الغطاء برفع التنافي، ثمَّ أردف ذلك ببيان مبسوط تتبّع فيه الأقوال وسبر فيه الأخبار كما سيوافيك إن شاء الله تعالى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لم يُذكر لها عنوان فاُقترِح أنْ تكون بعنوان يناسب ومضمونها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الشهيد بين التعميم والتقييد</w:t>
      </w:r>
      <w:r>
        <w:rPr>
          <w:rFonts w:eastAsia="Amiri" w:cs="Amiri" w:ascii="Amiri" w:hAnsi="Amiri"/>
          <w:color w:val="111111"/>
          <w:sz w:val="28"/>
          <w:szCs w:val="28"/>
          <w:rtl w:val="true"/>
          <w:lang w:bidi="ar-SA"/>
        </w:rPr>
        <w:t xml:space="preserve">). </w:t>
      </w:r>
      <w:bookmarkStart w:id="682" w:name="pg9131_76123"/>
    </w:p>
    <w:p>
      <w:pPr>
        <w:pStyle w:val="Heading4"/>
        <w:numPr>
          <w:ilvl w:val="3"/>
          <w:numId w:val="1"/>
        </w:numPr>
        <w:rPr/>
      </w:pPr>
      <w:bookmarkStart w:id="683" w:name="__RefHeading___Toc2992132_2870459653"/>
      <w:bookmarkStart w:id="684" w:name="_Toc262"/>
      <w:bookmarkEnd w:id="682"/>
      <w:bookmarkEnd w:id="683"/>
      <w:r>
        <w:rPr>
          <w:rtl w:val="true"/>
        </w:rPr>
        <w:t>الباب الثالث</w:t>
      </w:r>
      <w:r>
        <w:rPr>
          <w:rtl w:val="true"/>
        </w:rPr>
        <w:t xml:space="preserve">: </w:t>
      </w:r>
      <w:r>
        <w:rPr>
          <w:rtl w:val="true"/>
        </w:rPr>
        <w:t>ما يتعلق بالتحقيق</w:t>
      </w:r>
      <w:bookmarkEnd w:id="684"/>
    </w:p>
    <w:p>
      <w:pPr>
        <w:pStyle w:val="Heading5"/>
        <w:numPr>
          <w:ilvl w:val="4"/>
          <w:numId w:val="1"/>
        </w:numPr>
        <w:rPr/>
      </w:pPr>
      <w:bookmarkStart w:id="685" w:name="__RefHeading___Toc2992134_2870459653"/>
      <w:bookmarkStart w:id="686" w:name="_Toc263"/>
      <w:bookmarkEnd w:id="685"/>
      <w:r>
        <w:rPr/>
        <w:t>1</w:t>
      </w:r>
      <w:r>
        <w:rPr>
          <w:rtl w:val="true"/>
        </w:rPr>
        <w:t xml:space="preserve">. </w:t>
      </w:r>
      <w:r>
        <w:rPr>
          <w:rtl w:val="true"/>
        </w:rPr>
        <w:t>النسخة المعتمدة في التحقيق</w:t>
      </w:r>
      <w:bookmarkEnd w:id="686"/>
    </w:p>
    <w:p>
      <w:pPr>
        <w:pStyle w:val="BookText"/>
        <w:rPr/>
      </w:pPr>
      <w:r>
        <w:rPr>
          <w:rFonts w:ascii="Amiri" w:hAnsi="Amiri" w:eastAsia="Amiri" w:cs="Amiri"/>
          <w:color w:val="111111"/>
          <w:sz w:val="28"/>
          <w:sz w:val="28"/>
          <w:szCs w:val="28"/>
          <w:rtl w:val="true"/>
          <w:lang w:bidi="ar-SA"/>
        </w:rPr>
        <w:t xml:space="preserve">اعتُمِد في تحقيق الرسالة على النسخة الفريدة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والموجودة في مكتبة الإمام محمّد حسين آل كاشف الغطاء العامّة في النجف الأشرف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وتقع الرسالة في ضمن كُرّاس أبعاد ورقه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Amiri" w:hAnsi="Amiri" w:eastAsia="Amiri" w:cs="Amiri"/>
          <w:color w:val="111111"/>
          <w:sz w:val="28"/>
          <w:sz w:val="28"/>
          <w:szCs w:val="28"/>
          <w:rtl w:val="true"/>
          <w:lang w:bidi="ar-SA"/>
        </w:rPr>
        <w:t xml:space="preserve">سم، وعدد أوراقه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على عدد من المسائل الفقهيّة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وأجوبة بعض الاستفتاءات التي ترد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كمسألة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وقت المغرب، ومسألة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كما أنّه يتضمّن جملةً من مختاراته الشعريّة وبعض الخواطر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جواب مسألة الوصاية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ممّا عدا السؤالين، وتبدأ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الكُرّاس، ويقع جواب مسألة الشّهيد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مع السؤالين وتبدأ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عدد الأسطر في المخطوط في الجملة؛ إذ إنّ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يكتب بحسب طول الورقة، وأُخرى بحسب عرضها على التعاقب، ويبلغ معدّل عدد الأسطر في الأوراق الطولية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يبلغ معدّل عدد الأسطر في الأوراق العرضية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الرسالة بخط واضح يميل إلى خط النّسخ</w:t>
      </w:r>
      <w:r>
        <w:rPr>
          <w:rFonts w:eastAsia="Amiri" w:cs="Amiri" w:ascii="Amiri" w:hAnsi="Amiri"/>
          <w:color w:val="111111"/>
          <w:sz w:val="28"/>
          <w:szCs w:val="28"/>
          <w:rtl w:val="true"/>
          <w:lang w:bidi="ar-SA"/>
        </w:rPr>
        <w:t xml:space="preserve">. </w:t>
      </w:r>
      <w:bookmarkStart w:id="687" w:name="pg9131_76124"/>
    </w:p>
    <w:p>
      <w:pPr>
        <w:pStyle w:val="Heading5"/>
        <w:numPr>
          <w:ilvl w:val="4"/>
          <w:numId w:val="1"/>
        </w:numPr>
        <w:rPr/>
      </w:pPr>
      <w:bookmarkStart w:id="688" w:name="__RefHeading___Toc2992136_2870459653"/>
      <w:bookmarkStart w:id="689" w:name="_Toc264"/>
      <w:bookmarkEnd w:id="687"/>
      <w:bookmarkEnd w:id="688"/>
      <w:r>
        <w:rPr/>
        <w:t>2</w:t>
      </w:r>
      <w:r>
        <w:rPr>
          <w:rtl w:val="true"/>
        </w:rPr>
        <w:t xml:space="preserve">. </w:t>
      </w:r>
      <w:r>
        <w:rPr>
          <w:rtl w:val="true"/>
        </w:rPr>
        <w:t>عملنا في التحقيق</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 حروف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بمطابقته مع الأصل، وتقطيعه، ووضع علائم الترقيم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الشريفة وإرجاعها إلى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الفقهيّة من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في الهامش موارد اختلاف نقل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مع مصادرها الأصليّة، مقتصرين على الموارد التي يكون الاختلاف فيها له أثر في الاستدلال، وأمّا في غيرها فقد اكتفينا بالإشارة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 في ألفاظه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الإضافات الّتي يقتضيها السياق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فهرس لمصادر التّحقيق</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992138_2870459653"/>
      <w:bookmarkStart w:id="691" w:name="_Toc265"/>
      <w:bookmarkEnd w:id="690"/>
      <w:r>
        <w:rPr>
          <w:rtl w:val="true"/>
        </w:rPr>
        <w:t>كلمة شكر</w:t>
      </w:r>
      <w:bookmarkEnd w:id="69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لا يسعنا سوى أنْ نتقدّم بوافر الشّكر وعظيم الامتنان إلى إدارة مكتبة الإمام الشّيخ محمّد الحسين آل كاشف الغطاء العامّة في النّجف الأشرف حيث وفّرت لنا هذه النسخة الفريدة، لا سيّما فضيلة الشّيخ شريف كاشف الغطاء سائلين المولى جلّ شأنه أنْ يمُنَّ عليه بالشفاء والعافية، ونجله الشّیخ أمیر حفظه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السّؤالين وبداية جواب سؤال الشّهيد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الثّانية من جواب سؤال الشّهيد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جواب سؤال الشّهيد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جواب سؤال الوصاية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جواب سؤال الوصاية من المخطوطة </w:t>
      </w:r>
      <w:bookmarkStart w:id="692" w:name="pg9131_76130"/>
    </w:p>
    <w:p>
      <w:pPr>
        <w:pStyle w:val="Heading3"/>
        <w:numPr>
          <w:ilvl w:val="2"/>
          <w:numId w:val="1"/>
        </w:numPr>
        <w:rPr/>
      </w:pPr>
      <w:bookmarkStart w:id="693" w:name="__RefHeading___Toc2992140_2870459653"/>
      <w:bookmarkStart w:id="694" w:name="_Toc266"/>
      <w:bookmarkEnd w:id="692"/>
      <w:bookmarkEnd w:id="693"/>
      <w:r>
        <w:rPr>
          <w:rtl w:val="true"/>
        </w:rPr>
        <w:t xml:space="preserve">تعريف </w:t>
      </w:r>
      <w:r>
        <w:rPr>
          <w:rtl w:val="true"/>
        </w:rPr>
        <w:t>(</w:t>
      </w:r>
      <w:r>
        <w:rPr>
          <w:rtl w:val="true"/>
        </w:rPr>
        <w:t>الشهيد</w:t>
      </w:r>
      <w:r>
        <w:rPr>
          <w:rtl w:val="true"/>
        </w:rPr>
        <w:t xml:space="preserve">) </w:t>
      </w:r>
      <w:r>
        <w:rPr>
          <w:rtl w:val="true"/>
        </w:rPr>
        <w:t>بين التعميم والتقييد</w:t>
      </w:r>
      <w:bookmarkEnd w:id="6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5" w:name="__RefHeading___Toc2992142_2870459653"/>
      <w:bookmarkStart w:id="696" w:name="_Toc267"/>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جواب مسألتين</w:t>
      </w:r>
    </w:p>
    <w:p>
      <w:pPr>
        <w:pStyle w:val="BookText"/>
        <w:rPr/>
      </w:pPr>
      <w:r>
        <w:rPr>
          <w:rFonts w:ascii="Amiri" w:hAnsi="Amiri" w:eastAsia="Amiri" w:cs="Amiri"/>
          <w:color w:val="111111"/>
          <w:sz w:val="28"/>
          <w:sz w:val="28"/>
          <w:szCs w:val="28"/>
          <w:rtl w:val="true"/>
          <w:lang w:bidi="ar-SA"/>
        </w:rPr>
        <w:t>للفقيه الكبير</w:t>
      </w:r>
    </w:p>
    <w:p>
      <w:pPr>
        <w:pStyle w:val="BookText"/>
        <w:rPr/>
      </w:pPr>
      <w:r>
        <w:rPr>
          <w:rFonts w:ascii="IRNazanin" w:hAnsi="IRNazanin" w:eastAsia="IRNazanin"/>
          <w:color w:val="111111"/>
          <w:sz w:val="28"/>
          <w:sz w:val="28"/>
          <w:szCs w:val="28"/>
          <w:rtl w:val="true"/>
          <w:lang w:bidi="fa-IR"/>
        </w:rPr>
        <w:t xml:space="preserve">الشيخ أحمد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الوصاية بالولاية لمن يتجدّد من الأولاد</w:t>
      </w:r>
    </w:p>
    <w:p>
      <w:pPr>
        <w:pStyle w:val="BookText"/>
        <w:rPr/>
      </w:pPr>
      <w:r>
        <w:rPr>
          <w:rFonts w:ascii="Amiri" w:hAnsi="Amiri" w:eastAsia="Amiri" w:cs="Amiri"/>
          <w:color w:val="111111"/>
          <w:sz w:val="28"/>
          <w:sz w:val="28"/>
          <w:szCs w:val="28"/>
          <w:rtl w:val="true"/>
          <w:lang w:bidi="ar-SA"/>
        </w:rPr>
        <w:t>مع وجود قرينة على التعميم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التعميم والتقييد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الفهداوي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9131_76133"/>
      <w:bookmarkStart w:id="698" w:name="pg9131_76133"/>
      <w:bookmarkEnd w:id="698"/>
    </w:p>
    <w:p>
      <w:pPr>
        <w:pStyle w:val="Heading4"/>
        <w:numPr>
          <w:ilvl w:val="3"/>
          <w:numId w:val="1"/>
        </w:numPr>
        <w:rPr/>
      </w:pPr>
      <w:bookmarkStart w:id="699" w:name="pg9131_76133"/>
      <w:bookmarkStart w:id="700" w:name="__RefHeading___Toc2992144_2870459653"/>
      <w:bookmarkStart w:id="701" w:name="_Toc268"/>
      <w:bookmarkEnd w:id="699"/>
      <w:bookmarkEnd w:id="700"/>
      <w:r>
        <w:rPr>
          <w:rtl w:val="true"/>
        </w:rPr>
        <w:t>السُّؤال الأوّل</w:t>
      </w:r>
      <w:bookmarkEnd w:id="701"/>
    </w:p>
    <w:p>
      <w:pPr>
        <w:pStyle w:val="BookText"/>
        <w:rPr/>
      </w:pPr>
      <w:r>
        <w:rPr>
          <w:rFonts w:ascii="Amiri" w:hAnsi="Amiri" w:eastAsia="Amiri" w:cs="Amiri"/>
          <w:color w:val="111111"/>
          <w:sz w:val="28"/>
          <w:sz w:val="28"/>
          <w:szCs w:val="28"/>
          <w:rtl w:val="true"/>
          <w:lang w:bidi="ar-SA"/>
        </w:rPr>
        <w:t>سؤال من البحرين ورد لحضرة السّيّد آية الله في العالمين حجّة الإسلام والمسلمين أدام الباري وجوده وأهلك عدوّه وحسوده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السَّلام الّذي لا يفنى ولا ينتهي إليه دروس أُولي النّهى لجناب سيّد الكلّ السّيّد محمّد كاظم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 من عميم فضله بيان الدّليل على صحّة الوصاية بالولاية على من تجدّد بعدها من الأولاد مع قيام القرينة على إرادة التّعميم كما أجاب المولى بعض سائليه من أهل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العموم فلِم لا يقال بتخصيصه، فضلاً عن تخصّصه ولو لتفرّع الولاية على وجود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الإجماع فلم نجد في مختصر لأصحابنا ولا مطوّل فرض المسألة بل قد يستكشف انتفاء الإجماع من خلافهم في المراد من الثّلث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بجواز الوصيّة للمعدوم لا يستلزم بالضرورة جواز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الأصل فهو مقطوع بانقطاع سلطنة الميّت كما هو في نفس الوصيّة بكلا 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المنع لولا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أقلّ الخليقة بل لا شيء في الحقيقة</w:t>
      </w:r>
    </w:p>
    <w:p>
      <w:pPr>
        <w:pStyle w:val="BookText"/>
        <w:rPr/>
      </w:pPr>
      <w:r>
        <w:rPr>
          <w:rFonts w:ascii="Amiri" w:hAnsi="Amiri" w:eastAsia="Amiri" w:cs="Amiri"/>
          <w:color w:val="111111"/>
          <w:sz w:val="28"/>
          <w:sz w:val="28"/>
          <w:szCs w:val="28"/>
          <w:rtl w:val="true"/>
          <w:lang w:bidi="ar-SA"/>
        </w:rPr>
        <w:t>أحمد ابن الحاج عبد الرضا آل حرز البحراني أصلاً ومولداً ومسكناً بالفعل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bookmarkStart w:id="702" w:name="pg9131_76134"/>
    </w:p>
    <w:p>
      <w:pPr>
        <w:pStyle w:val="Heading4"/>
        <w:numPr>
          <w:ilvl w:val="3"/>
          <w:numId w:val="1"/>
        </w:numPr>
        <w:rPr/>
      </w:pPr>
      <w:bookmarkStart w:id="703" w:name="__RefHeading___Toc2992146_2870459653"/>
      <w:bookmarkStart w:id="704" w:name="_Toc269"/>
      <w:bookmarkEnd w:id="702"/>
      <w:bookmarkEnd w:id="703"/>
      <w:r>
        <w:rPr>
          <w:rtl w:val="true"/>
        </w:rPr>
        <w:t>السُّؤال الثَّاني</w:t>
      </w:r>
      <w:bookmarkEnd w:id="704"/>
    </w:p>
    <w:p>
      <w:pPr>
        <w:pStyle w:val="BookText"/>
        <w:rPr/>
      </w:pP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اقتصار أصحابنا</w:t>
      </w:r>
      <w:r>
        <w:rPr>
          <w:rStyle w:val="FootnoteAnchor"/>
          <w:rtl w:val="true"/>
        </w:rPr>
        <w:footnoteReference w:id="732"/>
      </w:r>
      <w:r>
        <w:rPr>
          <w:rFonts w:ascii="Amiri" w:hAnsi="Amiri" w:eastAsia="Amiri" w:cs="Amiri"/>
          <w:color w:val="111111"/>
          <w:sz w:val="28"/>
          <w:sz w:val="28"/>
          <w:szCs w:val="28"/>
          <w:rtl w:val="true"/>
          <w:lang w:bidi="ar-SA"/>
        </w:rPr>
        <w:t>إلّا سيّد المدارك</w:t>
      </w:r>
      <w:r>
        <w:rPr>
          <w:rStyle w:val="FootnoteAnchor"/>
          <w:rtl w:val="true"/>
        </w:rPr>
        <w:footnoteReference w:id="733"/>
      </w:r>
      <w:r>
        <w:rPr>
          <w:rFonts w:ascii="IRNazanin" w:hAnsi="IRNazanin" w:eastAsia="IRNazanin"/>
          <w:color w:val="111111"/>
          <w:sz w:val="28"/>
          <w:sz w:val="28"/>
          <w:szCs w:val="28"/>
          <w:rtl w:val="true"/>
          <w:lang w:bidi="fa-IR"/>
        </w:rPr>
        <w:t>على تعريف الشّهيد بأنّه المقتول بين يدي النّبي أو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المشتهر من الروايات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هذه الأُمّة</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الشّهيد من قتل في سبيل الله، إذ ليس المقصود من ذلك إلّا بيان ترتيب أحكام الشّهيد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بيده الفانية أقلّ الخليقة أحمد بن عبد الرضا آل حرز</w:t>
      </w:r>
    </w:p>
    <w:p>
      <w:pPr>
        <w:pStyle w:val="BookText"/>
        <w:rPr/>
      </w:pPr>
      <w:r>
        <w:rPr>
          <w:rFonts w:ascii="Amiri" w:hAnsi="Amiri" w:eastAsia="Amiri" w:cs="Amiri"/>
          <w:color w:val="111111"/>
          <w:sz w:val="28"/>
          <w:sz w:val="28"/>
          <w:szCs w:val="28"/>
          <w:rtl w:val="true"/>
          <w:lang w:bidi="ar-SA"/>
        </w:rPr>
        <w:t xml:space="preserve">باليوم الأوّل من شهر شعبان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والمأمول بسط الجواب وإنْ كانت جرأة على سيّد السّادات وإرسال ورقة السّؤال</w:t>
      </w:r>
      <w:r>
        <w:rPr>
          <w:rFonts w:eastAsia="Amiri" w:cs="Amiri" w:ascii="Amiri" w:hAnsi="Amiri"/>
          <w:color w:val="111111"/>
          <w:sz w:val="28"/>
          <w:szCs w:val="28"/>
          <w:rtl w:val="true"/>
          <w:lang w:bidi="ar-SA"/>
        </w:rPr>
        <w:t xml:space="preserve">. </w:t>
      </w:r>
      <w:bookmarkStart w:id="705" w:name="pg9131_76135"/>
    </w:p>
    <w:p>
      <w:pPr>
        <w:pStyle w:val="Heading4"/>
        <w:numPr>
          <w:ilvl w:val="3"/>
          <w:numId w:val="1"/>
        </w:numPr>
        <w:rPr/>
      </w:pPr>
      <w:bookmarkStart w:id="706" w:name="__RefHeading___Toc2992148_2870459653"/>
      <w:bookmarkStart w:id="707" w:name="_Toc270"/>
      <w:bookmarkEnd w:id="705"/>
      <w:bookmarkEnd w:id="706"/>
      <w:r>
        <w:rPr>
          <w:rtl w:val="true"/>
        </w:rPr>
        <w:t>جواب السُّؤال الثَّاني</w:t>
      </w:r>
      <w:bookmarkEnd w:id="707"/>
    </w:p>
    <w:p>
      <w:pPr>
        <w:pStyle w:val="Heading5"/>
        <w:numPr>
          <w:ilvl w:val="4"/>
          <w:numId w:val="1"/>
        </w:numPr>
        <w:rPr/>
      </w:pPr>
      <w:bookmarkStart w:id="708" w:name="__RefHeading___Toc2992150_2870459653"/>
      <w:bookmarkStart w:id="709" w:name="_Toc271"/>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هذا ليس ممّا يتعلّق بمسائل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الباب ما يقضي بهذا القيد</w:t>
      </w:r>
      <w:r>
        <w:rPr>
          <w:rStyle w:val="FootnoteAnchor"/>
          <w:rtl w:val="true"/>
        </w:rPr>
        <w:footnoteReference w:id="735"/>
      </w:r>
      <w:r>
        <w:rPr>
          <w:rFonts w:ascii="Amiri" w:hAnsi="Amiri" w:eastAsia="Amiri" w:cs="Amiri"/>
          <w:color w:val="111111"/>
          <w:sz w:val="28"/>
          <w:sz w:val="28"/>
          <w:szCs w:val="28"/>
          <w:rtl w:val="true"/>
          <w:lang w:bidi="ar-SA"/>
        </w:rPr>
        <w:t>صريحاً، فإنّها بين ما علّق الحكم فيه على عنوان الشّهيد</w:t>
      </w:r>
      <w:r>
        <w:rPr>
          <w:rStyle w:val="FootnoteAnchor"/>
          <w:rtl w:val="true"/>
        </w:rPr>
        <w:footnoteReference w:id="736"/>
      </w:r>
      <w:r>
        <w:rPr>
          <w:rFonts w:ascii="Amiri" w:hAnsi="Amiri" w:eastAsia="Amiri" w:cs="Amiri"/>
          <w:color w:val="111111"/>
          <w:sz w:val="28"/>
          <w:sz w:val="28"/>
          <w:szCs w:val="28"/>
          <w:rtl w:val="true"/>
          <w:lang w:bidi="ar-SA"/>
        </w:rPr>
        <w:t>، وما علّق على عنوان القتيل في سبيل الله أو في طاعة الله</w:t>
      </w:r>
      <w:r>
        <w:rPr>
          <w:rStyle w:val="FootnoteAnchor"/>
          <w:rtl w:val="true"/>
        </w:rPr>
        <w:footnoteReference w:id="737"/>
      </w:r>
      <w:r>
        <w:rPr>
          <w:rFonts w:ascii="Amiri" w:hAnsi="Amiri" w:eastAsia="Amiri" w:cs="Amiri"/>
          <w:color w:val="111111"/>
          <w:sz w:val="28"/>
          <w:sz w:val="28"/>
          <w:szCs w:val="28"/>
          <w:rtl w:val="true"/>
          <w:lang w:bidi="ar-SA"/>
        </w:rPr>
        <w:t>أو بين الصفّين</w:t>
      </w:r>
      <w:r>
        <w:rPr>
          <w:rStyle w:val="FootnoteAnchor"/>
          <w:rtl w:val="true"/>
        </w:rPr>
        <w:footnoteReference w:id="738"/>
      </w:r>
      <w:r>
        <w:rPr>
          <w:rFonts w:ascii="Amiri" w:hAnsi="Amiri" w:eastAsia="Amiri" w:cs="Amiri"/>
          <w:color w:val="111111"/>
          <w:sz w:val="28"/>
          <w:sz w:val="28"/>
          <w:szCs w:val="28"/>
          <w:rtl w:val="true"/>
          <w:lang w:bidi="ar-SA"/>
        </w:rPr>
        <w:t>، وليس في ذلك ما يوجب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اخترنا في رسائلنا العمليّة جريان الحكم في القتيل في حفظ بيضة الإسلام في حال الغيبة</w:t>
      </w:r>
      <w:r>
        <w:rPr>
          <w:rStyle w:val="FootnoteAnchor"/>
          <w:rtl w:val="true"/>
        </w:rPr>
        <w:footnoteReference w:id="739"/>
      </w:r>
      <w:r>
        <w:rPr>
          <w:rFonts w:ascii="Amiri" w:hAnsi="Amiri" w:eastAsia="Amiri" w:cs="Amiri"/>
          <w:color w:val="111111"/>
          <w:sz w:val="28"/>
          <w:sz w:val="28"/>
          <w:szCs w:val="28"/>
          <w:rtl w:val="true"/>
          <w:lang w:bidi="ar-SA"/>
        </w:rPr>
        <w:t>، إلّا أنّ من قيّد بهذا القيد من الأصحاب كأنّه نظر إلى أنّ الحكم مخالف للعمومات الدّالّة على وجوب الغسل والتّكفين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الاقتصار في المخصّص على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ما جمع ذلك القيد بأنْ كان مقتولاً بين يدي النّبي أو الإمام للشكّ في صدق تلك العناوين المأخوذة في الأخبار على ما عداه خصوصاً بملاحظة أنّ موارد تلك الأخبار كقضية حمزة</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w:t>
      </w:r>
      <w:r>
        <w:rPr>
          <w:rStyle w:val="FootnoteAnchor"/>
          <w:rtl w:val="true"/>
        </w:rPr>
        <w:footnoteReference w:id="741"/>
      </w:r>
      <w:r>
        <w:rPr>
          <w:rFonts w:ascii="Amiri" w:hAnsi="Amiri" w:eastAsia="Amiri" w:cs="Amiri"/>
          <w:color w:val="111111"/>
          <w:sz w:val="28"/>
          <w:sz w:val="28"/>
          <w:szCs w:val="28"/>
          <w:rtl w:val="true"/>
          <w:lang w:bidi="ar-SA"/>
        </w:rPr>
        <w:t>وهاشم بن عتبة المرقال</w:t>
      </w:r>
      <w:r>
        <w:rPr>
          <w:rStyle w:val="FootnoteAnchor"/>
          <w:rtl w:val="true"/>
        </w:rPr>
        <w:footnoteReference w:id="742"/>
      </w:r>
      <w:r>
        <w:rPr>
          <w:rFonts w:ascii="Amiri" w:hAnsi="Amiri" w:eastAsia="Amiri" w:cs="Amiri"/>
          <w:color w:val="111111"/>
          <w:sz w:val="28"/>
          <w:sz w:val="28"/>
          <w:szCs w:val="28"/>
          <w:rtl w:val="true"/>
          <w:lang w:bidi="ar-SA"/>
        </w:rPr>
        <w:t xml:space="preserve">كانت من </w:t>
      </w:r>
    </w:p>
    <w:p>
      <w:pPr>
        <w:pStyle w:val="BookText"/>
        <w:rPr/>
      </w:pPr>
      <w:r>
        <w:rPr>
          <w:rFonts w:ascii="Amiri" w:hAnsi="Amiri" w:eastAsia="Amiri" w:cs="Amiri"/>
          <w:color w:val="111111"/>
          <w:sz w:val="28"/>
          <w:sz w:val="28"/>
          <w:szCs w:val="28"/>
          <w:rtl w:val="true"/>
          <w:lang w:bidi="ar-SA"/>
        </w:rPr>
        <w:t>ذلك القبيل، فإنّ خصوص المورد وإنْ كان لا يخصّص الوارد لكن إذا كان الوارد من أصله مشكوكاً عمومه ربّما يكون ذلك مؤيّداً لأحد طرفي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الأصحاب في ذلك على مذاهب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اقتصر على القتيل بين يدي النّبي أو الإمام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ألحق القتيل بين يدي نائبه الخاصّ</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عمّم كما عمّمنا إلى مطلق الجهاد بالحقّ</w:t>
      </w:r>
      <w:r>
        <w:rPr>
          <w:rStyle w:val="FootnoteAnchor"/>
          <w:rtl w:val="true"/>
        </w:rPr>
        <w:footnoteReference w:id="745"/>
      </w:r>
      <w:r>
        <w:rPr>
          <w:rFonts w:ascii="Amiri" w:hAnsi="Amiri" w:eastAsia="Amiri" w:cs="Amiri"/>
          <w:color w:val="111111"/>
          <w:sz w:val="28"/>
          <w:sz w:val="28"/>
          <w:szCs w:val="28"/>
          <w:rtl w:val="true"/>
          <w:lang w:bidi="ar-SA"/>
        </w:rPr>
        <w:t>الّذي هو سبيل الله كالقتيل فيما لو دهم المسلمين عدوّ يُخاف منه على بيضة الإسلام وإنْ لم يكن المعصوم أو نائبه الخاصّ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المعمّم بهذا النحو من التّعميم مقصوراً على سيّد المدارك بل قبله المحقّق في المعتبر صرّح بهذا التعميم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ذلك في المدارك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ذكرناه قطع المصنّف في المعتبر، فإنّه قال بعد أن عزى اشتراط ذلك إلى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والأقرب اشتراط الجهاد السّائغ حسب، فقد يجب الجهاد وإنْ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واشتراط ما ذكره الشّيخان زيادة لم تعلم من النّصّ</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ذلك أيضاً عمّن سبقهما ولحقهما، فقد حكاه في الجواهر وغيرها عن </w:t>
      </w:r>
    </w:p>
    <w:p>
      <w:pPr>
        <w:pStyle w:val="BookText"/>
        <w:rPr/>
      </w:pPr>
      <w:r>
        <w:rPr>
          <w:rFonts w:ascii="Amiri" w:hAnsi="Amiri" w:eastAsia="Amiri" w:cs="Amiri"/>
          <w:color w:val="111111"/>
          <w:sz w:val="28"/>
          <w:sz w:val="28"/>
          <w:szCs w:val="28"/>
          <w:rtl w:val="true"/>
          <w:lang w:bidi="ar-SA"/>
        </w:rPr>
        <w:t>ظاهر الغنية أو صريحها وإشارة السّبق والذّكرى والدّروس وظاهر الرّوض والرّوضة وعن ظاهر الخلاف ومحتمل التّذكرة ونهاية الإحكام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حكى عن ظاهر الغنية أو صريحها الإجماع على ذلك</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استظهر في الجواهر إرادة الجميع لذلك حتّى مَنْ فسّره بالقتيل بين يدي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احتمل أنّ مراد من اقتصر على القتيل بين يدي الإمام التّعميم للقتيل بين يدي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إرادة الجميع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النّبي أو جهاد بحقّ ولو بدونهما كما لو دهم المسلمين عدوّ يخاف منه على بيضة الإسلام</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وأيّاً ما كان فما اشتهر في الرّوايات وغيرها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هذه الأُمّة بل سيّد الشّهداء لا منافاة فيه لشيء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كلام من عمّم كما عمّمنا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من عداه فلبداهة أنّ من فسّر الشّهيد بكونه القتيل بين يدي النّبي أو الإمام لا يحتمل فيه أنّه يريد أنّ نفس النّبي أو الإمام لو قتل في ذلك الحرب لا يكون شهيداً ولا تجري عليه أحكامه، فيكون المقتول بين يديه شهيداً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قتيلاً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العجب تطرّق هذا الاحتمال في كلماتهم، فإنّهم إنّما اقتصروا على التّقييد بكونه بين يدي النّبي أو الإمام ولم يتعرّضوا لنفس النّبي أو الإمام اعتماداً على الوضوح والظّهور، ولم يؤثروا أنْ يحتمل محتمل في كلماتهم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 ذلك قول السّائل، إذ ليس المقصود من ذلك إلّا بيان ترتيب أحكام الشّهيد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هو من السّعادات الأُخرويّة والدّنيويّة الّتي ترتّبت على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استقامة دين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ترتيب أحكام الشّهيد عليه فهو راجع إلى الإمام من بعده، ولا يهمّ بيانه، والظاهر أنّ ذلك قصور في الأداء من السائل، وإلّا فهو ممّن لا يخفى عليه المقصود من الرّوايات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هذه الأُمّة وسيّد الشهداء، ولا تخفى عليه الآثار والسعادات الّتي ترتّبت على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بلاغ كافٍ في الجواب عن السّؤال، ولكن إن شئت تفصيل الحال في هذه المسألة فاستمع لما يتلى عليك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إشكال ولا خلاف في أنّ مقتضى العمومات الأوّليّة وجوب الغسل والتّكفين لكلّ مسلم مظهر للشهادتين، ولكن قد خرج من ذلك بعض الموارد لأجل ورود المخصّص،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فإنّ الأصحاب أجمعوا على استثنائه من ذلك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المعتبر</w:t>
      </w:r>
      <w:r>
        <w:rPr>
          <w:rStyle w:val="FootnoteAnchor"/>
          <w:rtl w:val="true"/>
        </w:rPr>
        <w:footnoteReference w:id="751"/>
      </w:r>
      <w:r>
        <w:rPr>
          <w:rFonts w:ascii="Amiri" w:hAnsi="Amiri" w:eastAsia="Amiri" w:cs="Amiri"/>
          <w:color w:val="111111"/>
          <w:sz w:val="28"/>
          <w:sz w:val="28"/>
          <w:szCs w:val="28"/>
          <w:rtl w:val="true"/>
          <w:lang w:bidi="ar-SA"/>
        </w:rPr>
        <w:t>إنّه إجماع أهل العلم خلا سعيد بن المسيّب</w:t>
      </w:r>
      <w:r>
        <w:rPr>
          <w:rStyle w:val="FootnoteAnchor"/>
          <w:rtl w:val="true"/>
        </w:rPr>
        <w:footnoteReference w:id="752"/>
      </w:r>
      <w:r>
        <w:rPr>
          <w:rFonts w:ascii="IRNazanin" w:hAnsi="IRNazanin" w:eastAsia="IRNazanin"/>
          <w:color w:val="111111"/>
          <w:sz w:val="28"/>
          <w:sz w:val="28"/>
          <w:szCs w:val="28"/>
          <w:rtl w:val="true"/>
          <w:lang w:bidi="fa-IR"/>
        </w:rPr>
        <w:t>والحسن</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 ولا خلاف فيه بين علماء الأمصار إلّا الحسن البصري وسعيد بن المسيّب</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اللّوامع عليه إجماع المسلمين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والأصل في ذلك ثلّة من الأخبار،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علّق الحكم فيه على عنوان الشّهيد، كرواية زرارة وإسماعيل بن جابر في الصّحيح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الشّهيد يدفن بدمائه؟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بثيابه وبدمائه ولا يحنّط ولا يغسّل ويدفن كما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رسول الله عمّه حمزة في ثيابه بدمائه الّتي أُصيب فيها، وردّاه النّبي بردائه فقصر عن رجليه فدعا له بإذخر</w:t>
      </w:r>
      <w:r>
        <w:rPr>
          <w:rStyle w:val="FootnoteAnchor"/>
          <w:rtl w:val="true"/>
        </w:rPr>
        <w:footnoteReference w:id="756"/>
      </w:r>
      <w:r>
        <w:rPr>
          <w:rFonts w:ascii="Amiri" w:hAnsi="Amiri" w:eastAsia="Amiri" w:cs="Amiri"/>
          <w:color w:val="111111"/>
          <w:sz w:val="28"/>
          <w:sz w:val="28"/>
          <w:szCs w:val="28"/>
          <w:rtl w:val="true"/>
          <w:lang w:bidi="ar-SA"/>
        </w:rPr>
        <w:t>فطرحه عليه، وصلّى عليه سبعين صلاة، وكبّر عليه سبعين تكبيرة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الشّهيد إذا كان به رمق غسّل وكفّن وحنّط وصلّي عليه، وإن لم يكن به رمق دفن في ثيابه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الفقيه بسنده إلى أبي مريم مثله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خالد، عن زيد بن علي،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من الشّهيد الفرو والخفّ والقلنسوة والعمامة والمنطقة والسّراويل إلّا أن يكون أصابه دم ترك، ولا يترك عليه شيء معقود إلّا حلّ</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عمرو بن خالد، عن زيد،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الشّهيد من يومه أو من الغد فواروه في ثيابه، وإن بقى أيّاماً حتّى تتغيّر جراحته غسّل</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الحكم فيه على القتيل في سبيل الله تعالى، كرواية الكافي في 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يُقتل في سبيل الله تعالى أيغسّل ويكفّن ويحنّط؟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يدفن كما هو بثيابه بدمه إلّا أنْ يكون به رمق ثمّ مات، فإنّه يغسّل ويكفّن ويحنّط ويصلّى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حمزة وكفّنه لأنّه كان جُرِّدَ</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الفقيه مرسلاً بطريق إلى أبان</w:t>
      </w:r>
      <w:r>
        <w:rPr>
          <w:rStyle w:val="FootnoteAnchor"/>
          <w:rtl w:val="true"/>
        </w:rPr>
        <w:footnoteReference w:id="763"/>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وروايته الأُخرى في الصّحيح أو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يُقتل في سبيل الله تعالى يدفن بثيابه، ولا يغسّل إلّا أنْ يدركه المسلمون وبه رمق ثمّ يموت بعد، فإنّه يغسّل ويكفّن ويحنّط،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حمزة في ثيابه ولم يغسّله ولكنّه صلّى عليه</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الحكم فيه على من قتل بين الصفّين، كرواية الكافي والتّهذيب، عن أبي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كلّ شيء من الموتى الغريق وأكيل السّبع وكلّ شيء إلّا ما قتل بين الصفّين فإن كان به رمق غسّل وإلّا فلا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الحكم فيه على قتيل المعركة في طاعة الله تعالى</w:t>
      </w:r>
      <w:r>
        <w:rPr>
          <w:rStyle w:val="FootnoteAnchor"/>
          <w:rtl w:val="true"/>
        </w:rPr>
        <w:footnoteReference w:id="766"/>
      </w:r>
      <w:r>
        <w:rPr>
          <w:rFonts w:ascii="Amiri" w:hAnsi="Amiri" w:eastAsia="Amiri" w:cs="Amiri"/>
          <w:color w:val="111111"/>
          <w:sz w:val="28"/>
          <w:sz w:val="28"/>
          <w:szCs w:val="28"/>
          <w:rtl w:val="true"/>
          <w:lang w:bidi="ar-SA"/>
        </w:rPr>
        <w:t xml:space="preserve">، لم يغسّل، ودفن في ثيابه الّتي قتل فيها بدمائه، ولا ينزع منه من ثيابه شيء إلّا أنّه لا يترك عليه شيء معقود مثل الخف، ويحلّ تكّته ومثل المنطقة والفروة، وإنْ أصابه شيء من دم لم ينزع عنه </w:t>
      </w:r>
    </w:p>
    <w:p>
      <w:pPr>
        <w:pStyle w:val="BookText"/>
        <w:rPr/>
      </w:pPr>
      <w:r>
        <w:rPr>
          <w:rFonts w:ascii="Amiri" w:hAnsi="Amiri" w:eastAsia="Amiri" w:cs="Amiri"/>
          <w:color w:val="111111"/>
          <w:sz w:val="28"/>
          <w:sz w:val="28"/>
          <w:szCs w:val="28"/>
          <w:rtl w:val="true"/>
          <w:lang w:bidi="ar-SA"/>
        </w:rPr>
        <w:t>شيء إلّا أنّه يحلّ المعقود، ولم يغسّل إلّا أن يكون به رمق ثمّ يموت بعد ذلك، فإذا مات بعد ذلك غسّل كما يغسّل الميّت، وكفّن كما يكفّن الميّت، ولا يترك عليه شيء من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موارد خاصّة، كرواية الشّيخ في الموثّق، عن عمّار عن جعفر،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ياسر ولا هاشم بن عتبة المرقال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ودفنهما في ثيابهما ولم يصلِّ عليهما</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والأصل أن لا يترك أحد من الأُمّة بغير صلاة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قرب الإسناد عن أبي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يغسّل عمّار بن ياسر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عتبة يوم صفّين، ودفنهما في ثيابهما، وصلّى عليهما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المعتبر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بدمائهم، فإنّه ليس كلم يكلم في سبيل الله تعالى إلّا يأتي يوم القيامة بدمائه، لونه لون الدم، وريحه ريح المسك</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أشبه بأنْ تكون من الأخبار العامّة وتدخل في الطّائفة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رجلاً من حيّ جهينة فأخطأه فأصاب نفسه بسيفه،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أخوكم يا معشر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فابتدره النّاس، فوجدوه قد مات، فلفّه رسول الله بثيابه ودمائه، وصلّى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شهيد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وأنا له شهيد</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الجمل أوصوا بأنّا مستشهدون غداً فلا تنزعوا عنّا ثوباً ولا تغسلوا عنّا دماً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اتّضح لك اختلاف الأخبار في أنفسها، واختلافها أيضاً مع ما في كلمات الأصحاب، وذلك من جهات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التقييد بكون القتل بين يدي النّبي أو الإمام أو نائبهما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اختلاف الأصحاب في ذلك على مذاهب ثلاثة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وجه النّظر في تقييدهم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إرجاع كلمات المقيّدين إلى المعمّمين</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الحقّ هو التّعميم لكلّ جهاد حقّ ولو في زمن الغيبة،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العناوين</w:t>
      </w:r>
      <w:r>
        <w:rPr>
          <w:rStyle w:val="FootnoteAnchor"/>
          <w:rtl w:val="true"/>
        </w:rPr>
        <w:footnoteReference w:id="777"/>
      </w:r>
      <w:r>
        <w:rPr>
          <w:rFonts w:ascii="Amiri" w:hAnsi="Amiri" w:eastAsia="Amiri" w:cs="Amiri"/>
          <w:color w:val="111111"/>
          <w:sz w:val="28"/>
          <w:sz w:val="28"/>
          <w:szCs w:val="28"/>
          <w:rtl w:val="true"/>
          <w:lang w:bidi="ar-SA"/>
        </w:rPr>
        <w:t xml:space="preserve">المأخوذة في الأخبار، وبطلان دعوى الشّكّ في </w:t>
      </w:r>
    </w:p>
    <w:p>
      <w:pPr>
        <w:pStyle w:val="BookText"/>
        <w:rPr/>
      </w:pPr>
      <w:r>
        <w:rPr>
          <w:rFonts w:ascii="Amiri" w:hAnsi="Amiri" w:eastAsia="Amiri" w:cs="Amiri"/>
          <w:color w:val="111111"/>
          <w:sz w:val="28"/>
          <w:sz w:val="28"/>
          <w:szCs w:val="28"/>
          <w:rtl w:val="true"/>
          <w:lang w:bidi="ar-SA"/>
        </w:rPr>
        <w:t xml:space="preserve">صدقها على ما عدا القتيل بين يدي الإمام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يبعد كثرة وقوع السّؤال في الرّوايات عن فرض لا يحتاجون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مريم من الطّائفة الأُولى، وروايتي أبان من الثّانية، ومضمر أبي خالد من الثّالثة، ورواية الفقه الرّضوي من الرّابعة، كلّها اشتملت على أنّ المدار في وجوب الغسل والتّكفين وعدمهما إدراك المسلمين له وبه رمق وعدمه، ولا يعارضها من روايات الباب إلّا رواية عمرو بن خالد الثّانية، فإنّه صرّح فيها بجريان الحكم على الشّهيد إذا مات في يومه أو غده، وأنّه إنّما يغسّل إذا بقى أيّاماً حتّى تتغيّر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الرّوايتان المتضمّنتان لدفن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بدمائه مع ما اشتهر بل كاد أن يتواتر من إدراك المسلمين له، وأنّه استسقى، فسقي ضياحاً من اللبن</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عدا ذلك كرواية زرارة وإسماعيل، ورواية عمرو بن خالد الأُولى، وباقي روايات الطّائفة الخامسة فهي ساكتة عن هذه الجهة، لكن رواية عمرو بن خالد لضعف سندها</w:t>
      </w:r>
      <w:r>
        <w:rPr>
          <w:rStyle w:val="FootnoteAnchor"/>
          <w:rtl w:val="true"/>
        </w:rPr>
        <w:footnoteReference w:id="779"/>
      </w:r>
      <w:r>
        <w:rPr>
          <w:rFonts w:ascii="Amiri" w:hAnsi="Amiri" w:eastAsia="Amiri" w:cs="Amiri"/>
          <w:color w:val="111111"/>
          <w:sz w:val="28"/>
          <w:sz w:val="28"/>
          <w:szCs w:val="28"/>
          <w:rtl w:val="true"/>
          <w:lang w:bidi="ar-SA"/>
        </w:rPr>
        <w:t xml:space="preserve">، وإعراض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ينقل عن أحد العمل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تقوى على معارضة تلك الرّوايات، وحينئذ فتبقى المعارضة بين تلك الرّوايات والرّوايتين المتضمّنتين لدفن عمّار بن ياسر، والجمع بينهما ليس إلّا بجعل الرّوايتين قرينة على أنّ المراد من إدراك الرّمق في تلك الرّوايات إدراكه بعد انقضاء الحرب ليكون موته بعد ذلك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تفقّد القتلى غالباً إنّما يكون بعد أن تضع الحرب أوزارها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الخبر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ينظر إلى ما فعل سعد ابن الربيع؟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أنظر لك يا رسول الله، فنظر فوجده جريحاً وبه رمق،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أنظر، في الأحياء أنت أم في الأموات؟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الأموات فأبلغ رسول الله عنّي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أبرح إلى أنْ مات، ولم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بتغسيل أحد منهم</w:t>
      </w:r>
      <w:r>
        <w:rPr>
          <w:rFonts w:eastAsia="IRNazanin" w:cs="IRNazanin"/>
          <w:color w:val="111111"/>
          <w:sz w:val="28"/>
          <w:szCs w:val="28"/>
          <w:rtl w:val="true"/>
          <w:lang w:bidi="fa-IR"/>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كان قبل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المدار في سقوط الغسل والتّكفين وعدمه على الموت قبل انقضاء الحرب وعدمه فيسقط في الأوّل سواء مات في محلّ العرك أو غيره، ويثبت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مات بعد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أيضاً بين موته في موضع القتال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الذي اخترناه في رسائلنا العمليّة كالعروة الوثقى</w:t>
      </w:r>
      <w:r>
        <w:rPr>
          <w:rStyle w:val="FootnoteAnchor"/>
          <w:rtl w:val="true"/>
        </w:rPr>
        <w:footnoteReference w:id="781"/>
      </w:r>
      <w:r>
        <w:rPr>
          <w:rFonts w:ascii="Amiri" w:hAnsi="Amiri" w:eastAsia="Amiri" w:cs="Amiri"/>
          <w:color w:val="111111"/>
          <w:sz w:val="28"/>
          <w:sz w:val="28"/>
          <w:szCs w:val="28"/>
          <w:rtl w:val="true"/>
          <w:lang w:bidi="ar-SA"/>
        </w:rPr>
        <w:t>وغيرها، فلا يكون إدراك المسلمين له وبه رمق قبل انقضاء الحرب موجباً لوجوب غسله وتكفينه، كما عرفت في قضيّة عمّار بن ياسر وسعد ابن الرّبيع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ذهب جمع من الأصحاب، فقد حكي عن الخلاف</w:t>
      </w:r>
      <w:r>
        <w:rPr>
          <w:rStyle w:val="FootnoteAnchor"/>
          <w:rtl w:val="true"/>
        </w:rPr>
        <w:footnoteReference w:id="782"/>
      </w:r>
      <w:r>
        <w:rPr>
          <w:rFonts w:ascii="Amiri" w:hAnsi="Amiri" w:eastAsia="Amiri" w:cs="Amiri"/>
          <w:color w:val="111111"/>
          <w:sz w:val="28"/>
          <w:sz w:val="28"/>
          <w:szCs w:val="28"/>
          <w:rtl w:val="true"/>
          <w:lang w:bidi="ar-SA"/>
        </w:rPr>
        <w:t>التّصريح بأنّه إذا خرج عن المعركة ثمّ مات بعد ساعة أو ساعتين قبل تقضي الحرب حكمه حكم الشّهيد، وحكي عن المنتهى</w:t>
      </w:r>
      <w:r>
        <w:rPr>
          <w:rStyle w:val="FootnoteAnchor"/>
          <w:rtl w:val="true"/>
        </w:rPr>
        <w:footnoteReference w:id="783"/>
      </w:r>
      <w:r>
        <w:rPr>
          <w:rFonts w:ascii="Amiri" w:hAnsi="Amiri" w:eastAsia="Amiri" w:cs="Amiri"/>
          <w:color w:val="111111"/>
          <w:sz w:val="28"/>
          <w:sz w:val="28"/>
          <w:szCs w:val="28"/>
          <w:rtl w:val="true"/>
          <w:lang w:bidi="ar-SA"/>
        </w:rPr>
        <w:t>استحسانه، وقضيّة إطلاقه عدم الفرق بين أنْ يدركه المسلمون وبه رمق الحياة أم لا، وحكي عن الخلاف</w:t>
      </w:r>
      <w:r>
        <w:rPr>
          <w:rStyle w:val="FootnoteAnchor"/>
          <w:rtl w:val="true"/>
        </w:rPr>
        <w:footnoteReference w:id="784"/>
      </w:r>
      <w:r>
        <w:rPr>
          <w:rFonts w:ascii="Amiri" w:hAnsi="Amiri" w:eastAsia="Amiri" w:cs="Amiri"/>
          <w:color w:val="111111"/>
          <w:sz w:val="28"/>
          <w:sz w:val="28"/>
          <w:szCs w:val="28"/>
          <w:rtl w:val="true"/>
          <w:lang w:bidi="ar-SA"/>
        </w:rPr>
        <w:t xml:space="preserve">أيضاً دعوى إجماع الفرقة على أنّه </w:t>
      </w:r>
    </w:p>
    <w:p>
      <w:pPr>
        <w:pStyle w:val="BookText"/>
        <w:rPr/>
      </w:pPr>
      <w:r>
        <w:rPr>
          <w:rFonts w:ascii="Amiri" w:hAnsi="Amiri" w:eastAsia="Amiri" w:cs="Amiri"/>
          <w:color w:val="111111"/>
          <w:sz w:val="28"/>
          <w:sz w:val="28"/>
          <w:szCs w:val="28"/>
          <w:rtl w:val="true"/>
          <w:lang w:bidi="ar-SA"/>
        </w:rPr>
        <w:t>إذا مات بعد تقضّي الحرب يجب غسله حتّى لو كان غير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الأصحاب مذاهب أُخر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ظاهر المقنعة</w:t>
      </w:r>
      <w:r>
        <w:rPr>
          <w:rStyle w:val="FootnoteAnchor"/>
          <w:rtl w:val="true"/>
        </w:rPr>
        <w:footnoteReference w:id="785"/>
      </w:r>
      <w:r>
        <w:rPr>
          <w:rFonts w:ascii="Amiri" w:hAnsi="Amiri" w:eastAsia="Amiri" w:cs="Amiri"/>
          <w:color w:val="111111"/>
          <w:sz w:val="28"/>
          <w:sz w:val="28"/>
          <w:szCs w:val="28"/>
          <w:rtl w:val="true"/>
          <w:lang w:bidi="ar-SA"/>
        </w:rPr>
        <w:t>والشّهيدين في ظاهر الذّكرى</w:t>
      </w:r>
      <w:r>
        <w:rPr>
          <w:rStyle w:val="FootnoteAnchor"/>
          <w:rtl w:val="true"/>
        </w:rPr>
        <w:footnoteReference w:id="786"/>
      </w:r>
      <w:r>
        <w:rPr>
          <w:rFonts w:ascii="Amiri" w:hAnsi="Amiri" w:eastAsia="Amiri" w:cs="Amiri"/>
          <w:color w:val="111111"/>
          <w:sz w:val="28"/>
          <w:sz w:val="28"/>
          <w:szCs w:val="28"/>
          <w:rtl w:val="true"/>
          <w:lang w:bidi="ar-SA"/>
        </w:rPr>
        <w:t>والرّوض</w:t>
      </w:r>
      <w:r>
        <w:rPr>
          <w:rStyle w:val="FootnoteAnchor"/>
          <w:rtl w:val="true"/>
        </w:rPr>
        <w:footnoteReference w:id="787"/>
      </w:r>
      <w:r>
        <w:rPr>
          <w:rFonts w:ascii="Amiri" w:hAnsi="Amiri" w:eastAsia="Amiri" w:cs="Amiri"/>
          <w:color w:val="111111"/>
          <w:sz w:val="28"/>
          <w:sz w:val="28"/>
          <w:szCs w:val="28"/>
          <w:rtl w:val="true"/>
          <w:lang w:bidi="ar-SA"/>
        </w:rPr>
        <w:t>وعن مهذّب ابن البرّاج</w:t>
      </w:r>
      <w:r>
        <w:rPr>
          <w:rStyle w:val="FootnoteAnchor"/>
          <w:rtl w:val="true"/>
        </w:rPr>
        <w:footnoteReference w:id="788"/>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جماعة من متأخّري المتأخّرين، مِنْ جعل المدار في ذلك على إدراك الرّمق وعدمه سواء كان قبل انقضاء الحرب أو بعده، وسواء كان في المعركة أو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يميل السّيّد في المدارك كما يُعلم بمراجعة كلامه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هذا القول هو الاستناد إلى الأخبار الّتي جعل المدار فيها على ذلك</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عن المشهور، بل في المدارك نسبته إلى الأصحاب</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المدار على الموت في المعركة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طهارته</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المتلبّس بالعرك فعلاً، فكأنّه يرجع إلى اعتبار أمرين في جريان حكم الشّهيد،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قبل انقضاء الحرب،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في نفس محلّ الحرب، 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Style w:val="FootnoteAnchor"/>
          <w:rtl w:val="true"/>
        </w:rPr>
        <w:footnoteReference w:id="793"/>
      </w:r>
      <w:r>
        <w:rPr>
          <w:rFonts w:ascii="Amiri" w:hAnsi="Amiri" w:eastAsia="Amiri" w:cs="Amiri"/>
          <w:color w:val="111111"/>
          <w:sz w:val="28"/>
          <w:sz w:val="28"/>
          <w:szCs w:val="28"/>
          <w:rtl w:val="true"/>
          <w:lang w:bidi="ar-SA"/>
        </w:rPr>
        <w:t xml:space="preserve">عن كشف </w:t>
      </w:r>
    </w:p>
    <w:p>
      <w:pPr>
        <w:pStyle w:val="BookText"/>
        <w:rPr/>
      </w:pPr>
      <w:r>
        <w:rPr>
          <w:rFonts w:ascii="Amiri" w:hAnsi="Amiri" w:eastAsia="Amiri" w:cs="Amiri"/>
          <w:color w:val="111111"/>
          <w:sz w:val="28"/>
          <w:sz w:val="28"/>
          <w:szCs w:val="28"/>
          <w:rtl w:val="true"/>
          <w:lang w:bidi="ar-SA"/>
        </w:rPr>
        <w:t>اللّثام</w:t>
      </w:r>
      <w:r>
        <w:rPr>
          <w:rStyle w:val="FootnoteAnchor"/>
          <w:rtl w:val="true"/>
        </w:rPr>
        <w:footnoteReference w:id="794"/>
      </w:r>
      <w:r>
        <w:rPr>
          <w:rFonts w:ascii="Amiri" w:hAnsi="Amiri" w:eastAsia="Amiri" w:cs="Amiri"/>
          <w:color w:val="111111"/>
          <w:sz w:val="28"/>
          <w:sz w:val="28"/>
          <w:szCs w:val="28"/>
          <w:rtl w:val="true"/>
          <w:lang w:bidi="ar-SA"/>
        </w:rPr>
        <w:t>وغيره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انقضى الحرب وبه رمق، أو نقل وبه رمق وإن لم ينقضي الحرب بعدُ يجب تغسيله، وهو موافق للمختار فيما إذا مات بعد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مات قبل انقضاء الحرب وبعد نقله عن المعركة، فيستدلّ له بمضمرة أبي خالد المتقدّمة</w:t>
      </w:r>
      <w:r>
        <w:rPr>
          <w:rStyle w:val="FootnoteAnchor"/>
          <w:rtl w:val="true"/>
        </w:rPr>
        <w:footnoteReference w:id="796"/>
      </w:r>
      <w:r>
        <w:rPr>
          <w:rFonts w:ascii="Amiri" w:hAnsi="Amiri" w:eastAsia="Amiri" w:cs="Amiri"/>
          <w:color w:val="111111"/>
          <w:sz w:val="28"/>
          <w:sz w:val="28"/>
          <w:szCs w:val="28"/>
          <w:rtl w:val="true"/>
          <w:lang w:bidi="ar-SA"/>
        </w:rPr>
        <w:t>في الطائفة الثالثة،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كذلك لا يصدق عليه أنّه قُتل بين الصّفّين، وهو كما ترى؛ فإنّه إذا جرح في المعركة ومات بعد نقله عنها بساعة أو ساعتين قبل انقضاء الحرب يصدق عليه القتل بين الصّفّين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جزم في الخلاف بجريان حكم الشهيد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الحكاية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المنتهى استحسانه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المناط إثباتاً ونفياً هو موته قبل انقضاء الحرب أو بعده كما عرفت تفصيله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عدا رواية عمرو بن خالد الأُولى</w:t>
      </w:r>
      <w:r>
        <w:rPr>
          <w:rStyle w:val="FootnoteAnchor"/>
          <w:rtl w:val="true"/>
        </w:rPr>
        <w:footnoteReference w:id="797"/>
      </w:r>
      <w:r>
        <w:rPr>
          <w:rFonts w:ascii="Amiri" w:hAnsi="Amiri" w:eastAsia="Amiri" w:cs="Amiri"/>
          <w:color w:val="111111"/>
          <w:sz w:val="28"/>
          <w:sz w:val="28"/>
          <w:szCs w:val="28"/>
          <w:rtl w:val="true"/>
          <w:lang w:bidi="ar-SA"/>
        </w:rPr>
        <w:t xml:space="preserve">كلّها قد دلّت على أنّ الشّهيد يدفن بثيابه من دون استثناء، أمّا هي فقد استثنت بعض الثّياب كالسّراويل والعمامة، وكلمات الأصحاب اختلفت في ذلك أشدّ اختلاف، وحيث إنّ الرّواية المذكورة ضعيفة السّند ولا جابر لها من هذه الجهة فلا تقوى على تقييد تلك المطلقات، وحينئذٍ فيجب العمل على طبق تلك المطلقات، ومقتضاها دفن كلّ ما يصدق عليه أنّه من الثّياب، وقد تكلّم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تفصيل ذلك في باب الحبوة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يدفن ما ليس بثوب كسلاحه وخاتمه إذ لم يؤمر به فهو تضييع للمال، وكذا الخفّان والنّعل والحزام إذا كان من الجلود لعدم صدق الثّوب عليها، وأمّا الفرو فقد استثناه بعض</w:t>
      </w:r>
      <w:r>
        <w:rPr>
          <w:rStyle w:val="FootnoteAnchor"/>
          <w:rtl w:val="true"/>
        </w:rPr>
        <w:footnoteReference w:id="798"/>
      </w:r>
      <w:r>
        <w:rPr>
          <w:rFonts w:ascii="Amiri" w:hAnsi="Amiri" w:eastAsia="Amiri" w:cs="Amiri"/>
          <w:color w:val="111111"/>
          <w:sz w:val="28"/>
          <w:sz w:val="28"/>
          <w:szCs w:val="28"/>
          <w:rtl w:val="true"/>
          <w:lang w:bidi="ar-SA"/>
        </w:rPr>
        <w:t>، ولكنّه لا يخلو عن إشكال خصوصاً إذا أصابه الدّم</w:t>
      </w:r>
      <w:r>
        <w:rPr>
          <w:rFonts w:eastAsia="Amiri" w:cs="Amiri" w:ascii="Amiri" w:hAnsi="Amiri"/>
          <w:color w:val="111111"/>
          <w:sz w:val="28"/>
          <w:szCs w:val="28"/>
          <w:rtl w:val="true"/>
          <w:lang w:bidi="ar-SA"/>
        </w:rPr>
        <w:t xml:space="preserve">. </w:t>
      </w:r>
      <w:bookmarkStart w:id="710" w:name="pg9131_76148"/>
    </w:p>
    <w:p>
      <w:pPr>
        <w:pStyle w:val="Heading5"/>
        <w:numPr>
          <w:ilvl w:val="4"/>
          <w:numId w:val="1"/>
        </w:numPr>
        <w:rPr/>
      </w:pPr>
      <w:bookmarkStart w:id="711" w:name="__RefHeading___Toc2992152_2870459653"/>
      <w:bookmarkStart w:id="712" w:name="_Toc272"/>
      <w:bookmarkEnd w:id="710"/>
      <w:bookmarkEnd w:id="711"/>
      <w:r>
        <w:rPr>
          <w:rtl w:val="true"/>
        </w:rPr>
        <w:t>ثُمّ إنّه ينبغي التّنبيه على أُمور</w:t>
      </w:r>
      <w:bookmarkEnd w:id="7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الصّغير في ذلك كالكبير، والمرأة كالرّجل، والعبد كالحرّ؛ لإطلاق الأخبار، ولما روي أنّه كان في قتلى بدر وأُحد أطفال كحارثة بن النعمان</w:t>
      </w:r>
      <w:r>
        <w:rPr>
          <w:rStyle w:val="FootnoteAnchor"/>
          <w:rtl w:val="true"/>
        </w:rPr>
        <w:footnoteReference w:id="799"/>
      </w:r>
      <w:r>
        <w:rPr>
          <w:rFonts w:ascii="Amiri" w:hAnsi="Amiri" w:eastAsia="Amiri" w:cs="Amiri"/>
          <w:color w:val="111111"/>
          <w:sz w:val="28"/>
          <w:sz w:val="28"/>
          <w:szCs w:val="28"/>
          <w:rtl w:val="true"/>
          <w:lang w:bidi="ar-SA"/>
        </w:rPr>
        <w:t>وعمير بن أبي وقّاص</w:t>
      </w:r>
      <w:r>
        <w:rPr>
          <w:rStyle w:val="FootnoteAnchor"/>
          <w:rtl w:val="true"/>
        </w:rPr>
        <w:footnoteReference w:id="800"/>
      </w:r>
      <w:r>
        <w:rPr>
          <w:rFonts w:ascii="IRNazanin" w:hAnsi="IRNazanin" w:eastAsia="IRNazanin"/>
          <w:color w:val="111111"/>
          <w:sz w:val="28"/>
          <w:sz w:val="28"/>
          <w:szCs w:val="28"/>
          <w:rtl w:val="true"/>
          <w:lang w:bidi="fa-IR"/>
        </w:rPr>
        <w:t xml:space="preserve">ولم ينقل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غسّلهم، وقضيّة رضيع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الطّف معلومة، ولم ينقل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يمّمه، ومع ذلك فربّما يستشكل في إطلاق الأخبار الّتي علّق الحكم فيها على عنوان المقتول في سبيل الله تعالى بأنّه لا يشمل إلّا من كان الجهاد راجحاً في حقّه أو وجوبه، كما إذا توقّف دفع العدوّ على الاستعانة بالأطفال والمجانين، وهو كما ترى؛ فإنّ العنوان المذكور صادق على كلّ من قتل من المسلمين أو ذراريهم أو عبيدهم أو أتباعهم في الحرب الّتي تقع بينهم وبين الكفّار كما هو ظاهر، وقد حكي عن ظاهر كشف اللّثام</w:t>
      </w:r>
      <w:r>
        <w:rPr>
          <w:rStyle w:val="FootnoteAnchor"/>
          <w:rtl w:val="true"/>
        </w:rPr>
        <w:footnoteReference w:id="801"/>
      </w:r>
      <w:r>
        <w:rPr>
          <w:rFonts w:ascii="Amiri" w:hAnsi="Amiri" w:eastAsia="Amiri" w:cs="Amiri"/>
          <w:color w:val="111111"/>
          <w:sz w:val="28"/>
          <w:sz w:val="28"/>
          <w:szCs w:val="28"/>
          <w:rtl w:val="true"/>
          <w:lang w:bidi="ar-SA"/>
        </w:rPr>
        <w:t>الاتّفاق في خصوص الصّغير والمجنون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أيضاً في جريان الحكم المذكور بين المقتول خطأً أو عمداً، ولا بين مَن داسته خيول المسلمين وغيره، وكذا لو رمته فرسه في نهر أو بئر بسبب جهاد الكفّار، </w:t>
      </w:r>
    </w:p>
    <w:p>
      <w:pPr>
        <w:pStyle w:val="BookText"/>
        <w:rPr/>
      </w:pPr>
      <w:r>
        <w:rPr>
          <w:rFonts w:ascii="Amiri" w:hAnsi="Amiri" w:eastAsia="Amiri" w:cs="Amiri"/>
          <w:color w:val="111111"/>
          <w:sz w:val="28"/>
          <w:sz w:val="28"/>
          <w:szCs w:val="28"/>
          <w:rtl w:val="true"/>
          <w:lang w:bidi="ar-SA"/>
        </w:rPr>
        <w:t>ولا بين من عاد سلاحه إليه فقتله وغيره، ولا بين المقتول بحديد وغيره من خشب أو حجر كما هو ظاهر، كلّ ذلك لإطلاق الأخبار وصدق القتل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رواه في المعتبر في الرّجل الذي أصاب نفسه بسيفه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عدم جريان الحكم على المقتول ظلماً بغير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قُتِل دون نفسه أو ماله أو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 أنّ من قتل دون مظلمة فهو الشّهيد</w:t>
      </w:r>
      <w:r>
        <w:rPr>
          <w:rStyle w:val="FootnoteAnchor"/>
          <w:rtl w:val="true"/>
        </w:rPr>
        <w:footnoteReference w:id="803"/>
      </w:r>
      <w:r>
        <w:rPr>
          <w:rFonts w:ascii="Amiri" w:hAnsi="Amiri" w:eastAsia="Amiri" w:cs="Amiri"/>
          <w:color w:val="111111"/>
          <w:sz w:val="28"/>
          <w:sz w:val="28"/>
          <w:szCs w:val="28"/>
          <w:rtl w:val="true"/>
          <w:lang w:bidi="ar-SA"/>
        </w:rPr>
        <w:t>، ولا الأموات الّذين ورد أنّهم بمنزلة الشّهيد كمَن مات بالبطن أو الطّاعون أو النّفاس</w:t>
      </w:r>
      <w:r>
        <w:rPr>
          <w:rStyle w:val="FootnoteAnchor"/>
          <w:rtl w:val="true"/>
        </w:rPr>
        <w:footnoteReference w:id="804"/>
      </w:r>
      <w:r>
        <w:rPr>
          <w:rFonts w:ascii="Amiri" w:hAnsi="Amiri" w:eastAsia="Amiri" w:cs="Amiri"/>
          <w:color w:val="111111"/>
          <w:sz w:val="28"/>
          <w:sz w:val="28"/>
          <w:szCs w:val="28"/>
          <w:rtl w:val="true"/>
          <w:lang w:bidi="ar-SA"/>
        </w:rPr>
        <w:t>فإنّ ذلك مبالغة في صلاح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مضمرة أبي خالد</w:t>
      </w:r>
      <w:r>
        <w:rPr>
          <w:rStyle w:val="FootnoteAnchor"/>
          <w:rtl w:val="true"/>
        </w:rPr>
        <w:footnoteReference w:id="805"/>
      </w:r>
      <w:r>
        <w:rPr>
          <w:rFonts w:ascii="Amiri" w:hAnsi="Amiri" w:eastAsia="Amiri" w:cs="Amiri"/>
          <w:color w:val="111111"/>
          <w:sz w:val="28"/>
          <w:sz w:val="28"/>
          <w:szCs w:val="28"/>
          <w:rtl w:val="true"/>
          <w:lang w:bidi="ar-SA"/>
        </w:rPr>
        <w:t>من الأمر بغسل الغريق وأكيل السّبع مع أنّه ربّما أُطلق الشّهيد على مثل هؤلاء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الغُسل عن الشّهيد بين كونه جنباً وغيره، وكذا الحائض والنّفساء؛ لعدم وجوب الغُسل على الميّت، ولا يجب على الحي أنْ يغسّله تلك الأغسال، وربّما يحكى عن الإسكافي والسّيّد في شرح الرّسالة وجوب تغسيله غسل الجنابة</w:t>
      </w:r>
      <w:r>
        <w:rPr>
          <w:rStyle w:val="FootnoteAnchor"/>
          <w:rtl w:val="true"/>
        </w:rPr>
        <w:footnoteReference w:id="806"/>
      </w:r>
      <w:r>
        <w:rPr>
          <w:rFonts w:ascii="Amiri" w:hAnsi="Amiri" w:eastAsia="Amiri" w:cs="Amiri"/>
          <w:color w:val="111111"/>
          <w:sz w:val="28"/>
          <w:sz w:val="28"/>
          <w:szCs w:val="28"/>
          <w:rtl w:val="true"/>
          <w:lang w:bidi="ar-SA"/>
        </w:rPr>
        <w:t>، ومستندهما ضعيف</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الحكم بين قتيل المشركين وقتيل أهل البغي، وقد تقدّم وجه ذلك من تعميم الحكم لكلّ مقتول في جهاد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 جملة من الأخبار السّالفة فيمن قتل في الجمل أو صفّين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المعركة ميِّت مسلم وعليه أثر القتل فلا خلاف ظاهراً في سقوط تغسيله، ولو لم يوجد فيه أثر القتل ففيه خلاف، ولعلّ الأقوى السّقوط أيضاً؛ لعدم جواز التّمسّك بالعمومات من حيث كون الشّبهة مصداقية فيرجع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كما لا يغسّل لا يكفّن أيضاً، بل يدفن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جُرِّدَ فالأقوى وجوب تكفينه؛ للعمومات ولم يخرج منها إلّا مَن كان له ثياب فيبقى الباقي داخلاً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رواية أبان بن تغلب</w:t>
      </w:r>
      <w:r>
        <w:rPr>
          <w:rStyle w:val="FootnoteAnchor"/>
          <w:rtl w:val="true"/>
        </w:rPr>
        <w:footnoteReference w:id="809"/>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لأنّه كان 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خبر عمرو بن خالد الأوّل</w:t>
      </w:r>
      <w:r>
        <w:rPr>
          <w:rStyle w:val="FootnoteAnchor"/>
          <w:rtl w:val="true"/>
        </w:rPr>
        <w:footnoteReference w:id="810"/>
      </w:r>
      <w:r>
        <w:rPr>
          <w:rFonts w:ascii="Amiri" w:hAnsi="Amiri" w:eastAsia="Amiri" w:cs="Amiri"/>
          <w:color w:val="111111"/>
          <w:sz w:val="28"/>
          <w:sz w:val="28"/>
          <w:szCs w:val="28"/>
          <w:rtl w:val="true"/>
          <w:lang w:bidi="ar-SA"/>
        </w:rPr>
        <w:t>والفقه الرّضوي</w:t>
      </w:r>
      <w:r>
        <w:rPr>
          <w:rStyle w:val="FootnoteAnchor"/>
          <w:rtl w:val="true"/>
        </w:rPr>
        <w:footnoteReference w:id="811"/>
      </w:r>
      <w:r>
        <w:rPr>
          <w:rFonts w:ascii="Amiri" w:hAnsi="Amiri" w:eastAsia="Amiri" w:cs="Amiri"/>
          <w:color w:val="111111"/>
          <w:sz w:val="28"/>
          <w:sz w:val="28"/>
          <w:szCs w:val="28"/>
          <w:rtl w:val="true"/>
          <w:lang w:bidi="ar-SA"/>
        </w:rPr>
        <w:t>من حلّ كلّ معقود عليه كالسّراويل لم يتعرّض له الأصحاب، والأحوط المحافظة عليه؛ لعدم معارض للخبر المزبور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ولا خلاف في وجوب الصّلاة على الشّهيد كما دلّ عليه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بالنسبة إلى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رواية عمّار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على هاشم المرقال وعمّار بن ياسر</w:t>
      </w:r>
      <w:r>
        <w:rPr>
          <w:rStyle w:val="FootnoteAnchor"/>
          <w:rtl w:val="true"/>
        </w:rPr>
        <w:footnoteReference w:id="812"/>
      </w:r>
      <w:r>
        <w:rPr>
          <w:rFonts w:ascii="Amiri" w:hAnsi="Amiri" w:eastAsia="Amiri" w:cs="Amiri"/>
          <w:color w:val="111111"/>
          <w:sz w:val="28"/>
          <w:sz w:val="28"/>
          <w:szCs w:val="28"/>
          <w:rtl w:val="true"/>
          <w:lang w:bidi="ar-SA"/>
        </w:rPr>
        <w:t xml:space="preserve">متروك، محمول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وهم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ثياب الشّهيد للغير ولم يرضَ بإبقائها تنزع، وكذا إذا كانت للميِّت وكان فيها حقّ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بإبقائها عليه؛ لعدم شمول الأخبار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الشّهيد لا يوجب الغسل؛ لكونه بحكم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الغسل عن الشّهيد على نحو العزيمة لا الرّخصة؛ لظهور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الكفن فإن كان الشّهيد عارياً فقد عرفت وجوب تكفينه، وإن كان عليه ثيابه فلا يبعد جواز تكفينه فوق ثياب الشّهادة، ولا يجوز نزع ثيابه وتكفينه كما يعلم بالتأمّل في مفاد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ولنمسك عنان القلم في تنبيهات المسألة على هذا العدد الميمون المبارك تيمّناً بعدد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أوّلاً وآخراً وله الشّكر وحده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يوم الثلاثاء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9131_76153"/>
      <w:bookmarkStart w:id="714" w:name="pg9131_76153"/>
      <w:bookmarkEnd w:id="714"/>
    </w:p>
    <w:p>
      <w:pPr>
        <w:pStyle w:val="Heading4"/>
        <w:numPr>
          <w:ilvl w:val="3"/>
          <w:numId w:val="1"/>
        </w:numPr>
        <w:rPr/>
      </w:pPr>
      <w:bookmarkStart w:id="715" w:name="pg9131_76153"/>
      <w:bookmarkStart w:id="716" w:name="__RefHeading___Toc2992154_2870459653"/>
      <w:bookmarkStart w:id="717" w:name="_Toc273"/>
      <w:bookmarkEnd w:id="715"/>
      <w:bookmarkEnd w:id="716"/>
      <w:r>
        <w:rPr>
          <w:rtl w:val="true"/>
        </w:rPr>
        <w:t>جواب السُّؤال الأوَّل</w:t>
      </w:r>
      <w:bookmarkEnd w:id="7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هذا ليس من مسائل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السُّؤال الأوَّل</w:t>
      </w:r>
      <w:r>
        <w:rPr>
          <w:rStyle w:val="FootnoteAnchor"/>
          <w:rtl w:val="true"/>
        </w:rPr>
        <w:footnoteReference w:id="813"/>
      </w:r>
      <w:r>
        <w:rPr>
          <w:rFonts w:ascii="Amiri" w:hAnsi="Amiri" w:eastAsia="Amiri" w:cs="Amiri"/>
          <w:color w:val="111111"/>
          <w:sz w:val="28"/>
          <w:sz w:val="28"/>
          <w:szCs w:val="28"/>
          <w:rtl w:val="true"/>
          <w:lang w:bidi="ar-SA"/>
        </w:rPr>
        <w:t>فهو أنَّه لا بُدَّ قبل بيان التَّفصيل في الجهة المسؤول عنها من بيان المسائل الّتي وقعت في السُّؤال، وهي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المراد من الثُّلث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الوصيَّة للمعدوم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الأصل في الوصيَّة بكلا 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 فيقع الكلام فيها في أُمور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بل لا خلاف في أنَّ الثُّلث الّذي تخرج منه الوصايا والتَّصرُّفات المنجَّزة في حال المرض والإقرارات كذلك بناءً على القول بخروجها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هو المختار من خروجها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مجموع ما تركه</w:t>
      </w:r>
      <w:r>
        <w:rPr>
          <w:rStyle w:val="FootnoteAnchor"/>
          <w:rtl w:val="true"/>
        </w:rPr>
        <w:footnoteReference w:id="814"/>
      </w:r>
      <w:r>
        <w:rPr>
          <w:rFonts w:ascii="Amiri" w:hAnsi="Amiri" w:eastAsia="Amiri" w:cs="Amiri"/>
          <w:color w:val="111111"/>
          <w:sz w:val="28"/>
          <w:sz w:val="28"/>
          <w:szCs w:val="28"/>
          <w:rtl w:val="true"/>
          <w:lang w:bidi="ar-SA"/>
        </w:rPr>
        <w:t>من مالٍ عيناً، أو ديناً، أو منفعةً، أو حقّاً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التحجير، وحقّ الخيار،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الشفعة، وحقّ القصاص الّذي كان له، وحقّ الجناية عمديّة أو خطئيَّة؛ باعتبار كونه وليّاً عن المقتول والمجني عليه،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آلت إلى المال، أو بُذل بإزائها مالٌ كان من جملة ما يُخرَج منه الثُّلث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أيضاً أنَّه لا خلاف ولا إشكال في أنَّ المدار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الزيادة أو النقيصة الحادثة في المال من زمان الوصيَّة، أو التَّصرُّف المنجَّز إلى زمان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موجود حين الموت</w:t>
      </w:r>
      <w:r>
        <w:rPr>
          <w:rStyle w:val="FootnoteAnchor"/>
          <w:rtl w:val="true"/>
        </w:rPr>
        <w:footnoteReference w:id="816"/>
      </w:r>
      <w:r>
        <w:rPr>
          <w:rFonts w:ascii="Amiri" w:hAnsi="Amiri" w:eastAsia="Amiri" w:cs="Amiri"/>
          <w:color w:val="111111"/>
          <w:sz w:val="28"/>
          <w:sz w:val="28"/>
          <w:szCs w:val="28"/>
          <w:rtl w:val="true"/>
          <w:lang w:bidi="ar-SA"/>
        </w:rPr>
        <w:t>، لا على ما هو موجود حين الوصيَّة أو التَّصرُّف المنجَّز، ولا على ما هو موجود فيما بينهما وبين زمان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نقص المال عن زمان الوصيَّة وما بحكمها أو زاد لا يلاحظ إلَّا ما هو الموجود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ولا تأمّل لأحدٍ فيه، وإنَّما استشكل من استشكل كالمحقّق والشَّهيد الثَّانيين</w:t>
      </w:r>
      <w:r>
        <w:rPr>
          <w:rStyle w:val="FootnoteAnchor"/>
          <w:rtl w:val="true"/>
        </w:rPr>
        <w:footnoteReference w:id="817"/>
      </w:r>
      <w:r>
        <w:rPr>
          <w:rFonts w:ascii="Amiri" w:hAnsi="Amiri" w:eastAsia="Amiri" w:cs="Amiri"/>
          <w:color w:val="111111"/>
          <w:sz w:val="28"/>
          <w:sz w:val="28"/>
          <w:szCs w:val="28"/>
          <w:rtl w:val="true"/>
          <w:lang w:bidi="ar-SA"/>
        </w:rPr>
        <w:t xml:space="preserve">في مرحلة استكشاف مراد المُوصي إذا أوصى بالثُّلث، وتجدّدت زيادة في المال بعد زمان الوصيَّة،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عنهما</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ذكره الأصحاب من أنَّ المدار في الثُّلث على </w:t>
      </w:r>
    </w:p>
    <w:p>
      <w:pPr>
        <w:pStyle w:val="BookText"/>
        <w:rPr/>
      </w:pPr>
      <w:r>
        <w:rPr>
          <w:rFonts w:ascii="Amiri" w:hAnsi="Amiri" w:eastAsia="Amiri" w:cs="Amiri"/>
          <w:color w:val="111111"/>
          <w:sz w:val="28"/>
          <w:sz w:val="28"/>
          <w:szCs w:val="28"/>
          <w:rtl w:val="true"/>
          <w:lang w:bidi="ar-SA"/>
        </w:rPr>
        <w:t xml:space="preserve">وقت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إنّما يتمّ بغير إشكال لو كانت الوصيَّة بمقدارٍ معيّنٍ كمائةِ دينارٍ، أو بشيءٍ معيَّنٍ كدارٍ معيّنة، أو شِقصٍ منها، أو كانت بجزءٍ مشاع كالثُّلث وكانت التَّركة حين الوصيَّة أزيد منها حال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انعكس أشكل اعتبارها عند الوفاة مع عدم العلم بإرادة الموصي للزيادة المتجدّدة؛ لأصالة عدم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الحال بأنَّ المُوصي لا يريد ثلث المتجدّد حيث لا يكون تجدّده متوقّعاً غالباً، خصوصاً مع زيادته كثيراً</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مقام الاستكشاف وتعيين المراد من وصيّته، وإلّا فلا إشكال لهما في نفوذ الوصيَّة بالثُّلث حتّى من الزّيادة المتجدّدة لو صرّح بإرادتها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لهما أيضاً فيما إذا أوصى بوصيةٍ أُخرى في الفرض الّذي ذكروه في أنّه يجب العمل بها لوفاء الثُّلث حين الموت بها بعد تنزيل الثُّلث المُوصى به أوَّلاً على الثُّلث حين الوصيَّة، فيُصرف الزائد من الثُّلث في الوصيَّة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يدلّك على ذلك تخصيصهما الإشكال بما إذا كانت الوصيَّة بجزء مشاع كالثُّلث دون ما إذا كانت بمقدارٍ معيّنٍ كالمائة دينار، أو شيءٍ معيّنٍ كدارٍ معيّنة، أو شِقصٍ منها؛ فإنَّهما في هذين الفرضين يلاحظان نسبة المُوصى به إلى ثلث المال حين الموت بضمّ الزيادة المتجدّدة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من ذلك أنّه لا إشكال فيما ذُكر بالنّسبة إلى مرحلة الثُّبوت والواقع، وأنَّ المدار في نفوذ الوصيَّة وما بحكمها إنّما هو الثُّلث حين الموت، فتنفُذ فيه إذا كانت بمقداره، زاد أو نقص عن حين الوصيَّة، من دون فرقٍ بين الوصيَّة بمقدارٍ معيّنٍ، أو شيءٍ معيّنٍ، أو جزءٍ مشاعٍ إذا كان الموصي قاصداً للزّيادة المتجدّدة</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أيضاً أنّه لا ينبغي الإشكال في أنّ الزِّيادة الخارجيّة الحاصلة بعد الموت إذا كانت بسبب حقٍّ سابقٍ على الموت حكمها حكم الزِّيادة الحاصلة قبله، وذلك كوقوع الصَّيد في الشَّبكة الّتي نصبها المُوصي، والصُّلح عن حقّ القصاص الثَّابت للمُوصي في زمان حياته، أو عن سائر الحقوق كحقّ الشُّفعة ونحوه، أو الزِّيادة الحاصلة بفسخ المعاملة الخياريّة، والحاصلة بالإقالة،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إذا أبرأه المديون، أو تبرّع أحدٌ بوفاء دَينه، فإنَّ هذه كلّها ممّا يزيد بها ثلث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ومنه ما إذا أوصى له أحدٌ فمات قبل القبول على ما هو المعروف بينهم من أنَّ الوارث يقوم مقامه</w:t>
      </w:r>
      <w:r>
        <w:rPr>
          <w:rStyle w:val="FootnoteAnchor"/>
          <w:rtl w:val="true"/>
        </w:rPr>
        <w:footnoteReference w:id="820"/>
      </w:r>
      <w:r>
        <w:rPr>
          <w:rFonts w:ascii="Amiri" w:hAnsi="Amiri" w:eastAsia="Amiri" w:cs="Amiri"/>
          <w:color w:val="111111"/>
          <w:sz w:val="28"/>
          <w:sz w:val="28"/>
          <w:szCs w:val="28"/>
          <w:rtl w:val="true"/>
          <w:lang w:bidi="ar-SA"/>
        </w:rPr>
        <w:t xml:space="preserve">فيقبل المُوصى به ويأخذه، فإنَّه بعد قبوله يزيد به الثُّلث بناءً على كون ذلك من باب انتقال حقّ القبول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عندهم</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 وتفصيله موكولٌ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المتجدِّد بالموت كدية الخطأ يحسب من التَّركة، فتخرج منه ديونه </w:t>
      </w:r>
    </w:p>
    <w:p>
      <w:pPr>
        <w:pStyle w:val="BookText"/>
        <w:rPr/>
      </w:pPr>
      <w:r>
        <w:rPr>
          <w:rFonts w:ascii="Amiri" w:hAnsi="Amiri" w:eastAsia="Amiri" w:cs="Amiri"/>
          <w:color w:val="111111"/>
          <w:sz w:val="28"/>
          <w:sz w:val="28"/>
          <w:szCs w:val="28"/>
          <w:rtl w:val="true"/>
          <w:lang w:bidi="ar-SA"/>
        </w:rPr>
        <w:t>ويحتسب منه الثُّلث، فتخرج منه وصاياه وما بحكمها من تصرّفاته وأقاريره في حال المرض إنْ قلنا بخروجها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وفاقيّ لا خلاف فيه</w:t>
      </w:r>
      <w:r>
        <w:rPr>
          <w:rStyle w:val="FootnoteAnchor"/>
          <w:rtl w:val="true"/>
        </w:rPr>
        <w:footnoteReference w:id="822"/>
      </w:r>
      <w:r>
        <w:rPr>
          <w:rFonts w:ascii="Amiri" w:hAnsi="Amiri" w:eastAsia="Amiri" w:cs="Amiri"/>
          <w:color w:val="111111"/>
          <w:sz w:val="28"/>
          <w:sz w:val="28"/>
          <w:szCs w:val="28"/>
          <w:rtl w:val="true"/>
          <w:lang w:bidi="ar-SA"/>
        </w:rPr>
        <w:t>، وقد نُقل عليه الإجماع في لسان جمع</w:t>
      </w:r>
      <w:r>
        <w:rPr>
          <w:rStyle w:val="FootnoteAnchor"/>
          <w:rtl w:val="true"/>
        </w:rPr>
        <w:footnoteReference w:id="823"/>
      </w:r>
      <w:r>
        <w:rPr>
          <w:rFonts w:ascii="Amiri" w:hAnsi="Amiri" w:eastAsia="Amiri" w:cs="Amiri"/>
          <w:color w:val="111111"/>
          <w:sz w:val="28"/>
          <w:sz w:val="28"/>
          <w:szCs w:val="28"/>
          <w:rtl w:val="true"/>
          <w:lang w:bidi="ar-SA"/>
        </w:rPr>
        <w:t>، وخلاف ابن إدريس</w:t>
      </w:r>
      <w:r>
        <w:rPr>
          <w:rStyle w:val="FootnoteAnchor"/>
          <w:rtl w:val="true"/>
        </w:rPr>
        <w:footnoteReference w:id="824"/>
      </w:r>
      <w:r>
        <w:rPr>
          <w:rFonts w:ascii="Amiri" w:hAnsi="Amiri" w:eastAsia="Amiri" w:cs="Amiri"/>
          <w:color w:val="111111"/>
          <w:sz w:val="28"/>
          <w:sz w:val="28"/>
          <w:szCs w:val="28"/>
          <w:rtl w:val="true"/>
          <w:lang w:bidi="ar-SA"/>
        </w:rPr>
        <w:t>إنّما هو في دية العمد لا دية الخطأ، وقد صرّح في دية الخطأ بموافقة الأصحاب كما يعلم بمراجعة كلامه في السَّرائر في باب قضاء الدَّين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قبل الإجماع أخبار كثيرة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أوصى لرجلٍ بوصيَّة مقطوعةٍ غير مسمّاة من ماله ثلثاً، أو ربعاً، أو أقل من ذلك، أو أكثر، ثمّ قُتل خطأ</w:t>
      </w:r>
      <w:r>
        <w:rPr>
          <w:rStyle w:val="FootnoteAnchor"/>
          <w:rtl w:val="true"/>
        </w:rPr>
        <w:footnoteReference w:id="825"/>
      </w:r>
      <w:r>
        <w:rPr>
          <w:rFonts w:ascii="Amiri" w:hAnsi="Amiri" w:eastAsia="Amiri" w:cs="Amiri"/>
          <w:color w:val="111111"/>
          <w:sz w:val="28"/>
          <w:sz w:val="28"/>
          <w:szCs w:val="28"/>
          <w:rtl w:val="true"/>
          <w:lang w:bidi="ar-SA"/>
        </w:rPr>
        <w:t>الموصي، فَوُدِيَ، فقضى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تنفذ من ماله وديته كما أوصى</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وخبره الآخر،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هذه الوصيَّة من ميراثه وديته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وتحسن الإشارة إلى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الفقيه عن محمّد بن قيس مضمَراً، 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بنفس سند الكافي عن محمّد بن قيس، عن محمّد بن مسلم مضمِراً 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رجُلٍ أوصى بثلث ماله، ثُمَّ قُتل خطأً،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بثلثه، ثُمَّ قُتل خطأً، فثلث ديّته داخل في وصيّته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موافقة ذلك للقاعدة أيضاً من حيث أنَّ المال المذكور قد استُحقّ بسببه، بل هو عوض عن نفسه كالقيمة للتالف؛ فلذا أدخله الشَّارع في ماله، وعلّق به ديونه، ووصاياه، وما بحكمها من التَّصرُّفات والأقارير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وفاقاً للمشهور، بل رُبَّما حُكي عليه الإجماع</w:t>
      </w:r>
      <w:r>
        <w:rPr>
          <w:rStyle w:val="FootnoteAnchor"/>
          <w:rtl w:val="true"/>
        </w:rPr>
        <w:footnoteReference w:id="830"/>
      </w:r>
      <w:r>
        <w:rPr>
          <w:rFonts w:ascii="Amiri" w:hAnsi="Amiri" w:eastAsia="Amiri" w:cs="Amiri"/>
          <w:color w:val="111111"/>
          <w:sz w:val="28"/>
          <w:sz w:val="28"/>
          <w:szCs w:val="28"/>
          <w:rtl w:val="true"/>
          <w:lang w:bidi="ar-SA"/>
        </w:rPr>
        <w:t>أنّ الدّية المأخوذة في العمد حكمها حكم دية الخطأ في جميع ما ذكر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بأنَّ الثَّابت في العمد أصالة أحد الأمرين من الدّية و</w:t>
      </w:r>
      <w:r>
        <w:rPr>
          <w:rStyle w:val="FootnoteAnchor"/>
          <w:rtl w:val="true"/>
        </w:rPr>
        <w:footnoteReference w:id="831"/>
      </w:r>
      <w:r>
        <w:rPr>
          <w:rFonts w:ascii="IRNazanin" w:hAnsi="IRNazanin" w:eastAsia="IRNazanin"/>
          <w:color w:val="111111"/>
          <w:sz w:val="28"/>
          <w:sz w:val="28"/>
          <w:szCs w:val="28"/>
          <w:rtl w:val="true"/>
          <w:lang w:bidi="fa-IR"/>
        </w:rPr>
        <w:t xml:space="preserve">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يُحكى القول بذلك عن أبي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لأنَّها تكون مالاً ثابتاً بالموت، فتكون كدية الخطأ، سوى أنّ تلك عينيّة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تخييريّة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ما هو الحقّ الموافق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الثَّابت ابتداءً في العمد هو القصاص، وإنَّما الورثة لهم أنْ يصالحوا عن ذلك بالمال مساوياً للدِّية، أو زائداً عليها، أو ناقصاً عنها، فيكون مالاً ثابتاً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فللأخبار الّتي منها ما هو صريح في ذلك، كخبر أبي بصير، 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قُتل عمداً، وصالح أولياؤه قاتله على الدّية، فعلى مَنْ الدّين، على أوليائه من الدّية، أو على إمام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يؤدّوا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دينه من ديته الّتي صالح عليها أولياؤه، فإنَّه أحقّ بديته من غيره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في النسخة الحجرية والمطبوع من الحرفية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الحجرية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وطبعة دار الكتب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ومبلغ الدّية،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وطبعة دار التعارف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وطبعة طهران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الكاشاني في الوافي </w:t>
      </w:r>
      <w:r>
        <w:rPr>
          <w:rFonts w:eastAsia="IRNazanin" w:cs="IRNazanin"/>
          <w:color w:val="111111"/>
          <w:sz w:val="28"/>
          <w:szCs w:val="28"/>
          <w:rtl w:val="true"/>
          <w:lang w:bidi="fa-IR"/>
        </w:rPr>
        <w:t>(</w:t>
      </w:r>
      <w:r>
        <w:rPr>
          <w:rFonts w:eastAsia="IRNazanin" w:cs="IRNazanin"/>
          <w:color w:val="111111"/>
          <w:sz w:val="28"/>
          <w:szCs w:val="28"/>
          <w:lang w:bidi="fa-IR"/>
        </w:rPr>
        <w:t>16/865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الفقيه بإسناده عن محمد بن أسلم، عن علي، عن أبي بصير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لأجل هذا ذكر جمعٌ من الفقهاء أنّه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جواهر الكلام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28/293</w:t>
      </w:r>
      <w:r>
        <w:rPr>
          <w:rFonts w:ascii="Amiri" w:hAnsi="Amiri" w:eastAsia="Amiri" w:cs="Amiri"/>
          <w:color w:val="111111"/>
          <w:sz w:val="28"/>
          <w:sz w:val="28"/>
          <w:szCs w:val="28"/>
          <w:rtl w:val="true"/>
          <w:lang w:bidi="ar-SA"/>
        </w:rPr>
        <w:t>، مُنجزّات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وهناك قولٌ ثالثٌ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عفى الولّي عن القصاص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العلّامة في المختلف إلى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أحد الأمرين من القصاص أو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الكيدري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يُتأمل في نسبة ذلك إليه بملاحظة كلامه في الإصباح، 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الدّية في قتل العمد مع تكامل الشروط الموجبة للقود، فإنْ بذلها القاتل ورضي بها وليُّ الدم جاز ذلك، وسقط حقه من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هو أقرب إلى قول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إصباح الشيعة بمصباح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استعمال متداول وإنْ لم يكن شائعاً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كذا 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رواه الصدوق في الفقيه عن محمّد بن أسلم، عن علي بن أبي حمزة، عن أبي الحسن موسى بن</w:t>
      </w:r>
    </w:p>
    <w:p>
      <w:pPr>
        <w:pStyle w:val="BookText"/>
        <w:rPr/>
      </w:pPr>
      <w:r>
        <w:rPr>
          <w:rFonts w:ascii="IRNazanin" w:hAnsi="IRNazanin" w:eastAsia="IRNazanin"/>
          <w:color w:val="111111"/>
          <w:sz w:val="28"/>
          <w:sz w:val="28"/>
          <w:szCs w:val="28"/>
          <w:rtl w:val="true"/>
          <w:lang w:bidi="fa-IR"/>
        </w:rPr>
        <w:t>ومنها ما هو ظاهر فيه، كرواية عبد الحميد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وعليه دينٌ، ولم يترك مالاً، وأخذ أهلُه الدّية من قاتله، أعليهم أنْ يقضوا الدَّين؟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يترك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أخذوا الدّية فعليهم أنْ يقضوا الدَّين</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هذا، وقد ذكر جماعةٌ من الفقهاء الحديث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يقاربها من صيغة الشرط، ويغلب الظن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ناظراً إلى تلك المتون الفقهيّة؛ ولا يخفى أنّ الاستدلال مبنيٌ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مستند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جواهر الكلام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بلغة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منجّزات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يحيى الأزرق،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وعليه دين ولم يترك مالاً، وأخذ أهله الدّية</w:t>
      </w:r>
      <w:r>
        <w:rPr>
          <w:rStyle w:val="FootnoteAnchor"/>
          <w:rtl w:val="true"/>
        </w:rPr>
        <w:footnoteReference w:id="833"/>
      </w:r>
      <w:r>
        <w:rPr>
          <w:rFonts w:ascii="Amiri" w:hAnsi="Amiri" w:eastAsia="Amiri" w:cs="Amiri"/>
          <w:color w:val="111111"/>
          <w:sz w:val="28"/>
          <w:sz w:val="28"/>
          <w:szCs w:val="28"/>
          <w:rtl w:val="true"/>
          <w:lang w:bidi="ar-SA"/>
        </w:rPr>
        <w:t>من قاتله، أعليهم أنْ يقضوا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 </w:t>
      </w:r>
    </w:p>
    <w:p>
      <w:pPr>
        <w:pStyle w:val="BookText"/>
        <w:rPr/>
      </w:pPr>
      <w:r>
        <w:rPr>
          <w:rFonts w:ascii="Amiri" w:hAnsi="Amiri" w:eastAsia="Amiri" w:cs="Amiri"/>
          <w:color w:val="111111"/>
          <w:sz w:val="28"/>
          <w:sz w:val="28"/>
          <w:szCs w:val="28"/>
          <w:rtl w:val="true"/>
          <w:lang w:bidi="ar-SA"/>
        </w:rPr>
        <w:t>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ظاهران في العمد من حيث إنّ دية الخطأ إنّما تؤخذ من العصبة، لا من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شبيه العمد الّذي حكمه حكم الخطأ في ثبوت الدّية يؤخذ فيه الدّية من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الاستدلال بترك الاستفصال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أخذوا الدّية فعليهم أنْ يقضوا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كالصَّريح في الدّية العمديّة،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التَّفصيل وأنّ هناك شيئاً آخر، فهو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يأخذوا الدّية بل استوفوا حقّ القصاص فليس عليهم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هناك شيئاً آخر كان يمكن أخذه، وأنّهم لو أخذوه لما كان عليهم قضاء الدَّين، وليس هو إلَّا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الأخبار وإنْ كانت خاصَّة في الدَّين إلَّا أنَّ الظَّاهر أنّ ذلك إنَّما هو من حيث الحكم بكونها من أمواله، فيجري عليها جميع الأحكام حتّى الوصايا وما بحكمها، كما يعطيه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أحقّ بديته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 يستفاد أنّ الحكم في الدّية العمديّة على مقتضى القاعدة أيضاً؛ فإنَّها عوض نفس المقتول فتكون له أوّلاً، ثُمَّ تنتقل منه إلى ورثته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تطابقت النُّصوص والفتاوى على كونها بعد الصلح إرثاً، يرثها كلّ مناسب </w:t>
      </w:r>
    </w:p>
    <w:p>
      <w:pPr>
        <w:pStyle w:val="BookText"/>
        <w:rPr/>
      </w:pPr>
      <w:r>
        <w:rPr>
          <w:rFonts w:ascii="Amiri" w:hAnsi="Amiri" w:eastAsia="Amiri" w:cs="Amiri"/>
          <w:color w:val="111111"/>
          <w:sz w:val="28"/>
          <w:sz w:val="28"/>
          <w:szCs w:val="28"/>
          <w:rtl w:val="true"/>
          <w:lang w:bidi="ar-SA"/>
        </w:rPr>
        <w:t>ومسابب وإنْ كان ممّن لا يرث حقّ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إسحاق أنّ رسول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فإنَّ الحكم بكونها ميراثاً يقضي باحتسابها من التَّركة المفروض كون ثلثها للميّت، فتمضي فيه وصاياه وما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الإجماع والنُّصوص أمكن أنْ يُقال باختصاصها بالميّت حتّى في دية الخطأ، من حيث إنّها عوض عن نفسه لم تكن له قبل موته، فليست من متروكاته ليرث الورثة منها، ولازم ذلك صرفها في مصارفه أو التَّصدّق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دية الجناية عليه بعد الموت كقطع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فيه مائة دينار على ما دلّت عليه جملة من الأخبار</w:t>
      </w:r>
      <w:r>
        <w:rPr>
          <w:rStyle w:val="FootnoteAnchor"/>
          <w:rtl w:val="true"/>
        </w:rPr>
        <w:footnoteReference w:id="836"/>
      </w:r>
      <w:r>
        <w:rPr>
          <w:rFonts w:ascii="Amiri" w:hAnsi="Amiri" w:eastAsia="Amiri" w:cs="Amiri"/>
          <w:color w:val="111111"/>
          <w:sz w:val="28"/>
          <w:sz w:val="28"/>
          <w:szCs w:val="28"/>
          <w:rtl w:val="true"/>
          <w:lang w:bidi="ar-SA"/>
        </w:rPr>
        <w:t>، والجناية على سائر أطرافه بما يوجب الدّية، أو الأرش على ما ذكروه في باب الديات</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عليها حكم الإرث، بل هي للميّت يُحجّ بها عنه، أو يُتصدّق بها عنه؛ وذلك للأخبار الدَّالّة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مرسل محمّد بن الصباح،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سُئِلَ عن أنّها لمن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لورثته فيها شيء، إنَّما هذا شيءٌ صار إليه في بدنه بعد موته يُحجُّ بها عنه، أو يُتصدّق بها عنه، أو يُصرف في سبيل من سبل الخير</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الاستبصار فيما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الحديث بألفاظٍ مختلفةٍ يسيراً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 سليمان</w:t>
      </w:r>
      <w:r>
        <w:rPr>
          <w:rStyle w:val="FootnoteAnchor"/>
          <w:rtl w:val="true"/>
        </w:rPr>
        <w:footnoteReference w:id="839"/>
      </w:r>
      <w:r>
        <w:rPr>
          <w:rFonts w:ascii="IRNazanin" w:hAnsi="IRNazanin" w:eastAsia="IRNazanin"/>
          <w:color w:val="111111"/>
          <w:sz w:val="28"/>
          <w:sz w:val="28"/>
          <w:szCs w:val="28"/>
          <w:rtl w:val="true"/>
          <w:lang w:bidi="fa-IR"/>
        </w:rPr>
        <w:t xml:space="preserve">بن خالد الطَّويل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الحكم بأنَّ في قطع رأس الميّت مائة دينار، وأنَّه مثل دية الجنين في بطن أُمّه وأنَّ دية الجنين لورثته،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إذا قطع رأسه، أو شقّ بطنه فليس لورثته، إنّما هي له دون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الفرق بينهما؟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الجنين مستقبل مرجوّ نفعه، وأنّ هذا قد مضى وذهبت منفعته، فلمّا فُعل به بعد موته صارت ديته بتلك المُثلة له، لا لغيره، يُحجّ بها عنه، أو يُفعل بها من أبواب الخير والبرّ صدقة، أو غيرها</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هذا، وقد نُقل الحديث في الأصل باختصارٍ وتصرّفٍ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بهما الأصحاب بل عن الخلاف</w:t>
      </w:r>
      <w:r>
        <w:rPr>
          <w:rStyle w:val="FootnoteAnchor"/>
          <w:rtl w:val="true"/>
        </w:rPr>
        <w:footnoteReference w:id="841"/>
      </w:r>
      <w:r>
        <w:rPr>
          <w:rFonts w:ascii="Amiri" w:hAnsi="Amiri" w:eastAsia="Amiri" w:cs="Amiri"/>
          <w:color w:val="111111"/>
          <w:sz w:val="28"/>
          <w:sz w:val="28"/>
          <w:szCs w:val="28"/>
          <w:rtl w:val="true"/>
          <w:lang w:bidi="ar-SA"/>
        </w:rPr>
        <w:t>والغنية</w:t>
      </w:r>
      <w:r>
        <w:rPr>
          <w:rStyle w:val="FootnoteAnchor"/>
          <w:rtl w:val="true"/>
        </w:rPr>
        <w:footnoteReference w:id="842"/>
      </w:r>
      <w:r>
        <w:rPr>
          <w:rFonts w:ascii="Amiri" w:hAnsi="Amiri" w:eastAsia="Amiri" w:cs="Amiri"/>
          <w:color w:val="111111"/>
          <w:sz w:val="28"/>
          <w:sz w:val="28"/>
          <w:szCs w:val="28"/>
          <w:rtl w:val="true"/>
          <w:lang w:bidi="ar-SA"/>
        </w:rPr>
        <w:t>أنّ عليه الإجماع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المرتضى</w:t>
      </w:r>
      <w:r>
        <w:rPr>
          <w:rStyle w:val="FootnoteAnchor"/>
          <w:rtl w:val="true"/>
        </w:rPr>
        <w:footnoteReference w:id="843"/>
      </w:r>
      <w:r>
        <w:rPr>
          <w:rFonts w:ascii="Amiri" w:hAnsi="Amiri" w:eastAsia="Amiri" w:cs="Amiri"/>
          <w:color w:val="111111"/>
          <w:sz w:val="28"/>
          <w:sz w:val="28"/>
          <w:szCs w:val="28"/>
          <w:rtl w:val="true"/>
          <w:lang w:bidi="ar-SA"/>
        </w:rPr>
        <w:t>والحلّي</w:t>
      </w:r>
      <w:r>
        <w:rPr>
          <w:rStyle w:val="FootnoteAnchor"/>
          <w:rtl w:val="true"/>
        </w:rPr>
        <w:footnoteReference w:id="844"/>
      </w:r>
      <w:r>
        <w:rPr>
          <w:rFonts w:ascii="Amiri" w:hAnsi="Amiri" w:eastAsia="Amiri" w:cs="Amiri"/>
          <w:color w:val="111111"/>
          <w:sz w:val="28"/>
          <w:sz w:val="28"/>
          <w:szCs w:val="28"/>
          <w:rtl w:val="true"/>
          <w:lang w:bidi="ar-SA"/>
        </w:rPr>
        <w:t xml:space="preserve">أنّها تكون لبيت المال، ورُبَّما يستدلّ لهما بخبر </w:t>
      </w:r>
    </w:p>
    <w:p>
      <w:pPr>
        <w:pStyle w:val="BookText"/>
        <w:rPr/>
      </w:pPr>
      <w:r>
        <w:rPr>
          <w:rFonts w:ascii="IRNazanin" w:hAnsi="IRNazanin" w:eastAsia="IRNazanin"/>
          <w:color w:val="111111"/>
          <w:sz w:val="28"/>
          <w:sz w:val="28"/>
          <w:szCs w:val="28"/>
          <w:rtl w:val="true"/>
          <w:lang w:bidi="fa-IR"/>
        </w:rPr>
        <w:t xml:space="preserve">إسحاق بن عمّار،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يأخذ ديته؟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هذا لله</w:t>
      </w:r>
      <w:r>
        <w:rPr>
          <w:rFonts w:eastAsia="IRNazanin" w:cs="IRNazanin"/>
          <w:color w:val="111111"/>
          <w:sz w:val="28"/>
          <w:szCs w:val="28"/>
          <w:rtl w:val="true"/>
          <w:lang w:bidi="fa-IR"/>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عقوبةُ جناية لا دليل على تعيّن مصرفها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مقاومة له على معارضة تلك الأخبار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حمله على الدَّفع إلى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ليصرفه في مصارف الميّت وإنْ كان بعيداً مخالفاً لظاهره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مصرفه بمقتضى الأخبار السَّالفة فالعمل بها متعيّن، وحينئذ فمقتضى القاعدة وجوب قضاء ديونه وإنفاذ وصاياه وما بحكمها منها؛ لأنَّ المفروض ثبوت كون الدّية المذكورة له، ولا ريب في تقدّم هذه الأُمور على الصَّدقة، وسائر وجوه البرّ كما هو واضح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الثُّلث شائع في تمام التَّركة ولو كانت الوصيَّة وما بحكمها في خصوص عين معيّنة، فإنَّه لا يتعيَّن الثُّلث فيها بحيث يخرج عن الإشاعة؛ فإنَّ عدم جواز التَّعدّي عن تلك العين لا يوجب القسمة القهريَّة بين الميّت والوارث فلا يُخرَج عنها إلَّا بالقسمة، ولازم ذلك أنَّه لو نقصت بعد الموت وقبل القسمة، أو زادت كذلك بالنّماء، أو ارتفاع القيمة السُّوقية كان ذلك جارياً في الجميع قضاءً لما توجبه الإشاعة ولو كان النُّقصان أو الزّيادة مختصّاً في سائر الأعيان ممّا عدا المُوصى به، أو كان ثابتاً فيه </w:t>
      </w:r>
    </w:p>
    <w:p>
      <w:pPr>
        <w:pStyle w:val="BookText"/>
        <w:rPr/>
      </w:pPr>
      <w:r>
        <w:rPr>
          <w:rFonts w:ascii="Amiri" w:hAnsi="Amiri" w:eastAsia="Amiri" w:cs="Amiri"/>
          <w:color w:val="111111"/>
          <w:sz w:val="28"/>
          <w:sz w:val="28"/>
          <w:szCs w:val="28"/>
          <w:rtl w:val="true"/>
          <w:lang w:bidi="ar-SA"/>
        </w:rPr>
        <w:t>دونها؛ وذلك لأنّّ الثُّلث المشاع بالفرض يزيد وينقص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المُوصى به خارجاً من الثُّلث حين الموت فنقصت التَّركة قبل القسمة بحيث لا يخرج منه بعد ذلك لا يحكم بنفوذه وإنْ كان محلّه معيّناً،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إذا كانت بعين معيَّنة فلا إشكال في أنَّ النَّقص الحاصل في المال بعد الموت وقبل القسمة المؤثّر في نقصان الثُّلث لا يؤثّر في نقصان الموصى به إذا كان الثُّلث بعد نقصانه وافياً به، كما لا إشكال في تأثيره في ذلك لو كانت الوصيَّة بحصّة مشاعة كربع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الثُّلث بعد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التَّلف الحاصل بعد الموت وقبل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بربع المال حين الوصيَّة، أو حين الموت لم يجب إنفاذه؛ لورود النَّقص على المُوصى به المفروض إشاعته بالنّسبة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فيما لو كانت الوصيَّة بمقدار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يرد النَّقص عليه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كونه من قبيل الكلّي في المعيّن، أو أنَّه منزَّل على الكسر المُشاع، فتكون الوصيَّة بالمائة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الإيصاء بربع المال لو فرض كونه أربعمائة، أقواهما الأوَّل، كما هو الحقّ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وجوب الإنفاذ ما دام الثُّلث وافياً به ولو طرأ النُّقصان عليه بسبب نقصان المال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على ما ذكره الأصحاب كالمحقّق في الشَّرائع</w:t>
      </w:r>
      <w:r>
        <w:rPr>
          <w:rStyle w:val="FootnoteAnchor"/>
          <w:rtl w:val="true"/>
        </w:rPr>
        <w:footnoteReference w:id="847"/>
      </w:r>
      <w:r>
        <w:rPr>
          <w:rFonts w:ascii="Amiri" w:hAnsi="Amiri" w:eastAsia="Amiri" w:cs="Amiri"/>
          <w:color w:val="111111"/>
          <w:sz w:val="28"/>
          <w:sz w:val="28"/>
          <w:szCs w:val="28"/>
          <w:rtl w:val="true"/>
          <w:lang w:bidi="ar-SA"/>
        </w:rPr>
        <w:t>والشَّهيد في اللُّمعة</w:t>
      </w:r>
      <w:r>
        <w:rPr>
          <w:rStyle w:val="FootnoteAnchor"/>
          <w:rtl w:val="true"/>
        </w:rPr>
        <w:footnoteReference w:id="848"/>
      </w:r>
      <w:r>
        <w:rPr>
          <w:rFonts w:ascii="Amiri" w:hAnsi="Amiri" w:eastAsia="Amiri" w:cs="Amiri"/>
          <w:color w:val="111111"/>
          <w:sz w:val="28"/>
          <w:sz w:val="28"/>
          <w:szCs w:val="28"/>
          <w:rtl w:val="true"/>
          <w:lang w:bidi="ar-SA"/>
        </w:rPr>
        <w:t>وغيرهما</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المدار في الثُّلث على وقت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ينطبق على ما </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ينقص بالتَّلف الحاصل قبل القسمة وبعد الوفاة، وقد يزيد بالنّماء المتجدّد، أو ارتفاع القيمة، أو أخذ الدّية الخطئيَّة، أو العمديّة، أو قبول الوارث للوصيّة لمورّثه إذا مات بعد موت الموصي الأوّل وقبل قبوله، وغير ذلك من الزّيادات الخارجيَّة الحاصلة بعد الموت إذا كانت بسبب حقّ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تفاصيلها في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فيلزم جعل المدار فيه على وقت القسمة مع الوارث، ووقت حصول تلك الزِّيادات المذكورة، لا وقت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هذا الإشكال الشَّهيد الثَّاني</w:t>
      </w:r>
      <w:r>
        <w:rPr>
          <w:rStyle w:val="FootnoteAnchor"/>
          <w:rtl w:val="true"/>
        </w:rPr>
        <w:footnoteReference w:id="850"/>
      </w:r>
      <w:r>
        <w:rPr>
          <w:rFonts w:ascii="Amiri" w:hAnsi="Amiri" w:eastAsia="Amiri" w:cs="Amiri"/>
          <w:color w:val="111111"/>
          <w:sz w:val="28"/>
          <w:sz w:val="28"/>
          <w:szCs w:val="28"/>
          <w:rtl w:val="true"/>
          <w:lang w:bidi="ar-SA"/>
        </w:rPr>
        <w:t xml:space="preserve">والمحقّق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 بأحد 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 كلامهم مبنيّاً على الغالب من عدم تغيّر الثُّلث عن حال الوفاة، لا زيادة ولا نقصاً، وبقاء تركة الميّت على حالها الّتي كانت عليه حين الوفاة إلى حين القسمة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بأنَّه مسوق للردّ على بعض الشَّافعية القائل بكون العبرة بوقت الوصيَّة</w:t>
      </w:r>
      <w:r>
        <w:rPr>
          <w:rStyle w:val="FootnoteAnchor"/>
          <w:rtl w:val="true"/>
        </w:rPr>
        <w:footnoteReference w:id="852"/>
      </w:r>
      <w:r>
        <w:rPr>
          <w:rFonts w:ascii="Amiri" w:hAnsi="Amiri" w:eastAsia="Amiri" w:cs="Amiri"/>
          <w:color w:val="111111"/>
          <w:sz w:val="28"/>
          <w:sz w:val="28"/>
          <w:szCs w:val="28"/>
          <w:rtl w:val="true"/>
          <w:lang w:bidi="ar-SA"/>
        </w:rPr>
        <w:t>، فيكون إطلاق كلامهم مسوقاً لبيان أمر آخر، فلا يؤخذ به خصوصاً، وقد صرّح بعضُ من عبَّر بتلك العبارة وما شابهها بجملةٍٍ من تلك الأحكام الّتي ذكرناها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حُكي عن الدُّروس</w:t>
      </w:r>
      <w:r>
        <w:rPr>
          <w:rStyle w:val="FootnoteAnchor"/>
          <w:rtl w:val="true"/>
        </w:rPr>
        <w:footnoteReference w:id="85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الثُّلث حين الوفاة، لا حين الوصيَّة، ولا ما بينهما، ولا ما بعد الوفاة؛ لأنَّه الوقت الّذي تنتقل فيه التَّركة إلى الوارث</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أشكل تأتّي التَّوجيه فيه بحيث ينطبق على ما ذكرناه،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إشكال المحقّق الثاني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الوصيَّة بالجزء المشاع كالثُّلث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خروجه من مجموع المال، حتّى الزّيادة المتجدّدة قبل الموت وبعد الوصيَّة الرّاجع إلى مرحلة استكشاف مراد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في الحدائق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الوصيَّة دخول هذا الفرد وهذه الزّيادة المتجدّدة، خصوصاً إذا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رُبَّما يتوهّم عدم انصراف الإطلاق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للمُوصي وقت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بوقت الوفاة، فعدم العدول عن الوصيَّة السَّابقة على ذلك مع علمه ومعرفته بهذه الزّيادة يقتضي العمل بإطلاق الوصيَّة ودخول هذا الفرد فيها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حسناً لكن يمكن الجواب بنحو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المفهوم عرفاً من الوصيَّة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مصداقه عند الموت الّذي هو محلّ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 مصداقه قبله لا يقتضي تقييد ذلك به إلَّا أنْ يفرض قيام القرائن على إرادة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كلّا ً من الجوابين لا ينفع بالنّسبة إلى الزِّيادة الخارجيّة المتجدّدة </w:t>
      </w:r>
    </w:p>
    <w:p>
      <w:pPr>
        <w:pStyle w:val="BookText"/>
        <w:rPr/>
      </w:pPr>
      <w:r>
        <w:rPr>
          <w:rFonts w:ascii="Amiri" w:hAnsi="Amiri" w:eastAsia="Amiri" w:cs="Amiri"/>
          <w:color w:val="111111"/>
          <w:sz w:val="28"/>
          <w:sz w:val="28"/>
          <w:szCs w:val="28"/>
          <w:rtl w:val="true"/>
          <w:lang w:bidi="ar-SA"/>
        </w:rPr>
        <w:t xml:space="preserve">بعد الموت كالدّية بقسميها، مع أنَّ الأخبار السَّالفة في الدّية الخطئيّة صرّحت بخروج الثُّلث منها فيما إذا كانت الوصيَّة بالجزء المشاع كالثُّلث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توجيه ذلك من دعوى الظُّهور العرفي في مثل ذلك بإرادة ثلثِ كلّما يثبت له من المال ولو فيما بعد الموت، كما هو ليس بالبعيد،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المراد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يستكشف انتفاء الإجماع من خلافهم في المراد من الثُّلث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أراد بذلك الإشارة إلى إشكال الشَّهيد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الثّانيين</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بالنّسبة إلى الزّيادة المتجدّدة بعد الوصيَّة وقبل الموت،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خالفا في ذلك وقالا بعدم نفوذ الوصيَّة بالثُّلث فيها من حيث حدوثها بعد الوصيَّة فكأنّهما يقولان بعدم نفوذ الوصيَّة في المال المتجدّد بعدها، وأنَّها لا تنفذ إلَّا في المال الموجود حينها، فيلزمهما القول بعدم صحّة الوصاية بالولاية على من تجدّد بعدها من الأولاد، وأنَّها لا تصحّ إلَّا فيمن كان موجوداً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إشكالهما، أو خلافهما إنَّما هو في مرحلة استكشاف مراد المُوصي،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وصيّته للزّيادة المتجدّدة، وإلّا فلو صرّح بإرادة ذلك، أو دلّت القرائن عليه فلا إشكال لهما ولا لغيرهما بالصّحّة والنّفوذ كما عرفت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الإشارة بذلك إلى ما ربّما استُظهر من كلام مَنْ جعل المدار في الثُّلث على وقت الوفاة؛ حيث يظهر منه عدم النفوذ في المال المتجدّد بعد الوفاة كالدّية بقسميها وما شابهها،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خالفوا في ذلك وحكموا بعدم النفوذ للوصيَّة في المال المتجدّد بعد الموت ولو صُرّح بإرادة إخراج الثُّلث منه فيلزمهم الخلاف في الوصاية </w:t>
      </w:r>
    </w:p>
    <w:p>
      <w:pPr>
        <w:pStyle w:val="BookText"/>
        <w:rPr/>
      </w:pPr>
      <w:r>
        <w:rPr>
          <w:rFonts w:ascii="Amiri" w:hAnsi="Amiri" w:eastAsia="Amiri" w:cs="Amiri"/>
          <w:color w:val="111111"/>
          <w:sz w:val="28"/>
          <w:sz w:val="28"/>
          <w:szCs w:val="28"/>
          <w:rtl w:val="true"/>
          <w:lang w:bidi="ar-SA"/>
        </w:rPr>
        <w:t xml:space="preserve">بالولاية على من يتجدّد من الأولاد بعد موت الموصي ولو قامت القرينة على إرادة التَّعميم لهم، وذلك يتصوّر فيما إذا كانت الوصاية من الجدّ؛ لانحصار الولاية به من حيث انتفائها عن الأب برقٍّ، أو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فساد هذا الاستظهار، فإنَّ كلامهم إمَّا مبنيّ على الغالب، أو مسوق لبيان حكم آخر، وإلّا فهم مصرّحون بنفوذ الوصيَّة من الدّية بقسميها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الإشارة بذلك إلى خلاف ابن إدريس في الدّية العمديّة؛ حيث صرّح بعدم إخراج ديون الميّت منها، ويلزمه عدم نفوذ الوصيَّة فيها بالأَولى، فيُستكشف خلافه بالوصاية بالولاية بالنسبة إلى من تجدّد بعدها من الأولاد بالتَّقريب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خلافه في ذلك ليس من جهة أنَّها مالٌ تجدّد للميّت بعد الموت فلا تنفذ الوصيَّة فيه، بل من جهة دعوى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مالاً للميّت، وإنَّما هي مالٌ للورثة استحقّوه بالصّلح عن حقّ القصاص الثَّابت لهم؛ ولهذا صرّح بعدم خروج الدّيون منه، مع أنَّ الدَّين لا يفرّق فيه بين المال الطَّريف</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المستحدث المُفاد الآن في طرف زمن قد مضى، وهو خلاف التالد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يقال للمال طريف فيما لو كان مستحدثاً عند صاحبه اكتسبه في طرفِ زمانٍ مضى من دون أن يكون قديماً عنده أو ورثه، قالوا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مالي من طريف وتالد لغيري وكان المال بالأمس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7/415</w:t>
      </w:r>
      <w:r>
        <w:rPr>
          <w:rFonts w:ascii="Amiri" w:hAnsi="Amiri" w:eastAsia="Amiri" w:cs="Amiri"/>
          <w:color w:val="111111"/>
          <w:sz w:val="28"/>
          <w:sz w:val="28"/>
          <w:szCs w:val="28"/>
          <w:rtl w:val="true"/>
          <w:lang w:bidi="ar-SA"/>
        </w:rPr>
        <w:t>، الصحاح تاج اللغة وصحاح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4/1494</w:t>
      </w:r>
      <w:r>
        <w:rPr>
          <w:rFonts w:ascii="Amiri" w:hAnsi="Amiri" w:eastAsia="Amiri" w:cs="Amiri"/>
          <w:color w:val="111111"/>
          <w:sz w:val="28"/>
          <w:sz w:val="28"/>
          <w:szCs w:val="28"/>
          <w:rtl w:val="true"/>
          <w:lang w:bidi="ar-SA"/>
        </w:rPr>
        <w:t>،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والتالد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الأصلي الّذي وُلد عندك ولم يُكتسب، أو الّذي يُورث عن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الصحاح تاج اللغة وصحاح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متى ثبت</w:t>
      </w:r>
    </w:p>
    <w:p>
      <w:pPr>
        <w:pStyle w:val="BookText"/>
        <w:rPr/>
      </w:pPr>
      <w:r>
        <w:rPr>
          <w:rFonts w:ascii="Amiri" w:hAnsi="Amiri" w:eastAsia="Amiri" w:cs="Amiri"/>
          <w:color w:val="111111"/>
          <w:sz w:val="28"/>
          <w:sz w:val="28"/>
          <w:szCs w:val="28"/>
          <w:rtl w:val="true"/>
          <w:lang w:bidi="ar-SA"/>
        </w:rPr>
        <w:t>كونه مالاً للميّت وجب إخراج الدَّين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ذلك أيضاً أنَّه صرّح بخروج الدَّين من دية الخطأ الّذي يلزمه خروج الوصيَّة أيضاً منها، مع أنَّها إنَّما تجدّد استحقاقها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لك كلامه في هذا الباب ليتّضح 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في باب قضاء الدَّين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الّذي حاصله التَّسوية بين الدِّية بقسميها في وفاء الدَّين منها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أُصول مذهبنا وما عليه إجماع طائفتنا أنّ قتل العمد المحض موجبه القود فحسب دون المال، والله تعالى قال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860"/>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جَعَلْنَا لِوَلِيِّهِ سُلْطَاناً</w:t>
      </w:r>
      <w:r>
        <w:rPr>
          <w:rStyle w:val="FootnoteAnchor"/>
          <w:rtl w:val="true"/>
        </w:rPr>
        <w:footnoteReference w:id="861"/>
      </w:r>
      <w:r>
        <w:rPr>
          <w:rFonts w:ascii="Amiri" w:hAnsi="Amiri" w:eastAsia="Amiri" w:cs="Amiri"/>
          <w:color w:val="111111"/>
          <w:sz w:val="28"/>
          <w:sz w:val="28"/>
          <w:szCs w:val="28"/>
          <w:rtl w:val="true"/>
          <w:lang w:bidi="ar-SA"/>
        </w:rPr>
        <w:t>، ولا يُرجَع عن هذه الأدلّة بأخبار الآحاد الّتي لا توجب علماً ولا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يُخصَّ ما ورد من الأخبار بقتل الخطأ؛ لأنَّ قتل الخطأ يوجب المال بغير خلاف دون القود، فكأنَّما الميّت خلّف مالاً واستُحِقّ بسببه مالٌ فيُقضى به دينه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قتل العمد المحض فإنَّه يوجب القود دون المال فكأنَّ الميّت ما خلّف مالاً ولا يُستحقّ بسببه مال، فإنْ عَفَتْ الورثة واصطلح القاتل والورثة على مالٍ فإنَّهم </w:t>
      </w:r>
    </w:p>
    <w:p>
      <w:pPr>
        <w:pStyle w:val="BookText"/>
        <w:rPr/>
      </w:pPr>
      <w:r>
        <w:rPr>
          <w:rFonts w:ascii="Amiri" w:hAnsi="Amiri" w:eastAsia="Amiri" w:cs="Amiri"/>
          <w:color w:val="111111"/>
          <w:sz w:val="28"/>
          <w:sz w:val="28"/>
          <w:szCs w:val="28"/>
          <w:rtl w:val="true"/>
          <w:lang w:bidi="ar-SA"/>
        </w:rPr>
        <w:t>استحقّوه بفعلهم وعفوهم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الخطأ ما استحقّوه بعفوهم، بل بسبب الميّت؛ لأنَّهم لا يستحقّون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العمد المحض استحقّوا القود دون المال، فمن أبطله عليهم ودفعه عنهم فقد أبطل سلطانهم الّذي جعله الله لهم وخالف ظاهر التَّنزيل، وأبطل القود إذا لم يُؤدّوا إلى صاحب الدَّين الدّية، وأسقطوا اللّطف الّذي هو الزجر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لأنَّ من عَلِمَ أنَّه يُقتل إذا قَتل كفّ عن القتل، فحيي هو ومن يريد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فصاحب الدَّين لا يستحقّ إلَّا ما خلَّفه الميّت من الأموال وكان مملوكاً له في حياته، أو مالاً مستحقّاً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قلناه في قتل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الإجماع والأخبار على قتل الخطأ؛ لأنَّ موجبه المال، وقتل العمد المحض لا مال، ولا موجبه المال، فمِنْ أين يستحقّ صاحب الدَّين المال، ويمنع من القود حتّى يأخذ المال</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وكلامه هذا كما ترى ظاهر أشدّ الظُّهور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الإشارة بذلك إلى خلاف المرتضى والحلّي في دية الجناية عليه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قطع رأسه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الوجه في الملازمة بين خلافهم في ذلك وخلافهم في مسألة الوصاية هو الوجه الّذي مرّ تقريبه في الدّية العمديّة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بداهة أنَّ خلافهما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إنكار كون الدّية المزبورة للميّت، بل هي لبيت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التزما بعدم وفاء ديونه منها، فليس خلافهما من جهة أنَّه مالٌ متجدّد بعد الوصيَّة فلا تنفذ فيه، ليستكشف منه الخلاف في الوصاية بالولاية لمن تجدَّد بعدها من 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الوصيَّة للمعدوم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أنْ تكون تمليكيَّة، أو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المقصود فيها التَّمليك حال عدمه، فبعد وجوده يستكشف ملكيّته من حين العدم، فالنَّماءات الحاصلة وقت عدمه كلّها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المقصود ملكيّته حال الوجود كما في الوقف بالنّسبة إلى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والعهديّة الّتي لا يُقصد فيها إنشاء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فيها إنشاء الاستنابة، أو لا، بل يَعهد في إعطاء شيءٍ، أو وقفه، أو نحو ذلك لمن يتولّد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قُصد فيها إنشاء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ثبوتها له حال عدمه، وإمّا أنْ يُقصد ثبوتها له على تقدير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التَّسالم على بطلان الوصيَّة للمعدوم على الإطلاق</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 في الجواهر أنَّ إطلاقهم غير ناظر إلى العهديّة بمعنى العهد في إعطاء شيء، أو وقفه لمن يوجد بعد ذلك، بقرينة عدم تأتّي استدلالهم على البطلان بالنّسبة إليه</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بالبطلان في الوصيَّة التَّمليكيّة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الوجود، فلو كان معدوماً لم تصحّ الوصيَّة له،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أوصى لميّتٍ، أو لَمِنْ ظنّ وجوده فبان ميّتاً عند </w:t>
      </w:r>
    </w:p>
    <w:p>
      <w:pPr>
        <w:pStyle w:val="BookText"/>
        <w:rPr/>
      </w:pPr>
      <w:r>
        <w:rPr>
          <w:rFonts w:ascii="Amiri" w:hAnsi="Amiri" w:eastAsia="Amiri" w:cs="Amiri"/>
          <w:color w:val="111111"/>
          <w:sz w:val="28"/>
          <w:sz w:val="28"/>
          <w:szCs w:val="28"/>
          <w:rtl w:val="true"/>
          <w:lang w:bidi="ar-SA"/>
        </w:rPr>
        <w:t>الوصيَّة، وكذا لو أوصى بما تحمله المرأة، أو لمن يوجد من أولاد فلان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وجامع المقاصد</w:t>
      </w:r>
      <w:r>
        <w:rPr>
          <w:rStyle w:val="FootnoteAnchor"/>
          <w:rtl w:val="true"/>
        </w:rPr>
        <w:footnoteReference w:id="867"/>
      </w:r>
      <w:r>
        <w:rPr>
          <w:rFonts w:ascii="IRNazanin" w:hAnsi="IRNazanin" w:eastAsia="IRNazanin"/>
          <w:color w:val="111111"/>
          <w:sz w:val="28"/>
          <w:sz w:val="28"/>
          <w:szCs w:val="28"/>
          <w:rtl w:val="true"/>
          <w:lang w:bidi="fa-IR"/>
        </w:rPr>
        <w:t>، وعن نهج الحقّ</w:t>
      </w:r>
      <w:r>
        <w:rPr>
          <w:rStyle w:val="FootnoteAnchor"/>
          <w:rtl w:val="true"/>
        </w:rPr>
        <w:footnoteReference w:id="868"/>
      </w:r>
      <w:r>
        <w:rPr>
          <w:rFonts w:ascii="Amiri" w:hAnsi="Amiri" w:eastAsia="Amiri" w:cs="Amiri"/>
          <w:color w:val="111111"/>
          <w:sz w:val="28"/>
          <w:sz w:val="28"/>
          <w:szCs w:val="28"/>
          <w:rtl w:val="true"/>
          <w:lang w:bidi="ar-SA"/>
        </w:rPr>
        <w:t>دعوى الإجماع على ذلك،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لمعيّن فشرطه أنْ يُتصوّر فيه الملك، وإنَّما يتحقّق هذا الشَّرط لو كان المُوصى له موجوداً، فلو أوصى للمعدوم لم تصحّ وصيّته إجماعاً، وكذا لو أوصى لميّت، أو لَمِنْ ظنّ وجوده فبان ميّتاً حال الوصيَّة؛ لأنَّ الوصيَّة تمليك، وهو غير مستحقّ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يعلم بموته حال الوصيَّة، أو يجهل ذلك ويتوهّم حياته ثمّ يظهر موته حال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أكثر العامّة</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بموته صحّت الوصيَّة له، وكان المُوصى به تركته</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التَّعيين؟ الأقرب ذلك، فلو أوصى لأحد الشَّخصين لم يصحّ، وكذا لو أوصى لما تحمله المرأة من بعد الوصيَّة، أو لَمِنْ يوجد من أولاد فلان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 ذلك في مسألة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لحملها الّذي سيحدث ويكون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الوصيَّة باطلة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وجهان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أصحّهما هذا؛ لأنَّ الوصيَّة تمليك على ما بيّنا، وتمليكُ من لم يوجد بعد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متعلّق للعقد في الحال، فأشبه ما إذا وقف على مسجد سيُبنى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صحيحة كما تصحّ بالحمل الّذي سيوجد، فإذا جاز تملّك من لم يوجد جاز تمليك من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وجه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حال الميراث فإنْ كان الحمل موجوداً حينئذ صحّت الوصيَّة، وإلّا فلا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الوصيَّة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العهديَّة فهم وإنْ لم يصرّحوا بذلك فيها إلَّا أنَّ ظاهرهم مسلّمية ذلك والمفروغيّة عنه بالنّسبة إلى العهديّة الّتي يُقصد فيها إنشاء الولاية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ذكروا الخلاف في شرائط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والحرّية، والإسلام،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وجودها حال الوصيَّة، أو يكفي وجودها حال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الصِّفات المراعاة في الوصيّ تُعتبر حالة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إلى صبيّ فبلغ، ثُمَّ مات المُوصي صحّت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الحرّيّة،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فما أدري من أين حصل للسَّائل الإجماع بجواز الوصيَّة للمعدوم، حتّى تخيّل استدلال القائل بجواز الوصاية بالولاية لمن تجدّد بعدها من الأولاد به، فأجاب عنه بعدم استلزامه لما نحن فيه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اختلط عليه ذلك بمسألة الوصيَّة بالمعدوم فإنَّهم صرَّحوا بجوازها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الوصيَّة بالمنافع المتجدّدة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عندنا بثمار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فيه قولان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بالحمل، وبما تحمله المملوكة، والشَّجرة، كما تصحّ الوصيَّة بسكنى الدار مدّة مستقبلة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القواعد بعد أنْ اشترط في المُوصى به أنْ يكون موجوداً،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نعني بالموجود كونه موجوداً بالفعل حال الوصيَّة، بل ما يمكن وجوده، فلو أوصى بما تحمله الجارية، أو الدَّابة، أو بالثَّمرة المتجدّدة في العام المقبل، أو بأُجرة السَّنة المستقبلة صحّ لأنَّها في تقدير الموجود</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جامع المقاصد في شرح هذا الكلام،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بما يتجدّد له تملّكه ولو على وجه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يتجدّد له بشراءٍ وهبةٍ وإرثٍ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لأنّ وجود ذلك ممكن، وقد قُرِّر أنّ الشَّرط إمكان وجوده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 في شرح الكلام السَّالف عن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إشكال ولا خلاف في الصّحّة لإطلاق أدلّة الوصيَّة، فلا يقدح كونه معدوماً حالها؛ لأنّه يكفي فيها احتمال الوجود فيما يأتي وإنْ لم يكن من شأنه الوجود كالوصيَّة بما يشتريه، أو يتّهبه في مستقبل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عدم الفرق في الوصيَّة المزبورة بين العهديّة والتَّمليكيّة</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مقصود السَّائل هو الوصيَّة بالمعدوم، فإنَّه الّذي ادُّعي الإجماع على جوازه، لا الوصيَّة للمعدوم الّذي عرفت الإجماع على عدم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وأيّاً ما كان فإنْ شئت تحقيق الحقّ في 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المعدوم حال عدمه لا يعقل تمليكه ولا تملّكه؛ لعدم قابليته لذلك، فإنَّ الملك من الصّفات الوجوديّة الّتي لا يعقل قيامها بالمعدوم حال عدمه، ومرجع ملك المعدوم إلى الملك بلا مالك في الوصيَّة للمعدوم، وإلى الملك بلا مملوك في الوصيَّة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النِّيابة والولاية أيضاً من الصِّفات الوجوديّة الّتي لا يعقل قيامها بالمعدوم حال عدمه، فمرجع نيابة المعدوم وولايته إلى النِّيابة والولاية بلا نائب ولا ولي، والولاية على المعدوم إلى الولاية بلا مُوّلى عليه، فلا فرق في بطلان ذلك بين الوصيَّة العهديَّة والتَّمليكيّة، ولا بين المُوصى به والموصى له في التَّمليكيَّة، ولا بين الولي والمُولّى عليه في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يحتاج إلى برهان ومزيد بيان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المعدوم باعتبار حال وجوده فيُعقل إنشاء تمليكه، وتملّكه، وولايته، والولاية عليه، فيكون الإنشاء المذكور مُؤثّراً في حدوث تلك الصفات له بعد وجوده، فيكون الوجود أحد أجزاء العلّة التامّة في ترتّب تلك الصِّفات، كما في الوقف بالنّسبة إلى البطون اللَّاحقة، فإنَّه إنَّما يُؤثّر بالنّسبة إليهم بعد الوجود من حينه، لا أنَّه يكشف عن مشاركتهم للبطن الأوَّل من أوَّل الأمر، ولازم ذلك أنْ كلّما كان من هذا القبيل يمكن تصحيحه بالعمومات والإطلاقات إنْ لم يكن فيها قصور عن شموله في حدّ ذاتها، إلَّا أنْ يقوم دليل خاصّ من إجماعٍ أو غيره على الخلاف، وحيث إنَّ عمومات الوصيَّة وإطلاقاتها لا قصور فيها في حدّ ذاتها عن شمول مثل ذلك، والقصور من حيث عدم المعقوليّة قد عرفت انتفاءه، فاللازم الحكم بأنَّ الصّحّة في ذلك هي الموافقة للقواعد إلَّا أنْ يقوم دليل على الخلاف، من دون فرق بين الوصيَّة التَّمليكيّة والعهديّة، ومن دون فرق في التَّمليكيّة بين المُوصى به والمُوصى له، ومن دون فرق في العهديّة بين ما يُقصد </w:t>
      </w:r>
    </w:p>
    <w:p>
      <w:pPr>
        <w:pStyle w:val="BookText"/>
        <w:rPr/>
      </w:pPr>
      <w:r>
        <w:rPr>
          <w:rFonts w:ascii="Amiri" w:hAnsi="Amiri" w:eastAsia="Amiri" w:cs="Amiri"/>
          <w:color w:val="111111"/>
          <w:sz w:val="28"/>
          <w:sz w:val="28"/>
          <w:szCs w:val="28"/>
          <w:rtl w:val="true"/>
          <w:lang w:bidi="ar-SA"/>
        </w:rPr>
        <w:t>فيها إنشاء الولاية وما يُقصد فيها العهد بإعطاء شيء، أو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قد عرفت أنَّ الأصحاب فرّقوا بين هذه الأقسام، ففرّقوا في الوصيَّة التَّمليكيّة بين المُوصى به والموصى له، فحكموا بالصّحّة في الوصيَّة بمن يتجدّد حمله، والفساد في الوصيَّة لمن يتجدّد حمله، فإنْ تمَّ إجماع كاشف على ذلك فهو، وإلّا فمقتضى القواعد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جزموا به من عدم صحَّة الوصيَّة التَّمليكيّة للمعدوم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سبق في الوقف جوازه على المعدوم إذا كان تابعاً، كما لو وقف على أولاد فلان ومَنْ سيولد له، فأيّ مانع من صحّة الوصيَّة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أوصى بثمرة بستانه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سنة لأولاد فلان ومَنْ سيولد له فلا مانع من الصِّحّة، بل تجويز ذلك في الوقف يقتضي التجويز هنا بطريق أولى؛ لأنَّه أضيق مجالاً من الوصيَّة</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أخذ ذلك من التَّذكرة، حيث قال فيها في آخر المسألة الثَّالثة من مسائل الوصيَّة للحمل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الوقف على المعدوم تبعاً للموجود ولئن تصحّ الوصيَّة أولى؛ لأنَّ الوصيَّة تصحّ بالمعدوم والمجهول بخلاف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أُجريت مجرى الميراث، ولا يحصل الميراث إلَّا لموجودٍ، فكذا الوصيَّة والوقف يُراد للدّوام فمن ضرورته إثباته للمعدوم</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 هذا الجواب الّذي ذكره عن الإشكال لا يكاد يجدي في 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عنه في المسالك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 الوقف والوصيّة هو تبعيّة المعدوم للموجود في الوقف دون الوصيّة، وذلك لأنَّ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بعينٍ فمقتضى ملكيّة الموجود لها التَّصرّف بها كيف يشاء، وهو ينافي الوصيَّة بها للمعدوم المقتضي لتمليكه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بمنفعة ملكها المعدوم بعد وجوده استقلالاً لا بتبع الموجود، وهذا بخلاف الوقف فإنّ التَّبعيّة فيه متحقّقة؛ لأنَّ الغرض من الملك في الوقف ملك العين على وجه الحبس وإطلاق الثَّمرة، فالموقوف حقيقة هو العين، وملكها حاصل للموقوف عليه الموجود، ثُمَّ ينتقل منه إلى المعدوم، وإنْ كان يتلقّى الملك من الواقف ففائدة الملك المقصودة منه متحقّقة فيهما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محصّل؛ فإنَّه بعد اعترافه بأنَّ المعدوم يتلقّى الملك من الواقف كانت ملكيّته استقلاليّة، غاية ما هناك أنَّها متأخّرة بحسب الوجود والزَّمان على الأُولى، وهذا لا يوجب كونها تبعيّة، وإلّا كانت التَّبعيّة حاصلة في الوصيَّة بالثَّمرة أيضاً الّتي فرض تأخّر ملك المعدوم فيها عن 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تعلم أنَّه يلزم صاحب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بالصّحّة في الوصيَّة على ذلك النَّحو أنْ يقول بالصّحّة حتّى لو كانت الوصيَّة للمعدوم ابتداءً، بأنْ أوصى بالعين أو المنفعة وصيّة تمليكيّة لمن سيولد من أولاد فلان، فإنْ ضمّ الموجود في ذلك الإنشاء بحيث يثبت له الملكيّة أوَّلاً لا يكاد يوجب الفرق بينهما بمقتضى القاعدة أصلاً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فلا ينبغي الرَّيب في لزوم تنزيل ما صدر منهم من الحكم بصحّة الوصيَّة التَّمليكيَّة بالمعدوم، وصحّة بيع الثّمار،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رُبَّما يُتراءى منه القول بملكيَّة المعدوم في حال عدمه الّذي عرفت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النّحو الثَّاني الّذي </w:t>
      </w:r>
    </w:p>
    <w:p>
      <w:pPr>
        <w:pStyle w:val="BookText"/>
        <w:rPr/>
      </w:pPr>
      <w:r>
        <w:rPr>
          <w:rFonts w:ascii="Amiri" w:hAnsi="Amiri" w:eastAsia="Amiri" w:cs="Amiri"/>
          <w:color w:val="111111"/>
          <w:sz w:val="28"/>
          <w:sz w:val="28"/>
          <w:szCs w:val="28"/>
          <w:rtl w:val="true"/>
          <w:lang w:bidi="ar-SA"/>
        </w:rPr>
        <w:t>مرجعه إلى استحقاق تملّك المعدوم بعد وجوده فقد ملك أن يملك</w:t>
      </w:r>
      <w:r>
        <w:rPr>
          <w:rStyle w:val="FootnoteAnchor"/>
          <w:rtl w:val="true"/>
        </w:rPr>
        <w:footnoteReference w:id="882"/>
      </w:r>
      <w:r>
        <w:rPr>
          <w:rFonts w:ascii="Amiri" w:hAnsi="Amiri" w:eastAsia="Amiri" w:cs="Amiri"/>
          <w:color w:val="111111"/>
          <w:sz w:val="28"/>
          <w:sz w:val="28"/>
          <w:szCs w:val="28"/>
          <w:rtl w:val="true"/>
          <w:lang w:bidi="ar-SA"/>
        </w:rPr>
        <w:t>على نحو ملك النَّماء الّذي لم يوجد بعد لمن ملك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العهديّة فقد عرفت أنَّ ظاهرهم المفروغيَّة عن البطلان فيها بالنّسبة إلى المعدوم حتّى بالنَّحو الثَّاني، وأنَّه يُشترط وجود الوصيّ حال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بالنّسبة إلى العهديّة الّتي يُقصد فيها إنشاء الولاية والنيابة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العهد بإعطاء شيءٍ، أو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صحّة ما ذكره صاحب الجواهر</w:t>
      </w:r>
      <w:r>
        <w:rPr>
          <w:rStyle w:val="FootnoteAnchor"/>
          <w:rtl w:val="true"/>
        </w:rPr>
        <w:footnoteReference w:id="883"/>
      </w:r>
      <w:r>
        <w:rPr>
          <w:rFonts w:ascii="Amiri" w:hAnsi="Amiri" w:eastAsia="Amiri" w:cs="Amiri"/>
          <w:color w:val="111111"/>
          <w:sz w:val="28"/>
          <w:sz w:val="28"/>
          <w:szCs w:val="28"/>
          <w:rtl w:val="true"/>
          <w:lang w:bidi="ar-SA"/>
        </w:rPr>
        <w:t>فيه من خروجه عن كلامهم، وأنَّ الحقَّ فيه هو الصّحّة، كما أنَّك عرفت خلافهم في شرائط الوصيّ من حيث اعتبار وجودها حال الوصاية، أو الاكتفاء بوجودها حال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قوّة الثَّاني،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اتّضح لك الخطأ في دعوى السَّائل الإجماع على جواز الوصيَّة للمعدوم، وأنَّ الإجماع المدّعى في لسانِ جمعٍ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اتّضح لك أنَّه لو كان الإجماع قائماً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الاستدلال به لجواز الوصاية بالولاية على مَنْ تجدّد بعدها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رفع الإشكال المتوجّه فيها من حيث استلزامها لإثبات الولاية 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لك أنْ تتمسَّك بالإجماع الّذي ذكروه على صحّة الوصيَّة بالمعدوم لذلك؛ وذلك لما عرفت أنَّ المعدوم بالنسبة إلى جميع تلك الأحكام فيما يصحّ وفيما لا يصحّ شرع سواء، ولعلَّ ذلك يزداد وضوحاً فيما يأتي إنْ شاء الله تعالى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تحقيق الأصل في الوصيَّة بكلا 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فيها في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الغرض تأسيس الأصل في ذلك مع قطع النَّظر عن أدلّة الوصيَّة الدَّالّة على نفوذها في الثُّلث دون غيره، بتحقيقِ أنّ مقتضاه النُّفوذ في الجميع، وإنَّما خرجنا عنه بما دلّ على عدم النُّفوذ في الزّائد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مقتضاه العدم في الجميع، وإنَّما خرجنا عنه لما دلّ على النُّفوذ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وإنْ كانت معلومة من حيث وفاء الأخبار بها</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كما يلاحظ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 بالثلث وأقل منه وأكثر، الاستبصار فيما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الشيخ قد ذكر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في جواز الوصيَّة بالمال كّله، ثمّ جمع بينه وبين الأخبار المتقدمة بوجهين، وقريب ٌ منه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الاستبصار فيما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تأسيس الأصل فيها لا يخلو عن فائدة فيما لعلَّه يحصل من الموارد الّتي لا تفي الأخبار بحكمها ولو من بعض الجهات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محلّ الكلام إنَّما هو بالنّسبة إلى الأعيان، والمنافع، والحقوق الّتي يجري فيها الميراث باعتبار ثبوت الملكيّة المطلقة فيها الغير المقيّدة بحال الحياة، وإلّا فلا إشكال في عدم نفوذها فيما كانت ملكيّته مقيّدة، كملكيَّة البطن الأوَّل للعين الموقوفة، وكالمنفعة المملوكة بالإيصاء بها له مدّة حياته، وحقّ الخيار الثَّابت له مدَّة حياته، فإنَّ التَّصرّف فيها بالنّسبة إلى ما بعد الموت باطل قطعاً ولو كان منجّزاً غير معلَّق، كما لو </w:t>
      </w:r>
    </w:p>
    <w:p>
      <w:pPr>
        <w:pStyle w:val="BookText"/>
        <w:rPr/>
      </w:pPr>
      <w:r>
        <w:rPr>
          <w:rFonts w:ascii="Amiri" w:hAnsi="Amiri" w:eastAsia="Amiri" w:cs="Amiri"/>
          <w:color w:val="111111"/>
          <w:sz w:val="28"/>
          <w:sz w:val="28"/>
          <w:szCs w:val="28"/>
          <w:rtl w:val="true"/>
          <w:lang w:bidi="ar-SA"/>
        </w:rPr>
        <w:t>آجر البطنُ الأوَّلُ العين الموقوفة في مدّةٍ زائدةٍ على حياتهم، فإنّ الإجارة باطلة بالنّسبة إلى الزّائد، مع أنَّه ليس فيها من التَّعليق شيء، فما ظنّك بها لو كانت معلّقة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هو المورد الّذي لو كان التَّصرّف فيه منجّزاً في حال الصّحّة لكان نافذاً قولاً واحداً، أو كان في حال المرض كان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ذلك مع قطع النَّظر عن شرطيّة التَّنجّز في العقود والإيقاعات، ومانعيّة التَّعليق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ذلك منحصر في جهة مانعيّة حقّ الورثة الثَّابت لهم بعد الموت في تلك الأعيان، والمنافع، والحقوق، فلابُدَّ من فرض الكلام في التَّصرّف الواجد لشرائط الصّحّة من سائر الجهات الأُخر كلّها، وحينئذٍ فتتمحّض جهة الكلام في أنَّه هل للورثة حقّ في حال الحياة يوجب بطلان تصرّفاته الّتي تتعلّق بالنّسبة إلى ما بعد الموت أم لا؟ ويكون الحال فيها هو الحال في منجّزاته الواقعة في حال المرض؛ فإنَّ جهة الشَّكّ فيها أيضاً ترجع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بنفوذ التَّصرّفات المذكورة ليس مستلزماً لإعطاء سلطنة للميّت، وإنَّما هو من آثار سلطنة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نفوذها مستلزم للحَجْر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فساد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الأصل فهو مقطوع بانقطاع</w:t>
      </w:r>
      <w:r>
        <w:rPr>
          <w:rStyle w:val="FootnoteAnchor"/>
          <w:rtl w:val="true"/>
        </w:rPr>
        <w:footnoteReference w:id="885"/>
      </w:r>
      <w:r>
        <w:rPr>
          <w:rFonts w:ascii="Amiri" w:hAnsi="Amiri" w:eastAsia="Amiri" w:cs="Amiri"/>
          <w:color w:val="111111"/>
          <w:sz w:val="28"/>
          <w:sz w:val="28"/>
          <w:szCs w:val="28"/>
          <w:rtl w:val="true"/>
          <w:lang w:bidi="ar-SA"/>
        </w:rPr>
        <w:t>سلطنة الميّت كما هو في نفس الوصيَّة بكلا قسميها، فمقتضاه المنع لولا الدَّليل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إنْ أراد انقطاع سلطنة الميّت بعد موته فهذا واضح لا يحتاج إلى بيان، ولا يختلف فيه اثنان، بل لا معنى للقول بانقطاع سلطنته أو بقائها حينئذ، فإنَّه في تلك الحال </w:t>
      </w:r>
    </w:p>
    <w:p>
      <w:pPr>
        <w:pStyle w:val="BookText"/>
        <w:rPr/>
      </w:pPr>
      <w:r>
        <w:rPr>
          <w:rFonts w:ascii="Amiri" w:hAnsi="Amiri" w:eastAsia="Amiri" w:cs="Amiri"/>
          <w:color w:val="111111"/>
          <w:sz w:val="28"/>
          <w:sz w:val="28"/>
          <w:szCs w:val="28"/>
          <w:rtl w:val="true"/>
          <w:lang w:bidi="ar-SA"/>
        </w:rPr>
        <w:t>لا يُعقل صدور التَّصرُّفات منه لنحكم ببقاء سلطنته، أو 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انقطاع سلطنة الحيّ عن التَّصرّفات المتعلّقة بما بعد الموت فهذا لو ثبت فهو انقطاع سلطنة عن الحيّ لا عن الميّت، وهذا معنى ما قلناه من أنَّ ذلك مستلزم لثبوت الحَجْر عليه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اتّضح أنَّ مقتضى الأصل في جميع تلك التَّصرّفات هو النُّفوذ في الجميع لولا الدَّليل الرَّادع عمّا زاد عن الثُّلث؛ فإنَّ مرجع الشَّكّ في ذلك إلى الشَّكّ في ثبوت حقّ للوارث يمنع عن ذلك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 والأدلّة الدَّالّة على الإرث لا تثبت ذلك، بل غاية ما يثبت بها الانتقال إلى الوارث لو بقي المال على حاله ولم يتحقَّق فيه ذلك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المقام على حدّ الأصل في منجَّزاته الواقعة في حال المرض الّتي صارت محلّاً للخلاف؛ فإنَّ الشَّكّ في كلا المقامين يرجع إلى الشَّكّ في ثبوت حقّ للوارث يمنع من تصرّفاته المنجَّزة أو المعلَّقة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التَّصرّف في الثَّاني واقعاً بالنّسبة إلى زمان ملكيّة الوارث بخلاف الأوَّل ليس موجباً للفرق بينهما بعد أنْ كانت ملكيّة الوارث موقوفة على بقاء المال بحاله، وعدم وقوع التَّصرّفات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أنْ لا مانع من نفوذ تلك التَّصرّفات إلَّا الحقّ الّذي يثبت للوارث فمتى شككنا فيه فالأصل عدمه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أيضاً على المدّعى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القاعدة المستفادة من الأدلّة الاجتهاديّة، كقاعدة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والأدلّة العامَّة الدَّالّة على لزوم العقود والإيقاعات،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88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تِجَارَةً عَن تَرَاضٍ</w:t>
      </w:r>
      <w:r>
        <w:rPr>
          <w:rStyle w:val="FootnoteAnchor"/>
          <w:rtl w:val="true"/>
        </w:rPr>
        <w:footnoteReference w:id="88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 بل وخصوص إطلاقات كلّ عقدٍ وكلّ إيقاعٍ، وعموماتها الدَّالّة على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يخلو من تأمّل؛ لأنّ الشَّكّ إذا كان راجعاً إلى تعلّق حقٍّ للوارث وعدمه كان التَّمسّك بها تمسّكاً بالعموم في الشُّبهة المصداقيّة؛ وذلك لأنَّه على تقدير ثبوت الحقّ لا مجال لإجراء قاعدة السَّلطنة، ولا لغيرها من العمومات، فمع الشَّكّ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إنَّما هي على المال الّذي لا حقَّ للغير فيه، وكذا إنَّما يجب الوفاء بالعقد إذا لم يكن متعلّقه فيه حقّ للغير، وعمومات ذلك وإطلاقاته لا تنفي ثبوت الحقّ إذا كان الشَّكّ فيه، فتأمّل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فلا ينبغي الرَّيب في أنَّ الأصل عدم ثبوت حقٍّ مانعٍ من تصرّفاته لو شكّ في ذلك، لكن هذا لو كانت التَّصرّفات الصَّادرة منه من قبيل العقد والإيقاع المعلَّق على الموت، كالتَّمليك، والوقف، والعتق، والولاية،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الوصيَّة 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العهد في تلك الأشياء كأنْ أوصى بوقفٍ، أو عتقٍ، أو تمليكٍ،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فيه ذلك؛ إذ المال بعد باقٍ على حاله، ومقتضاه الانتقال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حقّ للمُوصى له، أو للمُوصي بمجرّد ذلك يمنع من انتقال المال إلى الوارث، أو يوجب عليه العمل على طبق ما عهد الموصي يحتاج إلى دليلٍ، وإذا شكّ فيه </w:t>
      </w:r>
    </w:p>
    <w:p>
      <w:pPr>
        <w:pStyle w:val="BookText"/>
        <w:rPr/>
      </w:pPr>
      <w:r>
        <w:rPr>
          <w:rFonts w:ascii="IRNazanin" w:hAnsi="IRNazanin" w:eastAsia="IRNazanin"/>
          <w:color w:val="111111"/>
          <w:sz w:val="28"/>
          <w:sz w:val="28"/>
          <w:szCs w:val="28"/>
          <w:rtl w:val="true"/>
          <w:lang w:bidi="fa-IR"/>
        </w:rPr>
        <w:t>فالأصل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أنّ الأصل في الوصيَّة يختلف باختلافها من حيث صدور تصرّف فيها من عقد أو إيقاع معلّقاً على الموت، أو العهد بإيقاع ذلك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في الأوَّل النفوذ إلَّا أنْ يدلّ دليل على الخلاف، وفي الثَّاني العدم إلَّا أنْ يدلّ دليل على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اتّضح لك بطلان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الوصيَّة بكلا قسميها يقتضي المنع لولا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تبيّن حال المسائل الثَّلاث الّتي وقعت في كلام السَّائل فنقول في بيان الجهة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الوصاية بالولاية على من تجدّد بعدها من الأولاد مع قيام القرينة على إرادة التَّعميم تتصوّر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المولّى عليه حين الوصاية حملاً، ويبقى المُوصي حيّاً إلى حين ولادته من دون عدول عن وصايته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سوى بقاء المُوصي حياً إلى حين الولادة بأنْ يُفرض موته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المولّى عليه موجوداً حين الوصاية أصلاً، لا حملاً، ولا ولادةً، لكن يبقى المُوصي حياً من دون عدول عن وصايته إلى حين وجوده حملاً، أو إلى حين ولادته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المولّى عليه موجوداً حين الوصاية، لا ولادةً، ولا حملاً، ولا يبقى المُوصي إلى حين وجوده، بل يموت قبل وجوده ولو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إنَّما تتصوَّر فيما </w:t>
      </w:r>
    </w:p>
    <w:p>
      <w:pPr>
        <w:pStyle w:val="BookText"/>
        <w:rPr/>
      </w:pPr>
      <w:r>
        <w:rPr>
          <w:rFonts w:ascii="Amiri" w:hAnsi="Amiri" w:eastAsia="Amiri" w:cs="Amiri"/>
          <w:color w:val="111111"/>
          <w:sz w:val="28"/>
          <w:sz w:val="28"/>
          <w:szCs w:val="28"/>
          <w:rtl w:val="true"/>
          <w:lang w:bidi="ar-SA"/>
        </w:rPr>
        <w:t xml:space="preserve">إذا انحصرت الولاية بالجد؛ لحصول مانع من ولاية الأب بكفرٍ أو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الجد بالولاية على مَنْ يتجدَّد لابنه من الأولاد، ومات قبل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تتصوّر أيضاً في الأب إذا أوصى بالولاية على من يتجدَّد من أولاده، ثُمَّ مات بعد الوطء المؤثّر في الحمل لكن قبل استقرار النَّطفة الموجب لوجوده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وتتصوّر هنا صورة أُخرى نظير هذه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عود ولاية الأب والجد إذا تجدّد النَّقص للولد بجنون، أو سفه وإنْ بلغ عاقلاً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فيُفرض أنّ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بالولاية عليه لو تجدّد نقصه وإنْ كان حين الوصاية بالغاً عاقلاً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الحكم في هذه الصور لا بُدَّ من بيان أُمور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أحكام الموجود على الحمل في الجملة، لكن مراعىً ذلك بانفصاله حيَّاً، وقد صرّحوا بذلك في الإرث</w:t>
      </w:r>
      <w:r>
        <w:rPr>
          <w:rStyle w:val="FootnoteAnchor"/>
          <w:rtl w:val="true"/>
        </w:rPr>
        <w:footnoteReference w:id="889"/>
      </w:r>
      <w:r>
        <w:rPr>
          <w:rFonts w:ascii="Amiri" w:hAnsi="Amiri" w:eastAsia="Amiri" w:cs="Amiri"/>
          <w:color w:val="111111"/>
          <w:sz w:val="28"/>
          <w:sz w:val="28"/>
          <w:szCs w:val="28"/>
          <w:rtl w:val="true"/>
          <w:lang w:bidi="ar-SA"/>
        </w:rPr>
        <w:t>والوصيّة التَّمليكيّة</w:t>
      </w:r>
      <w:r>
        <w:rPr>
          <w:rStyle w:val="FootnoteAnchor"/>
          <w:rtl w:val="true"/>
        </w:rPr>
        <w:footnoteReference w:id="890"/>
      </w:r>
      <w:r>
        <w:rPr>
          <w:rFonts w:ascii="Amiri" w:hAnsi="Amiri" w:eastAsia="Amiri" w:cs="Amiri"/>
          <w:color w:val="111111"/>
          <w:sz w:val="28"/>
          <w:sz w:val="28"/>
          <w:szCs w:val="28"/>
          <w:rtl w:val="true"/>
          <w:lang w:bidi="ar-SA"/>
        </w:rPr>
        <w:t>، ولازم ذلك جريانه في الهبة، وغيرها من أنواع التَّمليكات، فلو انفصل حيَّاً كشف عن ملكيّته حال كونه حملاً، فالنَّماءات الحاصلة لذلك المال في مدَّة الحمل كلّها له، وهو في الإرث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الوصيَّة لو تمَّت شرائطها بأنْ قَبِل الوليّ ومات </w:t>
      </w:r>
    </w:p>
    <w:p>
      <w:pPr>
        <w:pStyle w:val="BookText"/>
        <w:rPr/>
      </w:pPr>
      <w:r>
        <w:rPr>
          <w:rFonts w:ascii="Amiri" w:hAnsi="Amiri" w:eastAsia="Amiri" w:cs="Amiri"/>
          <w:color w:val="111111"/>
          <w:sz w:val="28"/>
          <w:sz w:val="28"/>
          <w:szCs w:val="28"/>
          <w:rtl w:val="true"/>
          <w:lang w:bidi="ar-SA"/>
        </w:rPr>
        <w:t>المُوصي وهو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الهبة لو قبِل الوليّ وقبض له، وهذا يكشف عن تحقّق الولاية عليه فعلاً للولي، فلو باع ماله أو اشترى له صحّ ذلك، لكن صحّة مراعاةً بانفصاله حيَّاً، فلو انفصل كذلك كشف عن صحّة البيع والشِّراء من حين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النَّماءات وغيرها، قال في القواعد في كتاب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ويصحّ للحمل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بانفصاله حياً فلو وضعته ميِّتاً بطلت</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جامع المقاصد في 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من هذه العبارة صحّة الوصيَّة للحمل قبل الانفصال غير مستقرّة، وبانفصاله حيَّاً يتحقّق الاستقرار، كما أنَّها لو وضعته ميِّتاً بطلت، وعلى هذا فلو وضعته حيَّاً وتحقّق القبول ثبت الملك من حين موت الموصي، فيتبعه النَّماء، وهو صحيح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أنْ يكون قد حلَّته الحياة في بطن أُمّه أو لا؛ لأنَّ الحياة المعتبرة هي ما بعد الانفصال اتّفاقاً، ولا فرق بين أنْ يسقط بجنايةِ جانٍ أو لا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التَّذكرة استشكل في كفاية قبول الوليّ قبل انفصاله حيَّاً،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للحمل صحَّت وكان القابل للوصيَّة أبوه، أو جدّه، أو من يلي أُموره بعد خروجه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قبل انفصاله حيَّاً، ثمّ انفصل حيَّاً ففي الاعتداد بذلك القبول إشكال</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أنَّ بقاء المُوصي على إيصائه، أو وصيّته في قوّة الإيصاء الجديد، وقد صرَّحوا بذلك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إجازة الوارث في الزَّائد عن الثُّلث، فإنّهم حكموا بلزومها مطلقاً في حياة المُوصي وبعد موته، بخلاف الرَّدّ فإنَّه إنَّما يلزم إذا كان بعد الموت لا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بين إجازة الوارث حال الحياة وردّه حيث لم يؤثّر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مستمرّة ببقاء المُوصي عليها، فيكون استدامتها كابتدائها بعد الردّ، فلا يؤثّر، بخلاف الرَّدّ بعد الموت؛ لانقطاعه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الإجازة حال الحياة؛ لأنَّها حقّ الوارث وقد أسقطه، فلا جهةَ لاستمراره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ودوام الوصيَّة يؤكّدها</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نبَّه على ذلك في الحدائق في المقام وفي المسألة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الزِّيادة المتجدّدة بعد الوصيَّة وقبل الوفاة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ما في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الرَّدّ والإجازة ظاهرٌ، فإنَّ الرَّدّ إنّما لم يعتبر حال حياة المُوصي؛ لأنَّ استمرار الوصيَّة يجري مجرى تجدّدها حالاً فحالاً، بخلاف الردّ بعد الموت والإجازة حال الحياة</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w:t>
      </w:r>
      <w:r>
        <w:rPr>
          <w:rStyle w:val="FootnoteAnchor"/>
          <w:rtl w:val="true"/>
        </w:rPr>
        <w:footnoteReference w:id="896"/>
      </w:r>
      <w:r>
        <w:rPr>
          <w:rFonts w:ascii="Amiri" w:hAnsi="Amiri" w:eastAsia="Amiri" w:cs="Amiri"/>
          <w:color w:val="111111"/>
          <w:sz w:val="28"/>
          <w:sz w:val="28"/>
          <w:szCs w:val="28"/>
          <w:rtl w:val="true"/>
          <w:lang w:bidi="ar-SA"/>
        </w:rPr>
        <w:t>فيمن جرح نفسه بالمُهلِك ثُمَّ أوصى، فإنَّهم حكموا بعدم صحّة وصيّته، وقالوا إنَّ ذلك إنَّما هو لو مات بذلك الجرح، أمَّا لو عُوفي وبقِي على وصيَته السَّالفة غير ناسٍ لها، ولا غافل عنها صحّت، وكان حكمه حكم ما لو أوصى جديداً بوصيةٍ مستأنفة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هناك معنى من الولاية ثابتٌ للأب والجدّ بالنّسبة إلى أفراد </w:t>
      </w:r>
    </w:p>
    <w:p>
      <w:pPr>
        <w:pStyle w:val="BookText"/>
        <w:rPr/>
      </w:pPr>
      <w:r>
        <w:rPr>
          <w:rFonts w:ascii="Amiri" w:hAnsi="Amiri" w:eastAsia="Amiri" w:cs="Amiri"/>
          <w:color w:val="111111"/>
          <w:sz w:val="28"/>
          <w:sz w:val="28"/>
          <w:szCs w:val="28"/>
          <w:rtl w:val="true"/>
          <w:lang w:bidi="ar-SA"/>
        </w:rPr>
        <w:t>المُولّى عليه ولو قبل وجودهم، إلَّا أنَّه ثابت لهم بلحاظ الوجود، وهو أنَّهم ملكوا أنْ يصيروا أولياءَ عليه عند وجوده، من دون حاجةٍ إلى جعلٍ جديد وإنشاءٍ آخر، ونظيره في الملكيَّة ما إذا ملك أنْ يملك كما في تمليك المال المعدوم بالوصية، أو البيع كما في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تقدَّم إجماعهم على صحّة ذلك، كما عرفت إجماعهم على صحّة الوصيَّة بالنّسبة إلى المال المتجدّد قبل الموت، أو بالموت،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صحّ أنْ يجعله وصيّاً على المال المتجدّد له الغير الموجود حين الوصيَّة كذلك صحّ أنْ يجعله وليّاً على الولد الّذي يتجدّد له، وكما أنّ الوصاية بالولاية فرع وجود الولاية فكذلك الوصيَّة بالمال فرع تملّكه، وكما أنَّ الملك له بلحاظ وجوده كافٍ في الصّحَّة فلذلك الولاية بلحاظ الوجود كافٍ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هذه الأُمور اتّضح لك أنَّه لا ينبغي الرَّيب في الحكم بالصحّة في جميع الصُّور الأربع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فلأنَّه قد فُرِضَ فيها كون المُولّى عليه موجوداً حملاً، وكون المُوصي باقياً على وصايته إلى حين الولادة، وكلّ منهما سبب مستقل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ذلك في الأمر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فلأنَّه وإنْ تخلَّف فيها الثَّاني، إلَّا أنَّه يكفي في صحّتها الأوَّل؛ فإنَّه قد فُرض فيها وجود المُولّى عليه حملاً وإنْ لم يبقَ الموصي حيَّاً إلى حين الولادة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فهي على عكس الثَّانية، فإنَّه وإنْ تخلّف فيها الأوَّل، إلَّا أنَّه يكفي الثَّاني في صحّتها؛ فإنَّه قد فُرض فيها بقاء المُوصي حيَّاً إلى حين الحمل أو الولادة وإنْ لم يكن المولّى عليه موجوداً حين الوصاية لا حملاً، ولا 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الرَّابعة فهي على عكس الأُولى حيث انتفى فيها الأمران معاً، فلم يكن المولّى عليه موجوداً فيها لا ولادةً، ولا حملاً، ولم يبق المُوصي حيَّاً إلى حين الولادة أو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هي الّتي استشكل فيها السَّائل، وقد أصاب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في مختصرٍ لأصحابنا ولا مطوَّل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لم أرَ أيضاً من تعرَّض للمسألة صريحاً سوى كاشف الغطاء في شرحه على القواعد، حيث قال بعد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إنَّما ينفذ تصرُّفه بعد الموت مع صغر المولّى عليه أو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بشرط وجوده متّصفاً بإحدى الصِّفتين حين الوصيَّة أو مطلقاً</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ذلك، واحتمال اشتراط وجوده حين الوصيَّة متّصفاً بإحدى الصِّفتين، إلَّا أنَّك ممّا ذكرناه في الأمر الثَّالث تعرف أنّ الحقّّ هو الصّحّة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السَّائل تخصيصها واضح الفساد؛ لعدم وجود المخصّص، وبطلان التَّخصيص بلا مخصّص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التَّخصّص ولو لتفرّع الولاية على وجود المولّى عليه فقد عرفت اندفاعه بما بيَّناه في الأمر الثَّالث من ثبوت معنى للولاية ولو قبل وجود المولّى عليه، وباعتباره تصحّ الوصاية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الإشكال من جهة عدم وجود المولّى عليه، وإنْ كان من جهة موت المُوصي في زمان وجود المولّى عليه فليس له ولاية عليه من حيث موته في ذلك الزَّمان، فيرجع الإشكال إلى عدم وجود الوليّ في زمان وجود المولّى عليه</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مشترك الورود؛ إذ هو ثابت حتّى في الموارد الّتي لا إشكال في صحّة الوصاية بالولاية فيها لموارد وجود الولد حين الوصاية، إذ من المعلوم أنَّ الوصيّ إنَّما تثبت له الولاية باعتبار زمان موت المُوصي، وإلَّا ففي حال حياته لا يثبت للوصيّ ذلك قطعاً، بل هذا جارٍ في الوصيَّة بجميع أقسامها من التَّمليكيّة والعهديّة؛ فإنَّ الملك إنَّما يحصل بالموت، وكذا العهديّة فإنَّه إنَّما يثبت له وصف الوصاية بالموت بناءً على المشهور</w:t>
      </w:r>
      <w:r>
        <w:rPr>
          <w:rStyle w:val="FootnoteAnchor"/>
          <w:rtl w:val="true"/>
        </w:rPr>
        <w:footnoteReference w:id="898"/>
      </w:r>
      <w:r>
        <w:rPr>
          <w:rFonts w:ascii="Amiri" w:hAnsi="Amiri" w:eastAsia="Amiri" w:cs="Amiri"/>
          <w:color w:val="111111"/>
          <w:sz w:val="28"/>
          <w:sz w:val="28"/>
          <w:szCs w:val="28"/>
          <w:rtl w:val="true"/>
          <w:lang w:bidi="ar-SA"/>
        </w:rPr>
        <w:t xml:space="preserve">وخلافاً للمحقّق الثَّاني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جعلها من قبيل الوكالة المشترط فيها تأخير التَّصرّف بحسب الزَّمان، فإنَّه يكون وكيلاً ويثبت له وصف الوكالة بمجرّد العقد وإنْ كان الموكَّل فيه هو الفعل في الزَّمان المتأخّر، فجعل الوصاية العهديّة كذلك أيضاً، فيثبت وصف الوصاية للوصيّ حين الوصيَّة وإنْ لم يكن له التَّصرُّف إلَّا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الاستدلال للقول بكفاية وجود شرائط الوصيّ حين الوفاة وإنْ لم تكن موجودة حين الوصاية حتّى لو أوصى إلى من ليس بأهلٍ فاتَّفق حصول صفات الأهليَّة قبل الموت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أنَّ المقصود بالتَّصرّف هو ما بعد الموت، وهو محلّ الولاية ولا حاجة إلى وجود الصِّفات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ويضعّف بأنَّه إذا لم يكن في وقت إنشاء العقد أهلاً وقع العقد فاسداً، ولا نسلّم أنَّ محلّ الولاية بعد الموت، بل الولاية ثابتة حال الوصيَّة وتأخّر التَّصرّف إلى الموت لأنَّه متعلَّق الوصيَّة والولاية</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كان فممَّا ذكرنا تبيَّن لك الحكم في نظير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أوصى الوليُّ بالولاية على من كان بالغاً عاقلاً رشيداً 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تجدُّد نقصه بالجنون، أو السفه لو اتّفق بناءً على عود ولاية الأب والجدّ بذلك، فإنّه أيضاً لا ينبغي الرَّيب في الصحّة 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على هذا المقدار حامدين لله سبحانه وتعالى ومصلّين على رسوله والأئمَّة الغرّ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 ذلك يوم الأربعاء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الحجَّة الحرام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الجواب عن مسألة الولاية بطوله والجواب السَّابق عن مسألة الشَّهيد بطوله أيضاً ليسا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الحقير أحمد آل كاشف الغطاء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9131_76193"/>
      <w:bookmarkStart w:id="719" w:name="pg9131_76193"/>
      <w:bookmarkEnd w:id="719"/>
    </w:p>
    <w:p>
      <w:pPr>
        <w:pStyle w:val="Heading3"/>
        <w:numPr>
          <w:ilvl w:val="2"/>
          <w:numId w:val="1"/>
        </w:numPr>
        <w:rPr/>
      </w:pPr>
      <w:bookmarkStart w:id="720" w:name="pg9131_76193"/>
      <w:bookmarkStart w:id="721" w:name="__RefHeading___Toc2992156_2870459653"/>
      <w:bookmarkStart w:id="722" w:name="_Toc274"/>
      <w:bookmarkEnd w:id="720"/>
      <w:bookmarkEnd w:id="721"/>
      <w:r>
        <w:rPr>
          <w:rtl w:val="true"/>
        </w:rPr>
        <w:t>المصادر</w:t>
      </w:r>
      <w:bookmarkEnd w:id="722"/>
    </w:p>
    <w:p>
      <w:pPr>
        <w:pStyle w:val="Heading4"/>
        <w:numPr>
          <w:ilvl w:val="3"/>
          <w:numId w:val="1"/>
        </w:numPr>
        <w:rPr/>
      </w:pPr>
      <w:bookmarkStart w:id="723" w:name="__RefHeading___Toc2992158_2870459653"/>
      <w:bookmarkStart w:id="724" w:name="_Toc275"/>
      <w:bookmarkEnd w:id="723"/>
      <w:r>
        <w:rPr>
          <w:rtl w:val="true"/>
        </w:rPr>
        <w:t>اشارة</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تحقيق جواب مسألة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تحقيق جواب مسألة الوصاية</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9131_76195"/>
      <w:bookmarkStart w:id="726" w:name="pg9131_76195"/>
      <w:bookmarkEnd w:id="726"/>
    </w:p>
    <w:p>
      <w:pPr>
        <w:pStyle w:val="Heading4"/>
        <w:numPr>
          <w:ilvl w:val="3"/>
          <w:numId w:val="1"/>
        </w:numPr>
        <w:rPr/>
      </w:pPr>
      <w:bookmarkStart w:id="727" w:name="pg9131_76195"/>
      <w:bookmarkStart w:id="728" w:name="__RefHeading___Toc2992160_2870459653"/>
      <w:bookmarkStart w:id="729" w:name="_Toc276"/>
      <w:bookmarkEnd w:id="727"/>
      <w:bookmarkEnd w:id="728"/>
      <w:r>
        <w:rPr/>
        <w:t>1</w:t>
      </w:r>
      <w:r>
        <w:rPr>
          <w:rtl w:val="true"/>
        </w:rPr>
        <w:t xml:space="preserve">. </w:t>
      </w:r>
      <w:r>
        <w:rPr>
          <w:rtl w:val="true"/>
        </w:rPr>
        <w:t>مصادر المقدّمة</w:t>
      </w:r>
      <w:bookmarkEnd w:id="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الوديعة في تراجم مشاهير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الأصفهاني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تراث الشّيعة،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السّتار الحسني،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تراث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الطّف أو 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جواد شبّر،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القزويني في تراجم المنسيين والمعروفين من أعلام العراق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عبد الكريم الدّباغ، عدنان الدّباغ،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جريدة النّجف،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حواشي وتعليقات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حجر، المطبعة المرتضوية في النّجف الأشرف،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علي بن ميرزا محمود التبريزي الغروي في ربيع الأوَّل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موجزة في سيرة السّيّد محمَّد جواد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محمَّد حسن الغريفي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اليزدي سيرته وأضواء على مرجعيته ووثائقه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ذوي القربى،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 أو النّجفيات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في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الشّيخ شريف الشّيخ محمَّد الحسين آل كاشف الغطاء،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ومكتبة الإمام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حسين الحسيني الجلالي،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الحسيني الجلالي،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الإجازات ومنبع الإفادات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بن محمَّد باقر بن محمَّد تقي الرّازي أصلاً والأصفهاني منشأ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الرّضوي، منشورات دار التراث،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حرز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مطبعة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الفكر والأدب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الدّكتور محمَّد هادي الأميني،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ملف السيد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الإمام محمَّد الحسين آل كاشف الغطاء العامّة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ملف السيد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مكتبة الإمام محمَّد الحسين آل كاشف الغطاء العامّة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ملف مكتبة الدكتور باقر كاشف الغطاء، مكتبة الإمام محمَّد الحسين آل كاشف الغطاء العامّة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30" w:name="pg9131_76198"/>
    </w:p>
    <w:p>
      <w:pPr>
        <w:pStyle w:val="Heading4"/>
        <w:numPr>
          <w:ilvl w:val="3"/>
          <w:numId w:val="1"/>
        </w:numPr>
        <w:rPr/>
      </w:pPr>
      <w:bookmarkStart w:id="731" w:name="__RefHeading___Toc2992162_2870459653"/>
      <w:bookmarkStart w:id="732" w:name="_Toc277"/>
      <w:bookmarkEnd w:id="730"/>
      <w:bookmarkEnd w:id="731"/>
      <w:r>
        <w:rPr/>
        <w:t>2</w:t>
      </w:r>
      <w:r>
        <w:rPr>
          <w:rtl w:val="true"/>
        </w:rPr>
        <w:t xml:space="preserve">. </w:t>
      </w:r>
      <w:r>
        <w:rPr>
          <w:rtl w:val="true"/>
        </w:rPr>
        <w:t>مصادر تحقيق جواب مسألة الشهيد</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 xml:space="preserve">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مطبعة خورشيد، سنة الطبع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تحرير 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نزيه حماد،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المطبوعات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جمال الدين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منصور بن أحمد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 الكبير على متن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المكارم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المقدّسة،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الحديث للطباعة والنشر،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الأحكام في فقه شريعة الإسلام، للمولى محمّد مهدي ابن أبي ذر النراقي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مؤسسة كاشف الغطاء العامة في النّجف الأشرف 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آثار الجعفرية،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الشيخ جعفر بن الحسن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مكارم 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مطبعة خورشيد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733" w:name="pg9131_76204"/>
    </w:p>
    <w:p>
      <w:pPr>
        <w:pStyle w:val="Heading4"/>
        <w:numPr>
          <w:ilvl w:val="3"/>
          <w:numId w:val="1"/>
        </w:numPr>
        <w:rPr/>
      </w:pPr>
      <w:bookmarkStart w:id="734" w:name="__RefHeading___Toc2992164_2870459653"/>
      <w:bookmarkStart w:id="735" w:name="_Toc278"/>
      <w:bookmarkEnd w:id="733"/>
      <w:bookmarkEnd w:id="734"/>
      <w:r>
        <w:rPr/>
        <w:t>3</w:t>
      </w:r>
      <w:r>
        <w:rPr>
          <w:rtl w:val="true"/>
        </w:rPr>
        <w:t xml:space="preserve">. </w:t>
      </w:r>
      <w:r>
        <w:rPr>
          <w:rtl w:val="true"/>
        </w:rPr>
        <w:t>مصادر تحقيق جواب مسألة الوصاية</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خورشيد، سنة الطبع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إصباح الشيعة بمصباح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البيهقي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الأزدي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الحسيني الأرموي المحدث،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وچاب دانشكاه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محمد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تحرير 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الحسن بن يوسف بن المطهّر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حسين الكركي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المطبعة العلميّة – 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عبد العزيز بن البراج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البهادري،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 طهران،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آل عصفور الدرازي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النجف الدينية، سنة الطبع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السيّد محمّد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منصور بن أحمد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حاج نايب،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الرضوي الكشميري،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الوثقى مع تعليقاتها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المكارم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 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المعين لشرح قرة العين بمهمات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عبد العزيز المليباري الفناني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مجيد الدين محمد بن يعقوب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الطبع 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الصلاح تقي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ﻫ،ط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علي الحسن اليوسفي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بناه الإشتهاردي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آغا حسين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المولى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الفضل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آغا مجتبى العراقي، الشيخ علي بناه الاشتهاردي، الحاج آغا حسين اليزدي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محيي الدين بن شرف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النحوي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مالك بن أنس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مطبعة السعادة بجوار محافظة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المراسم العلوية في الأحكام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يعلى حمزة بن عبد العزيز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الحسيني الأميني،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المعاونية الثقافية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الحسن بن عبد الله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المحتاج إلى معرفة معاني ألفاظ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أحمد الشربيني</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w:t>
      </w:r>
    </w:p>
    <w:p>
      <w:pPr>
        <w:pStyle w:val="BookText"/>
        <w:rPr/>
      </w:pPr>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مطبعة خورشيد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وكذا في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 تحقيق السيد حسن الموسوي الخرسان وكذا في ط الحجرية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وكذا في ط دار التعارف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أحمد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سنة الطبع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ونكتها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عين الله الحسني الأرموي،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بن محمود المدعو بالمولى محسن الكاشاني الملقب بالفيض محمد محسن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شوّال المكرم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عماد الدين 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 النجفي،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الوصايا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الصوم في السفر،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السفر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 الصلاة في السفر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بن عبيد الله، وأحمد بن عبدون كلّهم، عن أبي محمّد الحسن ابن الحمزة العلوي، وأبي جعفر محمّد بن الحسين البزوفري جميعاً، عن أحمد بن إدريس، عن محمّد بن أحمد بن يحيى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يستظهر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حمدان من النسخ فيكون المسؤول هو حمدان بن أحمد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 البئر يقع فيه الفأرة والوزغة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 جداً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ونحوه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علة وجوب الحج والطواف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دلّ على تحتم التقصير على مرجوحيته ففي غاية البعد وشدة المخالفة للظاهر لا يرضى به خصوصاً عند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الأدلة من تقريرات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ترجيح شهرة القول بالتخيير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واقعة إلّا ولها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رواية، بل هو معنىً متصيَّد من مجموعة روايات بلغت حدّ الاستفاضة، يراجع في ذلك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ابن حنظلة وقد وقع فيه صفوان بن يحيى،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أبحاث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الشيخ الداوري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وسماحة الشيخ آل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محضر بحثه الشريف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المؤمن القمّي في مباني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عبد الكريم الأردبيلي في فقه القضاء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والقضاء في 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الأحوال الشخصية العراقي الضرورة ومتطلبات التطوير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استهلال تاريخي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الأحوال الشخصية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قانون 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لائحة الأسباب الموجبة المرقم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قاسم وعراقيون آخرون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قانون 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الدستور المؤقت </w:t>
      </w:r>
      <w:r>
        <w:rPr>
          <w:rFonts w:eastAsia="IRNazanin" w:cs="IRNazanin"/>
          <w:b w:val="false"/>
          <w:bCs w:val="false"/>
          <w:i w:val="false"/>
          <w:iCs w:val="false"/>
          <w:color w:val="333333"/>
          <w:sz w:val="20"/>
          <w:szCs w:val="20"/>
        </w:rPr>
        <w:t>21/9/1968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التشريعات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القضاء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قانون 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هناك مفهوم للحكم والسلطة في الفكر الإسلامي؟ مقالة في مجلة الثقافة الجديدة،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الثاني عشر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السادس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والألفاظ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شرح قانون الأحوال الشخصية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 تقنين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الفقه الإسلامي المعاصر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شرح قانون الأحوال الشخصية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شرح قانون الأحوال الشخصية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في مباحث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الراجح من أقوال الفقهاء في المعاملات وإلزام القضاة بالحكم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أبحاث هيئة كبار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الراجح من أقوال الفقهاء في المعاملات وإلزام القضاة بالحكم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وابن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وأيضاً في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الغرب الإسلامي،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وصححه الألباني في صحيح الجامع، وفي إرواء الغليل في تخريج أحاديث منار السبيل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في تخريج أحاديث منار السبيل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لابن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تقنين الأحكام الشرعية، تاريخه، 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سعد بن علي الشثري، دار التوحيد للنشر،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ﻫ، نقلاً عن كتاب أبحاث هيئة كبار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الراجح من أقوال الفقهاء في المعاملات وإلزام القضاة بالحكم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 إلى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الساطع في الفقه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بتصرف وتلخيص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والولايات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أبحاث هيئة كبار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وأبحاث هيئة كبار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شرح تنوير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وهامش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دروس الأعلام ونقدها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 المسألة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على كلمات الأعلام راجع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نافعة في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آية الله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مسائل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بتصرّف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بفتحهما الوقت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المسمّى عندهم بمسألة الجمع بين الحكم الظاهري والواقعي، وجميع المحاذير مبنية على بقاء الحكم الواقعي في مورد الأمارة على 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ارتفاع الحكم الواقعي يستلزم التصويب الباطل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كان الدليل المهمّ على حجّيتها السيرة العقلائية كنّا بحاجة إلى بحث مستقل عن السيرة ودليليتها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ذكر فائدة أخرى في الاستدلال بالسيرة، حيث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والواقع أنّ الاستدلال بالسيرة لم يقتصر على خصوص المسائل الأصولية وفي باب الأمارات، بل شاع ذلك في الفقه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في مثل أبواب المعاملات التي يكون للعقلاء تقنين فيها، بل الملحوظ اتساع دائرة الاستدلال بها كلما تقلصت الأدلة التي كان يعوّل عليها سابقاً لإثبات المسلّمات والمرتكزات الفقهية من أمثال الإجماع المنقول والشهرة، وإعراض المشهور عن خبر صحيح، أو عملهم بخبر ضعيف ونحو ذلك، فإنّه قد عوض بالسيرة عن مثل هذه الأدلة في كثير من المسائل التي يتحرّج فيها الفقيه الخروج عن فتاوى القدماء من الأصحاب، أو الآراء الفقهية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ذكرت عبارة أنوار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الأمارات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الأمارات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جعل الأمارات وحجيتها من باب الطريقية والكاشفية من دون أنْ تكون دخيلة في الواقع أصلاً في مقابل الحجّية بمعنى السببية والموضوعية للأمارات التي لها تأثير في الواقع، وهذا التفسير فيه عدة 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السببية المنسوبة للأشاعرة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السببية المنسوبة للمعتزلة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السببية بمعنى المصلحة السلوكية، ويقصد بها كون المصلحة في نفس سلوك الأمارة وتطبيق العمل عليها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 الأصل الأولي القاعدة المستفادة من حكم العقل أو النقل، الدالة على حكم ما في بادئ الأمر في مقابل الأصل الثانوي الذي هو القاعدة المستفادة من الأدلة الخاصة على خلاف ما دلّ عليه الأصل الأولي غالباً،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الأولي عدم حجّية الظنّ بشتى أقسامه؛ لأجل العمومات الدالة على حرمة العمل بالظن، لكن خرجنا عن هذا الأصل بما دلّ على حجية بعض الظنون كالسنّة المنقولة بطريق معتبر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عدّة وجوه في ذلك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الإجزاء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المضمون مكرّر في المباحث الأصولية في مظانه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الحجية حكم من الأحكام الوضعية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تعلّقت إرادة المولى بإعطاء القانون الطريقي، فخبر الثقة بعنوانه العام ممضى، وهذا الطريق حجّة يقوم مقام القطع، وتترتب عليه آثار القطع من المنجّزية والمعذريّة، والتنجيز والتعذير فرع إمضاء الشارع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الأمور 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كالخمر والإسكار والسمّ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التعبد بها إلى جعل أحكامها، لا إلى جعلها؛ وذلك لأنها تابعة لأسبابها التكوينية الخارجية الحقيقية ولا تقبل الجعل التشريعي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على الاستدلال على جواز تقليد الميت بقاءً بالاستصحاب والمناقشة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في التنبيه الثاني من تنبيهات الاستصحاب، وفي هامش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بناءً على ما هو المشهور من كون مؤديات الأمارات أحكاماً ظاهرية شرعية، كما اشتهر أنّ ظنية الطريق لا ينافي قطعية الحكم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المجعول في الأمارات هو الحكم التكليفي وبالتالي فإنّ الحجية غير مجعولة بنفسها ولكنّها مجعولة بتبع جعل منشأ انتزاعها أي الأحكام التكليفية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أدلة القائلين باعتبار الظن في المسائل الأصولية دون الفرعية، في مناقشة ما ذكره صاحب الفصول، المناقشة الخامسة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التخطئة والتصويب في الاجتهاد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وكذلك لاحظ عبارته في مبحث الظن،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الاستصحاب، التنبيه السابع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لاحظ</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أنّ الخبر كان مخطئاً للواقع، فإذا سار المكلف على طبقه كان منقاداً وإذا لم يسر على طبقه كان متجرياً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الاستصحاب، التنبيه الثاني، وص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الاستدلال على جواز تقليد الميت بقاءً بالاستصحاب والمناقشة فيه، وص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التخطئة والتصويب من مباحث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الاستصحاب، التنبيه السابع أنّ المستفاد من أخبار الاستصحاب أنّ المجعول فيها إنشاء الحكم المماثل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الظن، الجواب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في المقصد الثامن، تعارض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عن وجه تقدّم الأمارات على الأصول الشرعية،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الطريقية لها عدة استعمالات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أنّه لا يوجد حكم مجعول ظاهري أصلاً، فالطريقية هي التي لا تنشأ عن مصلحة في نفسها، بل للتحفظ على الملاكات الواقعية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مقابل السببية والموضوعية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جاءت في تعبير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مسلكه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الطريقية والمحرزية والكاشفية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قال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المجعول في باب الأمارات هي الطريقية واعتبارها علماً بالتعبد، كما يظهر ذلك من الأخبار المعبّرة عمّن قامت عنده الأمارة بالعارف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في حلالنا وحرامنا وعرف أحكامنا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من عنده الأمارة عارفاً تعبدياً بالأحكام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بعد كون الأمارة علماً تعبديّاً كما في تعبير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قامت عنده الأمارة بالعارف والفقيه والعالم لا يبقى موضوع لأصل من الأصول الشرعية تعبداً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وما بعدها، وله عبارات أخرى كثيرة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الاعتبار تجعل الأمارة فرداً من العلم، ثم بعد ذلك يلحقها آثار العلم قهراً، فالشارع في باب الاعتبار ابتداءً يعتبرها فرداً من العلم، وهذا بخلافه في باب التنزيل فإنّه تبقى الأمارة ظناً ولا تُجعل فرداً من العلم، غاية الأمر تُرتّب ابتداءً آثار العلم على الأمارة، فهناك فرق بين أنْ يقول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اعتبرت الأمارة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المسالك والمباني فيما هو المجعول في الأمارات والأصول هو أنّ أدلة الحجية للأمارات والأصول تقتضي تنزيل المؤدّى منزلة الواقع أي أنّ الشارع نزّل الحكم المستفاد من الأمارة أو الأصل منزلة الواقع وكأنّه ينشئ حكماً واقعياً مطابقاً لمفاد الأمارة، فلو ورد خبر مفاده حرمة أكل الأرنب فإنّه يكون سبباً لنشوء حكم واقعي مطابق لمؤدّى الخبر، وهو حرمة أكل لحم الأرنب، وهكذا لو أجريت أصالة الطهارة في مشكوك الطهارة فإنّه يوجب تحقيق حكم واقعي وهو طهارة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كلمات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المسلك المعروف هو أنّ المجعول في باب الطرق والأمارات هو تنزيل المؤدّى منزلة الواقع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للعلم أربع خصوصيات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عن الواقع، والجري العملي على طبقه، وكونه منجّزاً ومعذّراً، وكونه صفة نفسية تتسم بالاستقرار وعدم التزلزل بخلاف صفة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 الأولى هي المجعولة في الأمارة، والثانية في الأصل المحرز، والثالثة في الأصل الصرف والمحض، وأمّا الرابعة فهي صفة تكوينية مختصّة باليقين فقط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والنكتة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أخبار الثقة تفيد الوثوق النوعي بالواقع، فهي أقوى كشفاً عن الواقع وأقرب طريقاً من أخبار غيره، ومن لم يعمل بخبر الثقة لعدم وثوقه الشخصي يُلام عقلائياً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وصول الأحكام للمكلّف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الوجداني،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بالاطمئنان والوثوق، وثالثة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بالعلم التعبدي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أمارة معتبرة، كخبر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فالأمارة المعتبرة توجب وصول الأحكام الواقعية ظاهراً وتنجزاً، وكون الأمارة من المولى حجّة إنَّما هو لاهتمام المولى بالحفاظ على الأحكام الواقعية، وعدم رضاه بتفويتها في حالة الاشتباه 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بالتنجّز كما في قاعدة الاشتغال في موارد الشبهات الحكمية قبل الفحص، فهنا التكليف قد وصل بالتنجّز وعدم جريان الأصول المؤمنة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بحث في مرحلة الإثبات في وقوع التعبد بالظن، وبيان ما هو الأصل، ومقتضى القاعدة الأولية المستفادة من حكم العقل، أو عمومات النقل عدم الحجّية الفعلية عند الشك في إنشائها، بمعنى عدم ترتب آثار الحجية من صحة الاستناد اليها في مقام العمل، ومن صحة إسناد مؤداها إلى الشارع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بالحكم الظاهري هنا هذه الحجية الثابتة للأمارة فإنّ الحكم الظاهري كما يطلق على الحكم المستفاد من الأمارة أو الأصل يطلق أيضاً على نفس الحجية الثابتة للأمارة أو الأصل، فيصحّ أنْ يقال الحكم الظاهري في باب الأمارات هو حجية الأمارة، وفي باب الأصول هو حجية الأصل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الأمارة مقام القطع الطريقي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لزوم اجتماع المثلين ليس محذوراً، فإنّ الاجتماع يوجب التأكّد ويكون الوجوب الجامع آكد وأقوى مناطاً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ابن قِبة حرّكت الأصوليين في ذكر مسالكٍ في حجية الأمارة، ولا يخفى أنَّ الجواب واحد على مسلك الآخوند وأيضاً على مسلك المحقّق النائيني، وهو أنَّ الأمارة لا تجعل حكماً فلا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المحقّق النائيني ترك مسلك الآخوند في ما هو المجعول في الأمارة؛ لاستلزامه محذور تخصيص قاعدة قبح العقاب بلا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فهم أنَّ مبنى الآخوند هو أنَّ المجعول المنجزية والمعذرية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العقلاء في واقع حالهم عندما يأخذون بالأمارة فذلك لعدم اهتمامهم باحتمال الخلاف فشأنهم إلغاء احتمال الخلاف، وهذا معناه صفة المحرزية والكاشفية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فالقطع الطريقي هو الذي لم يؤخذ في الموضوع، كما لو قال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فالحرمة ثابتة لذات</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قطعت بكون زيدٍ مريضاً فزره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فالقطع في هذا المثال أُخذ في الموضوع بما هو طريق لإحراز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الصفتي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قطعت بكون الحقّ لزيد فاشهد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فالقطع في هذا المثال أُخذ في الموضوع بما هو صفة نفسانية، أي إنْ قطعت في نفسك أنّ الحق لزيد فاشهد 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قيام الأمارة مقام القطع الطريقي المحض، فدليل حجّية الأمارة يدلّ على قيامها مقامه في إثبات المنجزية والمعذرية وهو القدر المتيقن من دليل حجّيتها وكونها كالقطع، كما أنَّ المعروف عدم قيام الأمارة مقام القطع الموضوعي الصفتي؛ إذ أقصى ما يستفاد من دليل حجّية الأمارة أنّها كالقطع من ناحية التنجيز والتعذير، وأمّا من ناحية الآثار من جهة كونه موضوعاً وصفة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كجواز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يستفاد ذلك لقصور في 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قيام الأمارة مقام القطع الموضوعي الطريقي فقد اتضح الحال فيه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اتّضح أنّ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حكومة الأمارة على أدلة الأحكام الواقعية هي حكومة ظاهرية، وذكر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أيضاً الحكومة في مقام الإثبات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قبال الحكومة الواقعية التي في مقام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دليل الأمارة لا يتكفل التوسعة أو التضييق في الواقع، بل في طريق إحراز الواقع وسمّاها أيضاً بأنّها الحكومة التي تكون في طول الواقع باعتبار أنّ حكومة دليل الأمارة بلحاظ وقوعها في طريق إحراز الواقع في رتبة الجهل به، لا بلحاظ التوسعة في رتبة الواقع نفسه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كون التعليل متصلاً بالمفهوم لا يمنع من ثبوت وانعقاد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اللوازم بالمعنى الأعم للحياة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كنبات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قد تطرأ وقد لا تطرأ، واللوازم بالمعنى الأخص للحياة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كالتنفس والأكل والنوم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يثبتان بالأمارة، فالثانية من باب أنّها داخلة في الظهور، وأمّا الأولى فمن باب أنّ الأمارة حجّة في لوازمها غير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العقلية أو 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لوازم الأمارة سواء بالمعنى الأعم أو الأخص هي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 أنّ الثانية من باب الظهور، وتظهر الثمرة باعتبار ذلك دليلاً لفظياً، والأولى من باب اللوازم، فهي ليست دليلاً لفظياً، فإذا شك يتمسك بالقدر المتيقّن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الأصل فكلا اللازمين لا يثبت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الأمارة ليست حجّة في مثبتاتها ولوازمها كالأصل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الثوب نجساً 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الثقة بأنّه قد طهّر حكم بالطهارة لأجل الأمارة، وكذا لو ورد حديث يدلّ على وجوب الجمعة في عصر الغيبة، والاستصحاب يقتضي ذلك كما هو واضح، فإنّه يحكم بوجوب الجمعة لأجل الحديث وليس لاقتضاء الاستصحاب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ولاحظ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كون الأصول الجارية المتعارضة مرخصة ما لو كان عندنا إناءان حالتهما السابقة الطهارة، ثم علمنا بطرو النجاسة على أحدهما، فهنا يقتضي الاستصحاب في كل منهما الطهارة، ويصطلح على استصحاب الطهارة بالأصل المرخّص والمعذّر، باعتبار أنّه رخّص لنا الارتكاب كشرب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كون الأصول الجارية المتعارضة منجزة هو العكس فيكون استصحاب النجاسة في كل منهما هو استصحاب منجّز حيث ينجّز وجوب الاجتناب، ولو ارتكب أحدهما وكان واقعاً نجساً فلا عذر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 عندنا ماء قليل مستصحب الطهارة، وثوب متنجس قطعاً فغسل الثوب بهذا الماء فهنا بعد الغسل يجري استصحابان متعارضان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على أنَّ الأصل الأولي عدم الحجّية عند الشك في أنّ الظن حجّة في الشريعة أو لا بعدّة وجوه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في هذا الكلام للسيرة العقلائية فهي التي بحاجة إلى الإمضاء بخلاف سيرة المتشرعة فلا تحتاج إلى إمضاء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يقال بأنّ الردع عنها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نفس جريان سيرة المتشرعة على شيء دليل على رضا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وإلّا لم يكونوا متشرعة ومتقيّدين برضا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السورة هو أثر مضمون خبر زرارة، ووجود أثر شرعي لمضمون الخبر شرط</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هو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المولى أنشأ وجوباً واحداً للتصديق لا وجوبات متعددة للتصديق بعدد الأفراد حتى يزول الإشكال، ويقال إنّ وجوب التصديق الثابت لخبر الشيخ مغاير لوجوب التصديق الثابت لخبر المفيد فلا يلزم اتّحاد الحكم وموضوعه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أجيب بأنّ الإشكال مندفع من أساسه؛ لأنّ وجوب التصديق الثابت لخبر الثقة ينحل إلى وجوبات متعددة بعدد أفراد أخبار الثقة نظير انحلال حرمة شرب الخمر إلى حرمات متعددة بعدد أفراد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عليه يكون وجوب التصديق الثابت لخبر الشيخ مغايراً لوجوب التصديق الثابت لخبر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وبنفس هذا يُجاب عن الإشكال الثاني الآتي، وهو لزوم تقدّم الحكم على موضوعه، أو قل تقدّم فعلية الحكم على وجود موضوعه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الوجوه أنّه لا دليل من آية أو رواية على لزوم كون مؤدى الأمارة حكماً شرعياً أو ذا أثر شرعي، وإنّما نعتبر ذلك من جهة حكم العقل بأنّ التعبّد بأمر لا يكون له أثر شرعي لغوٌ لا يصدر من الحكيم، ويكفي في دفع محذور اللغوية وقوع الخبر في سلسلة إثبات الحكم الشرعي الصادر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ويكفي في حجية أخبار الرواة ترتّب الأثر الشرعي على مجموعها من حيث المجموع ولا ملزم لاعتبار ترتّب أثر شرعي على كلّ خبر مع قطع النظر عن خبر آخر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مردد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عيسى الأشعري وابن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ثقة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القرص الفقهي مكتبة أهل البيت الإصدار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والصحيح ما أثبتناه وهو مطابق لبعض النّسخ من البصائر وما هو موجود في البحار نقلاً عنها، وكذلك المصادر الأخرى التي نقلت الرواية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كما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أنّه جعفر بن الحسين بن علي بن شهريار أبو محمَّد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وثقّه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أنّه من مشايخ القميين، وعليه حمل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الحسين الذي روى عنه الشّيخ الصدوق في بعض كتبه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وجهه ممّا تقدّم آنفاً في تحديد المراد بجعفر بن الحسين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ثابت بن دينار أبو حمزة الثمالي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ذكره بعض أساتذتنا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لسيّد الأساتذة السيّد الخوئي ومستشهداً بكلام المحقّق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 الأخير كلام النجاشي بشأن أحمد بن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يمكن أن يستشهد لذلك بما رواه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لا أقلّ بالمفضّل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المعلى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معلى، قد كنت أتوقع ذلك؛ لأنّه أذاع سرنا، وليس الناصب لنا حرباً بأعظم مؤونة علينا من المذيع علينا سرنا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أبوه عن عبد الله ابن جعفر الحميري، عن أيوب بن نوح، عن محمَّد بن أبي عمير، عن عبد الله بن سنان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 وأسماء المصنفين وأصحاب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أبي عمير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الرواية المذكورة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فضال، وابن الغضائري، والنجاشي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النّجاشي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الغضائري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ضعّفه ابن الغضائري في رجاله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وكذا النجاشي في رجاله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بالبطل كذّاب غالٍ يروي عن الغلاة، لا خير فيه، ولا يعتد بروايته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ابن المطلب الشيباني، 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ضعّفه جلّ الأصحاب كما ذكر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ضعّفه ابن الغضائري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أبو سمينة بقرينة الراوي عنه وهو محمَّد بن حسان الرّازي، والرجل متفق على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فيه النّجاشي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وضعّفه ابن الغضائري صريحاً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نجد مع الفحص الأكيد رواية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سمينة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مباشرة في غير هذا المورد، ونقل النّعماني في الغيبة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حواشيها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فروى جابر في الحسن،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جنازة من أربع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عنها بالحسنة لوجود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 في أحكام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 في شرح تكملة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ذلك أنّ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مطعون فيه، لا تختلف العصابة في تهمته وضعفه، وما كان هذا سبيله لم يعمل عليه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وذكر في حقّه في كتابه الآخر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فممّن روى النصّ على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من أبيه والإشارة إليه منه بذلك، من خاصته وثقاته وأهل الورع والعلم والفقه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سنان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يلاحظ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مصطلحات الرجال والدراية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الخلط أو التخليط في الاصطلاح له عدة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الاعتقاد الصحيح بالفاسد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الروايات المنكرة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أسانيد الأخبار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 المطالب الصحيحة بغيرها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وجيم مصغّر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سلمة بن حشم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وبالشين المعجمة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أسد بن خليبة الكوفي الحضرمي، كما ذكره في تهذيب الكمال،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أبوه على مطهرة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وثقه ابن حجر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لقمان صدوق من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 في وثاقته، وأنّه قد وثقّه النسائي وابن حبان، وقال البخاري وابن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وقال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بقوي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إنّه لم يسمع هذا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حديث لا تدخل الملائكة بيتاً فيه 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الشافعي أنّه مجهول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تزويق البيوت والتصاوير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هذا المضمون عند العامة ينتهي سنده إلى أبي زرعة عن ابن نجي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وأيضاً وردت بإسناد عامي عن جابر عن ابن نجي 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الحسن بن علي الوشاء، عن أبان، عن عمرو بن خالد،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رسول الله إنّا لا ندخل بيتاً فيه صورة إنسان، ولا بيتاً يبال فيه، ولا بيتاً فيه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ضعيفة بمعلى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تحقيقه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نجي الحضرمي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في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 بن عبد الله أبو عبد الله النخعي قاضي الكوفة، سمع أبا إسحاق الهمداني وسلمة بن كهيل، قال عبد الله بن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وسبعين ومائة، وقال أحمد بن أبي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مقتل قتيبة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قد محي ولم ينعم محوه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محوت لتفسد خطه،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طلستها،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طمستها، وفي نسخة طامستها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قرأ سورة يس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وما نزل من القرآن في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الغدير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الذنب يحرم من الرزق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في الآيات النازلة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نوح بن أبي مريم، واسمه مابنة،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جعونة المروزي، أبو عصمة القرشي قاضي مرو، ويعرف بنوح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بن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وسليمان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السائب الكلبي، ومحمَّد بن عبد الرحمن بن أبي ليلى، ومحمَّد بن مسلم ابن شهاب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حنيفة النّعمان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 بن مصعب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عصمة نوح بن أبي مريم الجامع كان أبوه مجوسياً اسمه مابنة واستقضى على مرو وأبو حنيفة حي، فكتب إليه أبو حنيفة بكتاب 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الجامع؛ لأنَّه أخذ الرأي عن أبي حنيفة، وابن أبي ليلى، والحديث عن حجّاج بن أرطاة ومن كان في زمانه، وأخذ المغازي عن محمَّد بن إسحاق، والتفسير عن الكلبي، ومقاتل، وكان مع ذلك عالماً بأمور الدنيا، فسمي نوح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البخاري وأحمد ابن حنبل ويحيى بن معين وأبو زرعة وأبو حاتم وابن المبارك ومسلم بن الحجّاج والدارقطني والنسائي وآخرون، وذكر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وضع حديث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ذلك موكول إلى محل آخر إن شاء الله تعالى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فبالإضافة إلى عبد الله بن حمّاد الأنصاري وعمرو بن شمر،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هوذة، قال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ابن النضر بن سعيد الباهلي المعروف بابن أبي هراسة، يلقّب أبوه هوذة سمع منه التلعكبري سنة إحدى وثلاثين وثلاثمائة، وله منه إجازة مات في ذي الحجة سنة ثلاث وثلاثين وثلاثمائة يوم التروية بجسر النهروان، ودفن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الخطيب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هوذة أبو سليمان النهرواني، حدّث عن إبراهيم بن إسحاق الأحمري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ليس له توثيق في كتب الرجال فهو مهمل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بن أبي الخطاب، عن الحسن بن علي، عن صالح بن سهل،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تأويلها فيما يأتي في عذاب يقع في 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ناراً، وهذا تفسير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ينتهي إلى 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كناسة بني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تمرّ بثقيف لا تدع وتراً لآل محمَّد إلّا أحرقته، وذلك قبل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زمنين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غير موجود في كتب الرجال والفهارس للعامّة والخاصّة، فالرجل مهمل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ألوان النّعال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ألوان النّعال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ابن العذراء وهو مجهول كما ذكر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مولى عبد الله بن قيس بن مخرمة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حدود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المعتمر بن عبد الله بن ربيعة بن حريث بن مالك بن رفاعة بن الحارث بن بهثة بن سليم السلمي كنيته أبو عتاب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المسودة بسنة وجاءت المسودة إلى الكوفة سنة إحدى وثلاثين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ودكين لقب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بن زهير بن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والرجل ثقة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وغيره من المصادر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ميزان الاعتدال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 بن فروخ، أبو سعيد القطان الأحول،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تميم، من أهل البصرة المولود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والمتوفى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مهدي بن حسان بن عبد الرحمن، أبو سعيد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وتوفى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عليّة مولى بني أسد من أهل البصرة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واسم أبيه إبراهيم بن سهم بن مقسم، ولد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أو أربع وتسعين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أحمد عبد الله بن عدي بن عبد الله بن محمَّد بن مبارك الجرجاني، ولد سنة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ﻫ وتوفى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خالد كنيته أبو عبد الله كوفي، واسم أبي خالد سعد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أو ست وأربعين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الإمام أبو جعفر محمَّد بن عمرو بن موسى بن حماد العقيلي، ت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بن أبي تميمة جَلَس السختياني بفتح المهملة بعدها ثم مثناة ثم تحتانية وبعد الألف نون أبو بكر البصري، ثقة، ثبت، حجة، من كبار الفقهاء العباد من الخامسة، 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ﻫ وله خمس وستون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أبهم ابن حبّان، ولكنَّ المزي صرّح بذلك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عنده ثلاثين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أكثم بن محمَّد بن قطن بن سمعان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مختلف فيه وهو متهم بإتيان الغلمان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مهدي بن حسان اللؤلؤي أبو سعيد البصري مولى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الخلاف في هذا الرجل، فقد ضعّفه ابن الغضائري صريحاً، والنجاشي ذكر أنَّ أمره كان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وردت بلفظ سبعين حديثاً في الكافي الطبعة الحديثة طبعة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وكل المصادر التي نقلت من الكافي كذلك، مثلاً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مرآة العقول في شرح أخبار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أصول الكافي والروضة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التاريخ العربي مع تعليقة أبو الحسن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الوقر في حمل البغل والحمار، والوسق في حمل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امرأة موقرة، بفتح القاف، إذا حملت حملاً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وأوقرت النخلة، أي كثر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والقاف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يدل على ثقل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في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نخلة موقرة وموقر، أي ذات حمل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ما ذكره النجاشي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علي 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أبي جيد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شيخه وشيخ الشيخ، ولم يوثق، ولكنّ الظاهر أنّه شيخ إجازة فلا يضر عدم ثبوت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متيل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الأزد،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الزيات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الحسين بن أبي الخطاب أبو جعفرالزيات الهمداني، ثقة،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صفوان بن يحيى وغيره، عن أبان بن عثمان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فهرسته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ياسين الضرير الزيات البصري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والشيخ أيضاً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ولم يتعرضوا لحاله فالرجل مهمل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أورد فيه أربعة أحاديث، وكلّها ضعيفة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في بيان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شيبة بن الصلت بن عصفور، أبو يوسف السدوسي،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الله بن جعفر بن نجيح السعدي، أبو الحسن ابن المديني البصري مولى عروة بن عطية السعدي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البخاري وأحمد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مهدي بن حسان اللؤلؤي أبو سعيد البصري مولى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أبي عمرو أبو زرعة السيباني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عند أحفاده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مولده كان عام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ﻫ، كما نقل ذلك العلّامة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نقباء البشر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تأليف هذا السِفر الخالد عام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ﻫ، وطبع الطّبعة الأولى في بغداد عام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هذه الفتوى في مجلّة العلم النّجفية،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المجلد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جناجة وهي إحدى قرى العذار، في الحلّة الفيحاء، وقد انتقل منها جدّهم الشّيخ خضر بن يحيى بن مطر بن سيف الدين إلى النّجف الأشرف للدراسة في حوزتها، والمالكي نسبة إلى الموالك وهم طوائف من سكان البوادي يرجعون بالنسب إلى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آل علي الّذين هم عشيرة المترجَم 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في تراجم العلماء والأدباء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بداية حركة المشروطة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وتبع ذلك انتخاب المجلس النّيابي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الشّوروي الملي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وافتتح المجلس الملي في طهران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وتمت صياغة الدّستور الإيراني ومصادقة الشّاه مظفر الدين في كانون الثاني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الدّستور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أغلب موادّه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استنساخاً للدستور البلجيكي الصادر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الدّستور للدولة العثمانية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عام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الوديعة في تراجم مشاهير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عزيز بك،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هو جمال السّفاح،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بن علي بن محمَّد رضا بن محسن التّستري أصلاً الأصفهاني الحائري، الشّهير بالشّيخ حسن الكربلائي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أفاضل تلاميذ الميرزا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وتعليقات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النّجف،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صورة من الوصية الموجودة في مكتبة الإمام محمَّد الحسين آل كاشف الغطاء العامّة في النّجف الأشرف، ملف السَّيّد كاظم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صورة من الوصية موجودة في مكتبة الإمام محمَّد الحسين آل كاشف الغطاء العامّة في النّجف الأشرف، ملف السَّيّد كاظم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الوديعة في تراجم مشاهير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 وتعليقات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موجزة في سيرة السّيّد محمَّد جواد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في تراجم العلماء والأدباء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معجم رجال الفكر والأدب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أو النّجفيات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العلّامة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العلّامة الكبير الحاج ميرزا حسين بن ميرزا خليل بن إبراهيم الطّهراني النّجفي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حسن الصدر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أفقه أقرانه في فهم كلمات الفقهاء، وكان على جانب عظيم من التّقوى والورع وكثرة الصّلاة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حضر بحث صاحب الجواهر، والشّيخ الأنصاري،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مسجد السّهلة آخر ليلة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الإجازات ومنبع الإفادات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القزويني في تراجم المنسيين والمعروفين من أعلام العراق وغيرهم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التواريخ مأخوذة من وثيقة صورة قيد النّفوس لعائلة المترجَم له الموجودة في مكتبة الإمام محمَّد الحسين آل كاشف الغطاء العامّة في النّجف الأشرف، ملف مكتبة الدّكتور باقر كاشف الغطاء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القزويني في تراجم المنسيين والمعروفين من أعلام العراق وغيرهم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السًّيّد عبد 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علي الموسويّ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42/292</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بين يدي النّبي أو الإمام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أُحد بين يدي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صفّين بين يدي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صفّين بين يدي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إشارة السّبق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والذّخيرة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مدني أحد رواة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سنتين من نهاية خلافة عمر بن الخطاب في المدينة، وتوفي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الأحكام في فقه شريعة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 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ذكي الرّيح إذا جف ابيّض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القتلى،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القتلى،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القتلى،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بفارق يسير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وتوجيههم عند الوفاة،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القتلى،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القتلى،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أكيل السبع والطير والقتيل يوجد بعض جسده والحريق،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الشّيخ الصّدوق لم يذكر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هذا الحديث بهذا النّص غير موجود في مجاميعنا الحديثية، وإنَّما يوجد في مصادر العامّة كما في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هنا استظهر في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الجميع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القتيل في سبيل الله، والقتيل في المعركة في طاعة الله، ومن قتل بين الصفّين، وغيرها من العناوين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الخبر ضعيف، وطريقه رجال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خرج مخرج التّقيّة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حواشيها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خرم يقدّر بستّ عشرة كلمة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خرم بقدّر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بها المحلّ المتلبس بالعراك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الشّيخ الأنصاري في طهارته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 السّبع والطّير والقتيل يوجد بعض جسده والحريق،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الشّرح الكبير لابن عبد الرحمن 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وغيرها من المصادر حارثة بن 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إعلام الورى بأعلام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دون مظلمته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 السّبع والطّير والقتيل يوجد بعض جسده والحريق،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مرسلة الصّدوق،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ومصادر العامّة كالاستيعاب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وغيره من مصادر التّاريخ</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القتلى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القتلى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والاستبصار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الصلاة على كلّ ميِّت مسلم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الجواب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 السُّؤال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كما عرفت، ثُمَّ أعقبه بالجواب عن هذا السُّؤال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w:t>
      </w:r>
      <w:r>
        <w:rPr>
          <w:rFonts w:ascii="IRNazanin" w:hAnsi="IRNazanin" w:eastAsia="IRNazanin"/>
          <w:b w:val="false"/>
          <w:b w:val="false"/>
          <w:bCs w:val="false"/>
          <w:i w:val="false"/>
          <w:i w:val="false"/>
          <w:iCs w:val="false"/>
          <w:color w:val="333333"/>
          <w:sz w:val="20"/>
          <w:sz w:val="20"/>
          <w:szCs w:val="20"/>
          <w:rtl w:val="true"/>
        </w:rPr>
        <w:t>،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منجزات المريض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منَّا لمناسبة السياق لها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جامع المقاصد في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وصريح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الوصايا والمواريث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المصدر، ولم يُشَر في جوامع الأخبار الثانوية إلى وجود نسخة تتضمن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بعض كتب المتأخرين الفقهيّة ذُكر الخبر متضمناً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منجّزات المريض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مع اختلاف يسير في ألفاظه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والخبر مرويّ مع اختلافٍ يسيرٍ في ألفاظه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باب ما للإنسان أنْ يُوصي بعد موته،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أَخذوا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سبق قلمٍ واضح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من أوصى وعليه دين،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ألفاظ الحديث اختلافٌ يسير في المصادر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فليلاحظ</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باب الرجل يقطع رأس ميت،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الرجل يقطع رأس ميت،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في التهذيب والاستبصار عن علي بن إبراهيم ومحمد بن علي بن محبوب بإسناديهما عن الحسين بن خالد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باب الرجل يقطع رأس ميت،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جميلة وإسحاق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مدعياً الإجماع عليه،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22/427</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نافياً وجدانه للخلاف فيه، الوصايا والمواريث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منجَّزات المريض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جامع المقاصد في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حيث نسب إلى مالك وأكثر البغداديين هذا القول، مغني المحتاج إلى معرفة معاني ألفاظ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منَّا لمناسبة السياق لها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طرفة وطرف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ترعى أطراف المرعى ولا تختلط بالنوق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أطراف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وغيرهم ممّن سيشير إليهم المصنّف في الأصل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جامع المقاصد في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15/420</w:t>
      </w:r>
      <w:r>
        <w:rPr>
          <w:rFonts w:ascii="IRNazanin" w:hAnsi="IRNazanin" w:eastAsia="IRNazanin"/>
          <w:b w:val="false"/>
          <w:b w:val="false"/>
          <w:bCs w:val="false"/>
          <w:i w:val="false"/>
          <w:i w:val="false"/>
          <w:iCs w:val="false"/>
          <w:color w:val="333333"/>
          <w:sz w:val="20"/>
          <w:sz w:val="20"/>
          <w:szCs w:val="20"/>
          <w:rtl w:val="true"/>
        </w:rPr>
        <w:t>، فتح المعين لشرح قرة العين بمهمات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يملك</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يوصي بعد موته،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العروة الوثقى مع تعليقاتها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3.jpeg"/><Relationship Id="rId385" Type="http://schemas.openxmlformats.org/officeDocument/2006/relationships/image" Target="media/image3.jpeg"/><Relationship Id="rId386" Type="http://schemas.openxmlformats.org/officeDocument/2006/relationships/footer" Target="footer379.xml"/><Relationship Id="rId387" Type="http://schemas.openxmlformats.org/officeDocument/2006/relationships/image" Target="media/image4.jpeg"/><Relationship Id="rId388" Type="http://schemas.openxmlformats.org/officeDocument/2006/relationships/image" Target="media/image4.jpeg"/><Relationship Id="rId389" Type="http://schemas.openxmlformats.org/officeDocument/2006/relationships/footer" Target="footer380.xml"/><Relationship Id="rId390" Type="http://schemas.openxmlformats.org/officeDocument/2006/relationships/image" Target="media/image5.jpeg"/><Relationship Id="rId391" Type="http://schemas.openxmlformats.org/officeDocument/2006/relationships/image" Target="media/image5.jpeg"/><Relationship Id="rId392" Type="http://schemas.openxmlformats.org/officeDocument/2006/relationships/footer" Target="footer381.xml"/><Relationship Id="rId393" Type="http://schemas.openxmlformats.org/officeDocument/2006/relationships/image" Target="media/image6.jpeg"/><Relationship Id="rId394" Type="http://schemas.openxmlformats.org/officeDocument/2006/relationships/image" Target="media/image6.jpeg"/><Relationship Id="rId395" Type="http://schemas.openxmlformats.org/officeDocument/2006/relationships/footer" Target="footer382.xml"/><Relationship Id="rId396" Type="http://schemas.openxmlformats.org/officeDocument/2006/relationships/image" Target="media/image7.jpeg"/><Relationship Id="rId397" Type="http://schemas.openxmlformats.org/officeDocument/2006/relationships/image" Target="media/image7.jpeg"/><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6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64407</Words>
  <Characters>291464</Characters>
  <CharactersWithSpaces>353611</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2026-08-20T09:34:38Z</dcterms:created>
  <dc:creator>ghaemiyeh.com</dc:creator>
  <dc:description/>
  <dc:language>en-US</dc:language>
  <cp:lastModifiedBy/>
  <dcterms:modified xsi:type="dcterms:W3CDTF">2026-08-20T13:04:52Z</dcterms:modified>
  <cp:revision>1</cp:revision>
  <dc:subject/>
  <dc:title>دراسات علمیة - 11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