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5</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84101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684103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684105_2870459653">
            <w:r>
              <w:rPr>
                <w:webHidden/>
                <w:rStyle w:val="IndexLink"/>
                <w:rtl w:val="true"/>
              </w:rPr>
              <w:t>الأسس المعتمدة للنشر</w:t>
            </w:r>
            <w:r>
              <w:rPr>
                <w:rStyle w:val="IndexLink"/>
                <w:rtl w:val="true"/>
              </w:rPr>
              <w:tab/>
            </w:r>
            <w:r>
              <w:rPr>
                <w:rStyle w:val="IndexLink"/>
              </w:rPr>
              <w:t>9</w:t>
            </w:r>
          </w:hyperlink>
        </w:p>
        <w:p>
          <w:pPr>
            <w:pStyle w:val="Contents2"/>
            <w:tabs>
              <w:tab w:val="clear" w:pos="8743"/>
              <w:tab w:val="right" w:pos="9026" w:leader="dot"/>
            </w:tabs>
            <w:rPr/>
          </w:pPr>
          <w:hyperlink w:anchor="__RefHeading___Toc2684107_2870459653">
            <w:r>
              <w:rPr>
                <w:webHidden/>
                <w:rStyle w:val="IndexLink"/>
                <w:rtl w:val="true"/>
              </w:rPr>
              <w:t>محتويات العدد</w:t>
            </w:r>
            <w:r>
              <w:rPr>
                <w:rStyle w:val="IndexLink"/>
                <w:rtl w:val="true"/>
              </w:rPr>
              <w:tab/>
            </w:r>
            <w:r>
              <w:rPr>
                <w:rStyle w:val="IndexLink"/>
              </w:rPr>
              <w:t>10</w:t>
            </w:r>
          </w:hyperlink>
        </w:p>
        <w:p>
          <w:pPr>
            <w:pStyle w:val="Contents2"/>
            <w:tabs>
              <w:tab w:val="clear" w:pos="8743"/>
              <w:tab w:val="right" w:pos="9026" w:leader="dot"/>
            </w:tabs>
            <w:rPr/>
          </w:pPr>
          <w:hyperlink w:anchor="__RefHeading___Toc2684109_2870459653">
            <w:r>
              <w:rPr>
                <w:webHidden/>
                <w:rStyle w:val="IndexLink"/>
                <w:rtl w:val="true"/>
              </w:rPr>
              <w:t>كلمة العدد</w:t>
            </w:r>
            <w:r>
              <w:rPr>
                <w:rStyle w:val="IndexLink"/>
                <w:rtl w:val="true"/>
              </w:rPr>
              <w:tab/>
            </w:r>
            <w:r>
              <w:rPr>
                <w:rStyle w:val="IndexLink"/>
              </w:rPr>
              <w:t>12</w:t>
            </w:r>
          </w:hyperlink>
        </w:p>
        <w:p>
          <w:pPr>
            <w:pStyle w:val="Contents2"/>
            <w:tabs>
              <w:tab w:val="clear" w:pos="8743"/>
              <w:tab w:val="right" w:pos="9026" w:leader="dot"/>
            </w:tabs>
            <w:rPr/>
          </w:pPr>
          <w:hyperlink w:anchor="__RefHeading___Toc2684111_2870459653">
            <w:r>
              <w:rPr>
                <w:webHidden/>
                <w:rStyle w:val="IndexLink"/>
                <w:rtl w:val="true"/>
              </w:rPr>
              <w:t xml:space="preserve">نكاح الكتابية على المسلمة </w:t>
            </w:r>
            <w:r>
              <w:rPr>
                <w:rStyle w:val="IndexLink"/>
                <w:rtl w:val="true"/>
              </w:rPr>
              <w:t xml:space="preserve">- </w:t>
            </w:r>
            <w:r>
              <w:rPr>
                <w:rStyle w:val="IndexLink"/>
                <w:rtl w:val="true"/>
              </w:rPr>
              <w:t>الشيخ علي المحمداوي دام عزه</w:t>
            </w:r>
            <w:r>
              <w:rPr>
                <w:rStyle w:val="IndexLink"/>
                <w:rtl w:val="true"/>
              </w:rPr>
              <w:tab/>
            </w:r>
            <w:r>
              <w:rPr>
                <w:rStyle w:val="IndexLink"/>
              </w:rPr>
              <w:t>16</w:t>
            </w:r>
          </w:hyperlink>
        </w:p>
        <w:p>
          <w:pPr>
            <w:pStyle w:val="Contents3"/>
            <w:tabs>
              <w:tab w:val="clear" w:pos="8459"/>
              <w:tab w:val="right" w:pos="9026" w:leader="dot"/>
            </w:tabs>
            <w:rPr/>
          </w:pPr>
          <w:hyperlink w:anchor="__RefHeading___Toc2684113_2870459653">
            <w:r>
              <w:rPr>
                <w:webHidden/>
                <w:rStyle w:val="IndexLink"/>
                <w:rtl w:val="true"/>
              </w:rPr>
              <w:t>اشارة</w:t>
            </w:r>
            <w:r>
              <w:rPr>
                <w:rStyle w:val="IndexLink"/>
                <w:rtl w:val="true"/>
              </w:rPr>
              <w:tab/>
            </w:r>
            <w:r>
              <w:rPr>
                <w:rStyle w:val="IndexLink"/>
              </w:rPr>
              <w:t>16</w:t>
            </w:r>
          </w:hyperlink>
        </w:p>
        <w:p>
          <w:pPr>
            <w:pStyle w:val="Contents3"/>
            <w:tabs>
              <w:tab w:val="clear" w:pos="8459"/>
              <w:tab w:val="right" w:pos="9026" w:leader="dot"/>
            </w:tabs>
            <w:rPr/>
          </w:pPr>
          <w:hyperlink w:anchor="__RefHeading___Toc2684115_2870459653">
            <w:r>
              <w:rPr>
                <w:webHidden/>
                <w:rStyle w:val="IndexLink"/>
                <w:rtl w:val="true"/>
              </w:rPr>
              <w:t>الجمع بين الأدلة</w:t>
            </w:r>
            <w:r>
              <w:rPr>
                <w:rStyle w:val="IndexLink"/>
                <w:rtl w:val="true"/>
              </w:rPr>
              <w:tab/>
            </w:r>
            <w:r>
              <w:rPr>
                <w:rStyle w:val="IndexLink"/>
              </w:rPr>
              <w:t>40</w:t>
            </w:r>
          </w:hyperlink>
        </w:p>
        <w:p>
          <w:pPr>
            <w:pStyle w:val="Contents3"/>
            <w:tabs>
              <w:tab w:val="clear" w:pos="8459"/>
              <w:tab w:val="right" w:pos="9026" w:leader="dot"/>
            </w:tabs>
            <w:rPr/>
          </w:pPr>
          <w:hyperlink w:anchor="__RefHeading___Toc2684117_2870459653">
            <w:r>
              <w:rPr>
                <w:webHidden/>
                <w:rStyle w:val="IndexLink"/>
                <w:rtl w:val="true"/>
              </w:rPr>
              <w:t>تتمة نذكر فيها أُموراً ترتبط بأصل البحث</w:t>
            </w:r>
            <w:r>
              <w:rPr>
                <w:rStyle w:val="IndexLink"/>
                <w:rtl w:val="true"/>
              </w:rPr>
              <w:tab/>
            </w:r>
            <w:r>
              <w:rPr>
                <w:rStyle w:val="IndexLink"/>
              </w:rPr>
              <w:t>43</w:t>
            </w:r>
          </w:hyperlink>
        </w:p>
        <w:p>
          <w:pPr>
            <w:pStyle w:val="Contents3"/>
            <w:tabs>
              <w:tab w:val="clear" w:pos="8459"/>
              <w:tab w:val="right" w:pos="9026" w:leader="dot"/>
            </w:tabs>
            <w:rPr/>
          </w:pPr>
          <w:hyperlink w:anchor="__RefHeading___Toc2684119_2870459653">
            <w:r>
              <w:rPr>
                <w:webHidden/>
                <w:rStyle w:val="IndexLink"/>
                <w:rtl w:val="true"/>
              </w:rPr>
              <w:t>المصادر</w:t>
            </w:r>
            <w:r>
              <w:rPr>
                <w:rStyle w:val="IndexLink"/>
                <w:rtl w:val="true"/>
              </w:rPr>
              <w:tab/>
            </w:r>
            <w:r>
              <w:rPr>
                <w:rStyle w:val="IndexLink"/>
              </w:rPr>
              <w:t>53</w:t>
            </w:r>
          </w:hyperlink>
        </w:p>
        <w:p>
          <w:pPr>
            <w:pStyle w:val="Contents2"/>
            <w:tabs>
              <w:tab w:val="clear" w:pos="8743"/>
              <w:tab w:val="right" w:pos="9026" w:leader="dot"/>
            </w:tabs>
            <w:rPr/>
          </w:pPr>
          <w:hyperlink w:anchor="__RefHeading___Toc2684121_2870459653">
            <w:r>
              <w:rPr>
                <w:webHidden/>
                <w:rStyle w:val="IndexLink"/>
                <w:rtl w:val="true"/>
              </w:rPr>
              <w:t>قتل العمد بين الفقه الإسلامي وقانون العقوبات العراقي</w:t>
            </w:r>
            <w:r>
              <w:rPr>
                <w:rStyle w:val="IndexLink"/>
                <w:rtl w:val="true"/>
              </w:rPr>
              <w:t>(</w:t>
            </w:r>
            <w:r>
              <w:rPr>
                <w:rStyle w:val="IndexLink"/>
                <w:rtl w:val="true"/>
              </w:rPr>
              <w:t>الحلقة الثالثة</w:t>
            </w:r>
            <w:r>
              <w:rPr>
                <w:rStyle w:val="IndexLink"/>
                <w:rtl w:val="true"/>
              </w:rPr>
              <w:t xml:space="preserve">) - </w:t>
            </w:r>
            <w:r>
              <w:rPr>
                <w:rStyle w:val="IndexLink"/>
                <w:rtl w:val="true"/>
              </w:rPr>
              <w:t>الشيخ يحيى السعداوي دام عزه</w:t>
            </w:r>
            <w:r>
              <w:rPr>
                <w:rStyle w:val="IndexLink"/>
                <w:rtl w:val="true"/>
              </w:rPr>
              <w:tab/>
            </w:r>
            <w:r>
              <w:rPr>
                <w:rStyle w:val="IndexLink"/>
              </w:rPr>
              <w:t>56</w:t>
            </w:r>
          </w:hyperlink>
        </w:p>
        <w:p>
          <w:pPr>
            <w:pStyle w:val="Contents3"/>
            <w:tabs>
              <w:tab w:val="clear" w:pos="8459"/>
              <w:tab w:val="right" w:pos="9026" w:leader="dot"/>
            </w:tabs>
            <w:rPr/>
          </w:pPr>
          <w:hyperlink w:anchor="__RefHeading___Toc2684123_2870459653">
            <w:r>
              <w:rPr>
                <w:webHidden/>
                <w:rStyle w:val="IndexLink"/>
                <w:rtl w:val="true"/>
              </w:rPr>
              <w:t>اشارة</w:t>
            </w:r>
            <w:r>
              <w:rPr>
                <w:rStyle w:val="IndexLink"/>
                <w:rtl w:val="true"/>
              </w:rPr>
              <w:tab/>
            </w:r>
            <w:r>
              <w:rPr>
                <w:rStyle w:val="IndexLink"/>
              </w:rPr>
              <w:t>56</w:t>
            </w:r>
          </w:hyperlink>
        </w:p>
        <w:p>
          <w:pPr>
            <w:pStyle w:val="Contents3"/>
            <w:tabs>
              <w:tab w:val="clear" w:pos="8459"/>
              <w:tab w:val="right" w:pos="9026" w:leader="dot"/>
            </w:tabs>
            <w:rPr/>
          </w:pPr>
          <w:hyperlink w:anchor="__RefHeading___Toc2684125_2870459653">
            <w:r>
              <w:rPr>
                <w:webHidden/>
                <w:rStyle w:val="IndexLink"/>
                <w:rtl w:val="true"/>
              </w:rPr>
              <w:t>المبحث الثالث</w:t>
            </w:r>
            <w:r>
              <w:rPr>
                <w:rStyle w:val="IndexLink"/>
                <w:rtl w:val="true"/>
              </w:rPr>
              <w:tab/>
            </w:r>
            <w:r>
              <w:rPr>
                <w:rStyle w:val="IndexLink"/>
              </w:rPr>
              <w:t>58</w:t>
            </w:r>
          </w:hyperlink>
        </w:p>
        <w:p>
          <w:pPr>
            <w:pStyle w:val="Contents4"/>
            <w:tabs>
              <w:tab w:val="clear" w:pos="8176"/>
              <w:tab w:val="right" w:pos="9026" w:leader="dot"/>
            </w:tabs>
            <w:rPr/>
          </w:pPr>
          <w:hyperlink w:anchor="__RefHeading___Toc2684127_2870459653">
            <w:r>
              <w:rPr>
                <w:webHidden/>
                <w:rStyle w:val="IndexLink"/>
                <w:rtl w:val="true"/>
              </w:rPr>
              <w:t>أولا ً</w:t>
            </w:r>
            <w:r>
              <w:rPr>
                <w:rStyle w:val="IndexLink"/>
                <w:rtl w:val="true"/>
              </w:rPr>
              <w:t xml:space="preserve">: </w:t>
            </w:r>
            <w:r>
              <w:rPr>
                <w:rStyle w:val="IndexLink"/>
                <w:rtl w:val="true"/>
              </w:rPr>
              <w:t>مصاديق القتل العمد وتطبيقاته في قانون العقوبات العراقي</w:t>
            </w:r>
            <w:r>
              <w:rPr>
                <w:rStyle w:val="IndexLink"/>
                <w:rtl w:val="true"/>
              </w:rPr>
              <w:tab/>
            </w:r>
            <w:r>
              <w:rPr>
                <w:rStyle w:val="IndexLink"/>
              </w:rPr>
              <w:t>58</w:t>
            </w:r>
          </w:hyperlink>
        </w:p>
        <w:p>
          <w:pPr>
            <w:pStyle w:val="Contents4"/>
            <w:tabs>
              <w:tab w:val="clear" w:pos="8176"/>
              <w:tab w:val="right" w:pos="9026" w:leader="dot"/>
            </w:tabs>
            <w:rPr/>
          </w:pPr>
          <w:hyperlink w:anchor="__RefHeading___Toc2684129_2870459653">
            <w:r>
              <w:rPr>
                <w:webHidden/>
                <w:rStyle w:val="IndexLink"/>
                <w:rtl w:val="true"/>
              </w:rPr>
              <w:t>ثانياً</w:t>
            </w:r>
            <w:r>
              <w:rPr>
                <w:rStyle w:val="IndexLink"/>
                <w:rtl w:val="true"/>
              </w:rPr>
              <w:t xml:space="preserve">: </w:t>
            </w:r>
            <w:r>
              <w:rPr>
                <w:rStyle w:val="IndexLink"/>
                <w:rtl w:val="true"/>
              </w:rPr>
              <w:t>العقوبات المقررة قانوناً للقتل العمد</w:t>
            </w:r>
            <w:r>
              <w:rPr>
                <w:rStyle w:val="IndexLink"/>
                <w:rtl w:val="true"/>
              </w:rPr>
              <w:tab/>
            </w:r>
            <w:r>
              <w:rPr>
                <w:rStyle w:val="IndexLink"/>
              </w:rPr>
              <w:t>67</w:t>
            </w:r>
          </w:hyperlink>
        </w:p>
        <w:p>
          <w:pPr>
            <w:pStyle w:val="Contents3"/>
            <w:tabs>
              <w:tab w:val="clear" w:pos="8459"/>
              <w:tab w:val="right" w:pos="9026" w:leader="dot"/>
            </w:tabs>
            <w:rPr/>
          </w:pPr>
          <w:hyperlink w:anchor="__RefHeading___Toc2684131_2870459653">
            <w:r>
              <w:rPr>
                <w:webHidden/>
                <w:rStyle w:val="IndexLink"/>
                <w:rtl w:val="true"/>
              </w:rPr>
              <w:t>الفصل الثالث</w:t>
            </w:r>
            <w:r>
              <w:rPr>
                <w:rStyle w:val="IndexLink"/>
                <w:rtl w:val="true"/>
              </w:rPr>
              <w:t xml:space="preserve">: </w:t>
            </w:r>
            <w:r>
              <w:rPr>
                <w:rStyle w:val="IndexLink"/>
                <w:rtl w:val="true"/>
              </w:rPr>
              <w:t>المقارنة بين القتل العمد في المذاهب الفقهية، وقانون العقوبات العراقي</w:t>
            </w:r>
            <w:r>
              <w:rPr>
                <w:rStyle w:val="IndexLink"/>
                <w:rtl w:val="true"/>
              </w:rPr>
              <w:tab/>
            </w:r>
            <w:r>
              <w:rPr>
                <w:rStyle w:val="IndexLink"/>
              </w:rPr>
              <w:t>70</w:t>
            </w:r>
          </w:hyperlink>
        </w:p>
        <w:p>
          <w:pPr>
            <w:pStyle w:val="Contents4"/>
            <w:tabs>
              <w:tab w:val="clear" w:pos="8176"/>
              <w:tab w:val="right" w:pos="9026" w:leader="dot"/>
            </w:tabs>
            <w:rPr/>
          </w:pPr>
          <w:hyperlink w:anchor="__RefHeading___Toc2684133_2870459653">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2684135_2870459653">
            <w:r>
              <w:rPr>
                <w:webHidden/>
                <w:rStyle w:val="IndexLink"/>
                <w:rtl w:val="true"/>
              </w:rPr>
              <w:t>المبحث الأول</w:t>
            </w:r>
            <w:r>
              <w:rPr>
                <w:rStyle w:val="IndexLink"/>
                <w:rtl w:val="true"/>
              </w:rPr>
              <w:tab/>
            </w:r>
            <w:r>
              <w:rPr>
                <w:rStyle w:val="IndexLink"/>
              </w:rPr>
              <w:t>71</w:t>
            </w:r>
          </w:hyperlink>
        </w:p>
        <w:p>
          <w:pPr>
            <w:pStyle w:val="Contents4"/>
            <w:tabs>
              <w:tab w:val="clear" w:pos="8176"/>
              <w:tab w:val="right" w:pos="9026" w:leader="dot"/>
            </w:tabs>
            <w:rPr/>
          </w:pPr>
          <w:hyperlink w:anchor="__RefHeading___Toc2684137_2870459653">
            <w:r>
              <w:rPr>
                <w:webHidden/>
                <w:rStyle w:val="IndexLink"/>
                <w:rtl w:val="true"/>
              </w:rPr>
              <w:t>المبحث الثاني</w:t>
            </w:r>
            <w:r>
              <w:rPr>
                <w:rStyle w:val="IndexLink"/>
                <w:rtl w:val="true"/>
              </w:rPr>
              <w:tab/>
            </w:r>
            <w:r>
              <w:rPr>
                <w:rStyle w:val="IndexLink"/>
              </w:rPr>
              <w:t>76</w:t>
            </w:r>
          </w:hyperlink>
        </w:p>
        <w:p>
          <w:pPr>
            <w:pStyle w:val="Contents5"/>
            <w:tabs>
              <w:tab w:val="clear" w:pos="7892"/>
              <w:tab w:val="right" w:pos="9026" w:leader="dot"/>
            </w:tabs>
            <w:rPr/>
          </w:pPr>
          <w:hyperlink w:anchor="__RefHeading___Toc2684139_2870459653">
            <w:r>
              <w:rPr>
                <w:webHidden/>
                <w:rStyle w:val="IndexLink"/>
                <w:rtl w:val="true"/>
              </w:rPr>
              <w:t>اشارة</w:t>
            </w:r>
            <w:r>
              <w:rPr>
                <w:rStyle w:val="IndexLink"/>
                <w:rtl w:val="true"/>
              </w:rPr>
              <w:tab/>
            </w:r>
            <w:r>
              <w:rPr>
                <w:rStyle w:val="IndexLink"/>
              </w:rPr>
              <w:t>76</w:t>
            </w:r>
          </w:hyperlink>
        </w:p>
        <w:p>
          <w:pPr>
            <w:pStyle w:val="Contents5"/>
            <w:tabs>
              <w:tab w:val="clear" w:pos="7892"/>
              <w:tab w:val="right" w:pos="9026" w:leader="dot"/>
            </w:tabs>
            <w:rPr/>
          </w:pPr>
          <w:hyperlink w:anchor="__RefHeading___Toc2684141_2870459653">
            <w:r>
              <w:rPr>
                <w:webHidden/>
                <w:rStyle w:val="IndexLink"/>
              </w:rPr>
              <w:t>1</w:t>
            </w:r>
            <w:r>
              <w:rPr>
                <w:rStyle w:val="IndexLink"/>
                <w:rtl w:val="true"/>
              </w:rPr>
              <w:t xml:space="preserve">- </w:t>
            </w:r>
            <w:r>
              <w:rPr>
                <w:rStyle w:val="IndexLink"/>
                <w:rtl w:val="true"/>
              </w:rPr>
              <w:t>القتل بالمحدد</w:t>
            </w:r>
            <w:r>
              <w:rPr>
                <w:rStyle w:val="IndexLink"/>
                <w:rtl w:val="true"/>
              </w:rPr>
              <w:tab/>
            </w:r>
            <w:r>
              <w:rPr>
                <w:rStyle w:val="IndexLink"/>
              </w:rPr>
              <w:t>78</w:t>
            </w:r>
          </w:hyperlink>
        </w:p>
        <w:p>
          <w:pPr>
            <w:pStyle w:val="Contents5"/>
            <w:tabs>
              <w:tab w:val="clear" w:pos="7892"/>
              <w:tab w:val="right" w:pos="9026" w:leader="dot"/>
            </w:tabs>
            <w:rPr/>
          </w:pPr>
          <w:hyperlink w:anchor="__RefHeading___Toc2684143_2870459653">
            <w:r>
              <w:rPr>
                <w:webHidden/>
                <w:rStyle w:val="IndexLink"/>
              </w:rPr>
              <w:t>2</w:t>
            </w:r>
            <w:r>
              <w:rPr>
                <w:rStyle w:val="IndexLink"/>
                <w:rtl w:val="true"/>
              </w:rPr>
              <w:t xml:space="preserve">- </w:t>
            </w:r>
            <w:r>
              <w:rPr>
                <w:rStyle w:val="IndexLink"/>
                <w:rtl w:val="true"/>
              </w:rPr>
              <w:t>القتل بالمثقل</w:t>
            </w:r>
            <w:r>
              <w:rPr>
                <w:rStyle w:val="IndexLink"/>
                <w:rtl w:val="true"/>
              </w:rPr>
              <w:tab/>
            </w:r>
            <w:r>
              <w:rPr>
                <w:rStyle w:val="IndexLink"/>
              </w:rPr>
              <w:t>79</w:t>
            </w:r>
          </w:hyperlink>
        </w:p>
        <w:p>
          <w:pPr>
            <w:pStyle w:val="Contents5"/>
            <w:tabs>
              <w:tab w:val="clear" w:pos="7892"/>
              <w:tab w:val="right" w:pos="9026" w:leader="dot"/>
            </w:tabs>
            <w:rPr/>
          </w:pPr>
          <w:hyperlink w:anchor="__RefHeading___Toc2684145_2870459653">
            <w:r>
              <w:rPr>
                <w:webHidden/>
                <w:rStyle w:val="IndexLink"/>
              </w:rPr>
              <w:t>3</w:t>
            </w:r>
            <w:r>
              <w:rPr>
                <w:rStyle w:val="IndexLink"/>
                <w:rtl w:val="true"/>
              </w:rPr>
              <w:t xml:space="preserve">- </w:t>
            </w:r>
            <w:r>
              <w:rPr>
                <w:rStyle w:val="IndexLink"/>
                <w:rtl w:val="true"/>
              </w:rPr>
              <w:t>الإلقاء في مهلكة</w:t>
            </w:r>
            <w:r>
              <w:rPr>
                <w:rStyle w:val="IndexLink"/>
                <w:rtl w:val="true"/>
              </w:rPr>
              <w:tab/>
            </w:r>
            <w:r>
              <w:rPr>
                <w:rStyle w:val="IndexLink"/>
              </w:rPr>
              <w:t>81</w:t>
            </w:r>
          </w:hyperlink>
        </w:p>
        <w:p>
          <w:pPr>
            <w:pStyle w:val="Contents5"/>
            <w:tabs>
              <w:tab w:val="clear" w:pos="7892"/>
              <w:tab w:val="right" w:pos="9026" w:leader="dot"/>
            </w:tabs>
            <w:rPr/>
          </w:pPr>
          <w:hyperlink w:anchor="__RefHeading___Toc2684147_2870459653">
            <w:r>
              <w:rPr>
                <w:webHidden/>
                <w:rStyle w:val="IndexLink"/>
              </w:rPr>
              <w:t>4</w:t>
            </w:r>
            <w:r>
              <w:rPr>
                <w:rStyle w:val="IndexLink"/>
                <w:rtl w:val="true"/>
              </w:rPr>
              <w:t xml:space="preserve">- </w:t>
            </w:r>
            <w:r>
              <w:rPr>
                <w:rStyle w:val="IndexLink"/>
                <w:rtl w:val="true"/>
              </w:rPr>
              <w:t>الإغراق والإحراق</w:t>
            </w:r>
            <w:r>
              <w:rPr>
                <w:rStyle w:val="IndexLink"/>
                <w:rtl w:val="true"/>
              </w:rPr>
              <w:tab/>
            </w:r>
            <w:r>
              <w:rPr>
                <w:rStyle w:val="IndexLink"/>
              </w:rPr>
              <w:t>82</w:t>
            </w:r>
          </w:hyperlink>
        </w:p>
        <w:p>
          <w:pPr>
            <w:pStyle w:val="Contents5"/>
            <w:tabs>
              <w:tab w:val="clear" w:pos="7892"/>
              <w:tab w:val="right" w:pos="9026" w:leader="dot"/>
            </w:tabs>
            <w:rPr/>
          </w:pPr>
          <w:hyperlink w:anchor="__RefHeading___Toc2684149_2870459653">
            <w:r>
              <w:rPr>
                <w:webHidden/>
                <w:rStyle w:val="IndexLink"/>
              </w:rPr>
              <w:t>5</w:t>
            </w:r>
            <w:r>
              <w:rPr>
                <w:rStyle w:val="IndexLink"/>
                <w:rtl w:val="true"/>
              </w:rPr>
              <w:t xml:space="preserve">- </w:t>
            </w:r>
            <w:r>
              <w:rPr>
                <w:rStyle w:val="IndexLink"/>
                <w:rtl w:val="true"/>
              </w:rPr>
              <w:t>الخنق</w:t>
            </w:r>
            <w:r>
              <w:rPr>
                <w:rStyle w:val="IndexLink"/>
                <w:rtl w:val="true"/>
              </w:rPr>
              <w:tab/>
            </w:r>
            <w:r>
              <w:rPr>
                <w:rStyle w:val="IndexLink"/>
              </w:rPr>
              <w:t>84</w:t>
            </w:r>
          </w:hyperlink>
        </w:p>
        <w:p>
          <w:pPr>
            <w:pStyle w:val="Contents5"/>
            <w:tabs>
              <w:tab w:val="clear" w:pos="7892"/>
              <w:tab w:val="right" w:pos="9026" w:leader="dot"/>
            </w:tabs>
            <w:rPr/>
          </w:pPr>
          <w:hyperlink w:anchor="__RefHeading___Toc2684151_2870459653">
            <w:r>
              <w:rPr>
                <w:webHidden/>
                <w:rStyle w:val="IndexLink"/>
              </w:rPr>
              <w:t>6</w:t>
            </w:r>
            <w:r>
              <w:rPr>
                <w:rStyle w:val="IndexLink"/>
                <w:rtl w:val="true"/>
              </w:rPr>
              <w:t xml:space="preserve">- </w:t>
            </w:r>
            <w:r>
              <w:rPr>
                <w:rStyle w:val="IndexLink"/>
                <w:rtl w:val="true"/>
              </w:rPr>
              <w:t>الحبس ومنع الطعام والشراب</w:t>
            </w:r>
            <w:r>
              <w:rPr>
                <w:rStyle w:val="IndexLink"/>
                <w:rtl w:val="true"/>
              </w:rPr>
              <w:tab/>
            </w:r>
            <w:r>
              <w:rPr>
                <w:rStyle w:val="IndexLink"/>
              </w:rPr>
              <w:t>85</w:t>
            </w:r>
          </w:hyperlink>
        </w:p>
        <w:p>
          <w:pPr>
            <w:pStyle w:val="Contents5"/>
            <w:tabs>
              <w:tab w:val="clear" w:pos="7892"/>
              <w:tab w:val="right" w:pos="9026" w:leader="dot"/>
            </w:tabs>
            <w:rPr/>
          </w:pPr>
          <w:hyperlink w:anchor="__RefHeading___Toc2684153_2870459653">
            <w:r>
              <w:rPr>
                <w:webHidden/>
                <w:rStyle w:val="IndexLink"/>
              </w:rPr>
              <w:t>7</w:t>
            </w:r>
            <w:r>
              <w:rPr>
                <w:rStyle w:val="IndexLink"/>
                <w:rtl w:val="true"/>
              </w:rPr>
              <w:t xml:space="preserve">- </w:t>
            </w:r>
            <w:r>
              <w:rPr>
                <w:rStyle w:val="IndexLink"/>
                <w:rtl w:val="true"/>
              </w:rPr>
              <w:t>التسميم</w:t>
            </w:r>
            <w:r>
              <w:rPr>
                <w:rStyle w:val="IndexLink"/>
                <w:rtl w:val="true"/>
              </w:rPr>
              <w:tab/>
            </w:r>
            <w:r>
              <w:rPr>
                <w:rStyle w:val="IndexLink"/>
              </w:rPr>
              <w:t>88</w:t>
            </w:r>
          </w:hyperlink>
        </w:p>
        <w:p>
          <w:pPr>
            <w:pStyle w:val="Contents5"/>
            <w:tabs>
              <w:tab w:val="clear" w:pos="7892"/>
              <w:tab w:val="right" w:pos="9026" w:leader="dot"/>
            </w:tabs>
            <w:rPr/>
          </w:pPr>
          <w:hyperlink w:anchor="__RefHeading___Toc2684155_2870459653">
            <w:r>
              <w:rPr>
                <w:webHidden/>
                <w:rStyle w:val="IndexLink"/>
              </w:rPr>
              <w:t>8</w:t>
            </w:r>
            <w:r>
              <w:rPr>
                <w:rStyle w:val="IndexLink"/>
                <w:rtl w:val="true"/>
              </w:rPr>
              <w:t xml:space="preserve">- </w:t>
            </w:r>
            <w:r>
              <w:rPr>
                <w:rStyle w:val="IndexLink"/>
                <w:rtl w:val="true"/>
              </w:rPr>
              <w:t>القتل بوسيلة معنوية</w:t>
            </w:r>
            <w:r>
              <w:rPr>
                <w:rStyle w:val="IndexLink"/>
                <w:rtl w:val="true"/>
              </w:rPr>
              <w:tab/>
            </w:r>
            <w:r>
              <w:rPr>
                <w:rStyle w:val="IndexLink"/>
              </w:rPr>
              <w:t>93</w:t>
            </w:r>
          </w:hyperlink>
        </w:p>
        <w:p>
          <w:pPr>
            <w:pStyle w:val="Contents5"/>
            <w:tabs>
              <w:tab w:val="clear" w:pos="7892"/>
              <w:tab w:val="right" w:pos="9026" w:leader="dot"/>
            </w:tabs>
            <w:rPr/>
          </w:pPr>
          <w:hyperlink w:anchor="__RefHeading___Toc2684157_2870459653">
            <w:r>
              <w:rPr>
                <w:webHidden/>
                <w:rStyle w:val="IndexLink"/>
              </w:rPr>
              <w:t>9</w:t>
            </w:r>
            <w:r>
              <w:rPr>
                <w:rStyle w:val="IndexLink"/>
                <w:rtl w:val="true"/>
              </w:rPr>
              <w:t xml:space="preserve">- </w:t>
            </w:r>
            <w:r>
              <w:rPr>
                <w:rStyle w:val="IndexLink"/>
                <w:rtl w:val="true"/>
              </w:rPr>
              <w:t>القتل بسبب شرعي</w:t>
            </w:r>
            <w:r>
              <w:rPr>
                <w:rStyle w:val="IndexLink"/>
                <w:rtl w:val="true"/>
              </w:rPr>
              <w:tab/>
            </w:r>
            <w:r>
              <w:rPr>
                <w:rStyle w:val="IndexLink"/>
              </w:rPr>
              <w:t>95</w:t>
            </w:r>
          </w:hyperlink>
        </w:p>
        <w:p>
          <w:pPr>
            <w:pStyle w:val="Contents5"/>
            <w:tabs>
              <w:tab w:val="clear" w:pos="7892"/>
              <w:tab w:val="right" w:pos="9026" w:leader="dot"/>
            </w:tabs>
            <w:rPr/>
          </w:pPr>
          <w:hyperlink w:anchor="__RefHeading___Toc2684159_2870459653">
            <w:r>
              <w:rPr>
                <w:webHidden/>
                <w:rStyle w:val="IndexLink"/>
              </w:rPr>
              <w:t>10</w:t>
            </w:r>
            <w:r>
              <w:rPr>
                <w:rStyle w:val="IndexLink"/>
                <w:rtl w:val="true"/>
              </w:rPr>
              <w:t xml:space="preserve">- </w:t>
            </w:r>
            <w:r>
              <w:rPr>
                <w:rStyle w:val="IndexLink"/>
                <w:rtl w:val="true"/>
              </w:rPr>
              <w:t>رضا المجني عليه بالقتل</w:t>
            </w:r>
            <w:r>
              <w:rPr>
                <w:rStyle w:val="IndexLink"/>
                <w:rtl w:val="true"/>
              </w:rPr>
              <w:tab/>
            </w:r>
            <w:r>
              <w:rPr>
                <w:rStyle w:val="IndexLink"/>
              </w:rPr>
              <w:t>98</w:t>
            </w:r>
          </w:hyperlink>
        </w:p>
        <w:p>
          <w:pPr>
            <w:pStyle w:val="Contents5"/>
            <w:tabs>
              <w:tab w:val="clear" w:pos="7892"/>
              <w:tab w:val="right" w:pos="9026" w:leader="dot"/>
            </w:tabs>
            <w:rPr/>
          </w:pPr>
          <w:hyperlink w:anchor="__RefHeading___Toc2684161_2870459653">
            <w:r>
              <w:rPr>
                <w:webHidden/>
                <w:rStyle w:val="IndexLink"/>
              </w:rPr>
              <w:t>11</w:t>
            </w:r>
            <w:r>
              <w:rPr>
                <w:rStyle w:val="IndexLink"/>
                <w:rtl w:val="true"/>
              </w:rPr>
              <w:t xml:space="preserve">- </w:t>
            </w:r>
            <w:r>
              <w:rPr>
                <w:rStyle w:val="IndexLink"/>
                <w:rtl w:val="true"/>
              </w:rPr>
              <w:t>الاشتراك في القتل</w:t>
            </w:r>
            <w:r>
              <w:rPr>
                <w:rStyle w:val="IndexLink"/>
                <w:rtl w:val="true"/>
              </w:rPr>
              <w:tab/>
            </w:r>
            <w:r>
              <w:rPr>
                <w:rStyle w:val="IndexLink"/>
              </w:rPr>
              <w:t>100</w:t>
            </w:r>
          </w:hyperlink>
        </w:p>
        <w:p>
          <w:pPr>
            <w:pStyle w:val="Contents4"/>
            <w:tabs>
              <w:tab w:val="clear" w:pos="8176"/>
              <w:tab w:val="right" w:pos="9026" w:leader="dot"/>
            </w:tabs>
            <w:rPr/>
          </w:pPr>
          <w:hyperlink w:anchor="__RefHeading___Toc2684163_2870459653">
            <w:r>
              <w:rPr>
                <w:webHidden/>
                <w:rStyle w:val="IndexLink"/>
                <w:rtl w:val="true"/>
              </w:rPr>
              <w:t>المبحث الثالث</w:t>
            </w:r>
            <w:r>
              <w:rPr>
                <w:rStyle w:val="IndexLink"/>
                <w:rtl w:val="true"/>
              </w:rPr>
              <w:tab/>
            </w:r>
            <w:r>
              <w:rPr>
                <w:rStyle w:val="IndexLink"/>
              </w:rPr>
              <w:t>104</w:t>
            </w:r>
          </w:hyperlink>
        </w:p>
        <w:p>
          <w:pPr>
            <w:pStyle w:val="Contents3"/>
            <w:tabs>
              <w:tab w:val="clear" w:pos="8459"/>
              <w:tab w:val="right" w:pos="9026" w:leader="dot"/>
            </w:tabs>
            <w:rPr/>
          </w:pPr>
          <w:hyperlink w:anchor="__RefHeading___Toc2684165_2870459653">
            <w:r>
              <w:rPr>
                <w:webHidden/>
                <w:rStyle w:val="IndexLink"/>
                <w:rtl w:val="true"/>
              </w:rPr>
              <w:t>الخاتمة</w:t>
            </w:r>
            <w:r>
              <w:rPr>
                <w:rStyle w:val="IndexLink"/>
                <w:rtl w:val="true"/>
              </w:rPr>
              <w:tab/>
            </w:r>
            <w:r>
              <w:rPr>
                <w:rStyle w:val="IndexLink"/>
              </w:rPr>
              <w:t>109</w:t>
            </w:r>
          </w:hyperlink>
        </w:p>
        <w:p>
          <w:pPr>
            <w:pStyle w:val="Contents3"/>
            <w:tabs>
              <w:tab w:val="clear" w:pos="8459"/>
              <w:tab w:val="right" w:pos="9026" w:leader="dot"/>
            </w:tabs>
            <w:rPr/>
          </w:pPr>
          <w:hyperlink w:anchor="__RefHeading___Toc2684167_2870459653">
            <w:r>
              <w:rPr>
                <w:webHidden/>
                <w:rStyle w:val="IndexLink"/>
                <w:rtl w:val="true"/>
              </w:rPr>
              <w:t>المصادر والمراجع</w:t>
            </w:r>
            <w:r>
              <w:rPr>
                <w:rStyle w:val="IndexLink"/>
                <w:rtl w:val="true"/>
              </w:rPr>
              <w:tab/>
            </w:r>
            <w:r>
              <w:rPr>
                <w:rStyle w:val="IndexLink"/>
              </w:rPr>
              <w:t>116</w:t>
            </w:r>
          </w:hyperlink>
        </w:p>
        <w:p>
          <w:pPr>
            <w:pStyle w:val="Contents2"/>
            <w:tabs>
              <w:tab w:val="clear" w:pos="8743"/>
              <w:tab w:val="right" w:pos="9026" w:leader="dot"/>
            </w:tabs>
            <w:rPr/>
          </w:pPr>
          <w:hyperlink w:anchor="__RefHeading___Toc2684169_2870459653">
            <w:r>
              <w:rPr>
                <w:webHidden/>
                <w:rStyle w:val="IndexLink"/>
                <w:rtl w:val="true"/>
              </w:rPr>
              <w:t xml:space="preserve">الدلالة الإطلاقية </w:t>
            </w:r>
            <w:r>
              <w:rPr>
                <w:rStyle w:val="IndexLink"/>
                <w:rtl w:val="true"/>
              </w:rPr>
              <w:t xml:space="preserve">- </w:t>
            </w:r>
            <w:r>
              <w:rPr>
                <w:rStyle w:val="IndexLink"/>
                <w:rtl w:val="true"/>
              </w:rPr>
              <w:t>الشيخ نجم الترابي دام عزه</w:t>
            </w:r>
            <w:r>
              <w:rPr>
                <w:rStyle w:val="IndexLink"/>
                <w:rtl w:val="true"/>
              </w:rPr>
              <w:tab/>
            </w:r>
            <w:r>
              <w:rPr>
                <w:rStyle w:val="IndexLink"/>
              </w:rPr>
              <w:t>118</w:t>
            </w:r>
          </w:hyperlink>
        </w:p>
        <w:p>
          <w:pPr>
            <w:pStyle w:val="Contents3"/>
            <w:tabs>
              <w:tab w:val="clear" w:pos="8459"/>
              <w:tab w:val="right" w:pos="9026" w:leader="dot"/>
            </w:tabs>
            <w:rPr/>
          </w:pPr>
          <w:hyperlink w:anchor="__RefHeading___Toc2684171_2870459653">
            <w:r>
              <w:rPr>
                <w:webHidden/>
                <w:rStyle w:val="IndexLink"/>
                <w:rtl w:val="true"/>
              </w:rPr>
              <w:t>اشارة</w:t>
            </w:r>
            <w:r>
              <w:rPr>
                <w:rStyle w:val="IndexLink"/>
                <w:rtl w:val="true"/>
              </w:rPr>
              <w:tab/>
            </w:r>
            <w:r>
              <w:rPr>
                <w:rStyle w:val="IndexLink"/>
              </w:rPr>
              <w:t>118</w:t>
            </w:r>
          </w:hyperlink>
        </w:p>
        <w:p>
          <w:pPr>
            <w:pStyle w:val="Contents3"/>
            <w:tabs>
              <w:tab w:val="clear" w:pos="8459"/>
              <w:tab w:val="right" w:pos="9026" w:leader="dot"/>
            </w:tabs>
            <w:rPr/>
          </w:pPr>
          <w:hyperlink w:anchor="__RefHeading___Toc2684173_2870459653">
            <w:r>
              <w:rPr>
                <w:webHidden/>
                <w:rStyle w:val="IndexLink"/>
                <w:rtl w:val="true"/>
              </w:rPr>
              <w:t>الدلالة الإطلاقية</w:t>
            </w:r>
            <w:r>
              <w:rPr>
                <w:rStyle w:val="IndexLink"/>
                <w:rtl w:val="true"/>
              </w:rPr>
              <w:tab/>
            </w:r>
            <w:r>
              <w:rPr>
                <w:rStyle w:val="IndexLink"/>
              </w:rPr>
              <w:t>120</w:t>
            </w:r>
          </w:hyperlink>
        </w:p>
        <w:p>
          <w:pPr>
            <w:pStyle w:val="Contents3"/>
            <w:tabs>
              <w:tab w:val="clear" w:pos="8459"/>
              <w:tab w:val="right" w:pos="9026" w:leader="dot"/>
            </w:tabs>
            <w:rPr/>
          </w:pPr>
          <w:hyperlink w:anchor="__RefHeading___Toc2684175_2870459653">
            <w:r>
              <w:rPr>
                <w:webHidden/>
                <w:rStyle w:val="IndexLink"/>
                <w:rtl w:val="true"/>
              </w:rPr>
              <w:t>محل الدلالة الإطلاقية</w:t>
            </w:r>
            <w:r>
              <w:rPr>
                <w:rStyle w:val="IndexLink"/>
                <w:rtl w:val="true"/>
              </w:rPr>
              <w:tab/>
            </w:r>
            <w:r>
              <w:rPr>
                <w:rStyle w:val="IndexLink"/>
              </w:rPr>
              <w:t>121</w:t>
            </w:r>
          </w:hyperlink>
        </w:p>
        <w:p>
          <w:pPr>
            <w:pStyle w:val="Contents4"/>
            <w:tabs>
              <w:tab w:val="clear" w:pos="8176"/>
              <w:tab w:val="right" w:pos="9026" w:leader="dot"/>
            </w:tabs>
            <w:rPr/>
          </w:pPr>
          <w:hyperlink w:anchor="__RefHeading___Toc2684177_2870459653">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2684179_2870459653">
            <w:r>
              <w:rPr>
                <w:webHidden/>
                <w:rStyle w:val="IndexLink"/>
                <w:rtl w:val="true"/>
              </w:rPr>
              <w:t>المبحث الأول</w:t>
            </w:r>
            <w:r>
              <w:rPr>
                <w:rStyle w:val="IndexLink"/>
                <w:rtl w:val="true"/>
              </w:rPr>
              <w:tab/>
            </w:r>
            <w:r>
              <w:rPr>
                <w:rStyle w:val="IndexLink"/>
              </w:rPr>
              <w:t>122</w:t>
            </w:r>
          </w:hyperlink>
        </w:p>
        <w:p>
          <w:pPr>
            <w:pStyle w:val="Contents5"/>
            <w:tabs>
              <w:tab w:val="clear" w:pos="7892"/>
              <w:tab w:val="right" w:pos="9026" w:leader="dot"/>
            </w:tabs>
            <w:rPr/>
          </w:pPr>
          <w:hyperlink w:anchor="__RefHeading___Toc2684181_2870459653">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2684183_2870459653">
            <w:r>
              <w:rPr>
                <w:webHidden/>
                <w:rStyle w:val="IndexLink"/>
                <w:rtl w:val="true"/>
              </w:rPr>
              <w:t>الاتجاه الأول</w:t>
            </w:r>
            <w:r>
              <w:rPr>
                <w:rStyle w:val="IndexLink"/>
                <w:rtl w:val="true"/>
              </w:rPr>
              <w:tab/>
            </w:r>
            <w:r>
              <w:rPr>
                <w:rStyle w:val="IndexLink"/>
              </w:rPr>
              <w:t>123</w:t>
            </w:r>
          </w:hyperlink>
        </w:p>
        <w:p>
          <w:pPr>
            <w:pStyle w:val="Contents5"/>
            <w:tabs>
              <w:tab w:val="clear" w:pos="7892"/>
              <w:tab w:val="right" w:pos="9026" w:leader="dot"/>
            </w:tabs>
            <w:rPr/>
          </w:pPr>
          <w:hyperlink w:anchor="__RefHeading___Toc2684185_2870459653">
            <w:r>
              <w:rPr>
                <w:webHidden/>
                <w:rStyle w:val="IndexLink"/>
                <w:rtl w:val="true"/>
              </w:rPr>
              <w:t>الاتجاه الثاني</w:t>
            </w:r>
            <w:r>
              <w:rPr>
                <w:rStyle w:val="IndexLink"/>
                <w:rtl w:val="true"/>
              </w:rPr>
              <w:tab/>
            </w:r>
            <w:r>
              <w:rPr>
                <w:rStyle w:val="IndexLink"/>
              </w:rPr>
              <w:t>129</w:t>
            </w:r>
          </w:hyperlink>
        </w:p>
        <w:p>
          <w:pPr>
            <w:pStyle w:val="Contents4"/>
            <w:tabs>
              <w:tab w:val="clear" w:pos="8176"/>
              <w:tab w:val="right" w:pos="9026" w:leader="dot"/>
            </w:tabs>
            <w:rPr/>
          </w:pPr>
          <w:hyperlink w:anchor="__RefHeading___Toc2684187_2870459653">
            <w:r>
              <w:rPr>
                <w:webHidden/>
                <w:rStyle w:val="IndexLink"/>
                <w:rtl w:val="true"/>
              </w:rPr>
              <w:t>المبحث الثاني</w:t>
            </w:r>
            <w:r>
              <w:rPr>
                <w:rStyle w:val="IndexLink"/>
                <w:rtl w:val="true"/>
              </w:rPr>
              <w:tab/>
            </w:r>
            <w:r>
              <w:rPr>
                <w:rStyle w:val="IndexLink"/>
              </w:rPr>
              <w:t>153</w:t>
            </w:r>
          </w:hyperlink>
        </w:p>
        <w:p>
          <w:pPr>
            <w:pStyle w:val="Contents4"/>
            <w:tabs>
              <w:tab w:val="clear" w:pos="8176"/>
              <w:tab w:val="right" w:pos="9026" w:leader="dot"/>
            </w:tabs>
            <w:rPr/>
          </w:pPr>
          <w:hyperlink w:anchor="__RefHeading___Toc2684189_2870459653">
            <w:r>
              <w:rPr>
                <w:webHidden/>
                <w:rStyle w:val="IndexLink"/>
                <w:rtl w:val="true"/>
              </w:rPr>
              <w:t>المبحث الثالث</w:t>
            </w:r>
            <w:r>
              <w:rPr>
                <w:rStyle w:val="IndexLink"/>
                <w:rtl w:val="true"/>
              </w:rPr>
              <w:tab/>
            </w:r>
            <w:r>
              <w:rPr>
                <w:rStyle w:val="IndexLink"/>
              </w:rPr>
              <w:t>171</w:t>
            </w:r>
          </w:hyperlink>
        </w:p>
        <w:p>
          <w:pPr>
            <w:pStyle w:val="Contents4"/>
            <w:tabs>
              <w:tab w:val="clear" w:pos="8176"/>
              <w:tab w:val="right" w:pos="9026" w:leader="dot"/>
            </w:tabs>
            <w:rPr/>
          </w:pPr>
          <w:hyperlink w:anchor="__RefHeading___Toc2684191_2870459653">
            <w:r>
              <w:rPr>
                <w:webHidden/>
                <w:rStyle w:val="IndexLink"/>
                <w:rtl w:val="true"/>
              </w:rPr>
              <w:t>المبحث الرابع</w:t>
            </w:r>
            <w:r>
              <w:rPr>
                <w:rStyle w:val="IndexLink"/>
                <w:rtl w:val="true"/>
              </w:rPr>
              <w:tab/>
            </w:r>
            <w:r>
              <w:rPr>
                <w:rStyle w:val="IndexLink"/>
              </w:rPr>
              <w:t>173</w:t>
            </w:r>
          </w:hyperlink>
        </w:p>
        <w:p>
          <w:pPr>
            <w:pStyle w:val="Contents3"/>
            <w:tabs>
              <w:tab w:val="clear" w:pos="8459"/>
              <w:tab w:val="right" w:pos="9026" w:leader="dot"/>
            </w:tabs>
            <w:rPr/>
          </w:pPr>
          <w:hyperlink w:anchor="__RefHeading___Toc2684193_2870459653">
            <w:r>
              <w:rPr>
                <w:webHidden/>
                <w:rStyle w:val="IndexLink"/>
                <w:rtl w:val="true"/>
              </w:rPr>
              <w:t>المصادر</w:t>
            </w:r>
            <w:r>
              <w:rPr>
                <w:rStyle w:val="IndexLink"/>
                <w:rtl w:val="true"/>
              </w:rPr>
              <w:tab/>
            </w:r>
            <w:r>
              <w:rPr>
                <w:rStyle w:val="IndexLink"/>
              </w:rPr>
              <w:t>175</w:t>
            </w:r>
          </w:hyperlink>
        </w:p>
        <w:p>
          <w:pPr>
            <w:pStyle w:val="Contents2"/>
            <w:tabs>
              <w:tab w:val="clear" w:pos="8743"/>
              <w:tab w:val="right" w:pos="9026" w:leader="dot"/>
            </w:tabs>
            <w:rPr/>
          </w:pPr>
          <w:hyperlink w:anchor="__RefHeading___Toc2684195_2870459653">
            <w:r>
              <w:rPr>
                <w:webHidden/>
                <w:rStyle w:val="IndexLink"/>
                <w:rtl w:val="true"/>
              </w:rPr>
              <w:t>دراسة حول الواسطة المبهمة بين الحسن بن محمد بن سماعة و أبان بن عثمان</w:t>
            </w:r>
            <w:r>
              <w:rPr>
                <w:rStyle w:val="IndexLink"/>
                <w:rtl w:val="true"/>
              </w:rPr>
              <w:t>(</w:t>
            </w:r>
            <w:r>
              <w:rPr>
                <w:rStyle w:val="IndexLink"/>
                <w:rtl w:val="true"/>
              </w:rPr>
              <w:t>القسم الأول</w:t>
            </w:r>
            <w:r>
              <w:rPr>
                <w:rStyle w:val="IndexLink"/>
                <w:rtl w:val="true"/>
              </w:rPr>
              <w:t xml:space="preserve">) - </w:t>
            </w:r>
            <w:r>
              <w:rPr>
                <w:rStyle w:val="IndexLink"/>
                <w:rtl w:val="true"/>
              </w:rPr>
              <w:t>علي سالم الناصري دام عزه</w:t>
            </w:r>
            <w:r>
              <w:rPr>
                <w:rStyle w:val="IndexLink"/>
                <w:rtl w:val="true"/>
              </w:rPr>
              <w:tab/>
            </w:r>
            <w:r>
              <w:rPr>
                <w:rStyle w:val="IndexLink"/>
              </w:rPr>
              <w:t>178</w:t>
            </w:r>
          </w:hyperlink>
        </w:p>
        <w:p>
          <w:pPr>
            <w:pStyle w:val="Contents3"/>
            <w:tabs>
              <w:tab w:val="clear" w:pos="8459"/>
              <w:tab w:val="right" w:pos="9026" w:leader="dot"/>
            </w:tabs>
            <w:rPr/>
          </w:pPr>
          <w:hyperlink w:anchor="__RefHeading___Toc2684197_2870459653">
            <w:r>
              <w:rPr>
                <w:webHidden/>
                <w:rStyle w:val="IndexLink"/>
                <w:rtl w:val="true"/>
              </w:rPr>
              <w:t>اشارة</w:t>
            </w:r>
            <w:r>
              <w:rPr>
                <w:rStyle w:val="IndexLink"/>
                <w:rtl w:val="true"/>
              </w:rPr>
              <w:tab/>
            </w:r>
            <w:r>
              <w:rPr>
                <w:rStyle w:val="IndexLink"/>
              </w:rPr>
              <w:t>178</w:t>
            </w:r>
          </w:hyperlink>
        </w:p>
        <w:p>
          <w:pPr>
            <w:pStyle w:val="Contents3"/>
            <w:tabs>
              <w:tab w:val="clear" w:pos="8459"/>
              <w:tab w:val="right" w:pos="9026" w:leader="dot"/>
            </w:tabs>
            <w:rPr/>
          </w:pPr>
          <w:hyperlink w:anchor="__RefHeading___Toc2684199_2870459653">
            <w:r>
              <w:rPr>
                <w:webHidden/>
                <w:rStyle w:val="IndexLink"/>
                <w:rtl w:val="true"/>
              </w:rPr>
              <w:t>تفسير الواسطة المبهمة</w:t>
            </w:r>
            <w:r>
              <w:rPr>
                <w:rStyle w:val="IndexLink"/>
                <w:rtl w:val="true"/>
              </w:rPr>
              <w:tab/>
            </w:r>
            <w:r>
              <w:rPr>
                <w:rStyle w:val="IndexLink"/>
              </w:rPr>
              <w:t>184</w:t>
            </w:r>
          </w:hyperlink>
        </w:p>
        <w:p>
          <w:pPr>
            <w:pStyle w:val="Contents3"/>
            <w:tabs>
              <w:tab w:val="clear" w:pos="8459"/>
              <w:tab w:val="right" w:pos="9026" w:leader="dot"/>
            </w:tabs>
            <w:rPr/>
          </w:pPr>
          <w:hyperlink w:anchor="__RefHeading___Toc2684201_2870459653">
            <w:r>
              <w:rPr>
                <w:webHidden/>
                <w:rStyle w:val="IndexLink"/>
                <w:rtl w:val="true"/>
              </w:rPr>
              <w:t>حساب الاحتمال</w:t>
            </w:r>
            <w:r>
              <w:rPr>
                <w:rStyle w:val="IndexLink"/>
                <w:rtl w:val="true"/>
              </w:rPr>
              <w:tab/>
            </w:r>
            <w:r>
              <w:rPr>
                <w:rStyle w:val="IndexLink"/>
              </w:rPr>
              <w:t>187</w:t>
            </w:r>
          </w:hyperlink>
        </w:p>
        <w:p>
          <w:pPr>
            <w:pStyle w:val="Contents4"/>
            <w:tabs>
              <w:tab w:val="clear" w:pos="8176"/>
              <w:tab w:val="right" w:pos="9026" w:leader="dot"/>
            </w:tabs>
            <w:rPr/>
          </w:pPr>
          <w:hyperlink w:anchor="__RefHeading___Toc2684203_2870459653">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2684205_2870459653">
            <w:r>
              <w:rPr>
                <w:webHidden/>
                <w:rStyle w:val="IndexLink"/>
                <w:rtl w:val="true"/>
              </w:rPr>
              <w:t>الأمر الأول</w:t>
            </w:r>
            <w:r>
              <w:rPr>
                <w:rStyle w:val="IndexLink"/>
                <w:rtl w:val="true"/>
              </w:rPr>
              <w:tab/>
            </w:r>
            <w:r>
              <w:rPr>
                <w:rStyle w:val="IndexLink"/>
              </w:rPr>
              <w:t>187</w:t>
            </w:r>
          </w:hyperlink>
        </w:p>
        <w:p>
          <w:pPr>
            <w:pStyle w:val="Contents5"/>
            <w:tabs>
              <w:tab w:val="clear" w:pos="7892"/>
              <w:tab w:val="right" w:pos="9026" w:leader="dot"/>
            </w:tabs>
            <w:rPr/>
          </w:pPr>
          <w:hyperlink w:anchor="__RefHeading___Toc2684207_2870459653">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2684209_2870459653">
            <w:r>
              <w:rPr>
                <w:webHidden/>
                <w:rStyle w:val="IndexLink"/>
                <w:rtl w:val="true"/>
              </w:rPr>
              <w:t>المطلب الأول</w:t>
            </w:r>
            <w:r>
              <w:rPr>
                <w:rStyle w:val="IndexLink"/>
                <w:rtl w:val="true"/>
              </w:rPr>
              <w:tab/>
            </w:r>
            <w:r>
              <w:rPr>
                <w:rStyle w:val="IndexLink"/>
              </w:rPr>
              <w:t>189</w:t>
            </w:r>
          </w:hyperlink>
        </w:p>
        <w:p>
          <w:pPr>
            <w:pStyle w:val="Contents5"/>
            <w:tabs>
              <w:tab w:val="clear" w:pos="7892"/>
              <w:tab w:val="right" w:pos="9026" w:leader="dot"/>
            </w:tabs>
            <w:rPr/>
          </w:pPr>
          <w:hyperlink w:anchor="__RefHeading___Toc2684211_2870459653">
            <w:r>
              <w:rPr>
                <w:webHidden/>
                <w:rStyle w:val="IndexLink"/>
                <w:rtl w:val="true"/>
              </w:rPr>
              <w:t>المطلب الثاني</w:t>
            </w:r>
            <w:r>
              <w:rPr>
                <w:rStyle w:val="IndexLink"/>
                <w:rtl w:val="true"/>
              </w:rPr>
              <w:tab/>
            </w:r>
            <w:r>
              <w:rPr>
                <w:rStyle w:val="IndexLink"/>
              </w:rPr>
              <w:t>191</w:t>
            </w:r>
          </w:hyperlink>
        </w:p>
        <w:p>
          <w:pPr>
            <w:pStyle w:val="Contents5"/>
            <w:tabs>
              <w:tab w:val="clear" w:pos="7892"/>
              <w:tab w:val="right" w:pos="9026" w:leader="dot"/>
            </w:tabs>
            <w:rPr/>
          </w:pPr>
          <w:hyperlink w:anchor="__RefHeading___Toc2684213_2870459653">
            <w:r>
              <w:rPr>
                <w:webHidden/>
                <w:rStyle w:val="IndexLink"/>
                <w:rtl w:val="true"/>
              </w:rPr>
              <w:t>المطلب الثالث</w:t>
            </w:r>
            <w:r>
              <w:rPr>
                <w:rStyle w:val="IndexLink"/>
                <w:rtl w:val="true"/>
              </w:rPr>
              <w:tab/>
            </w:r>
            <w:r>
              <w:rPr>
                <w:rStyle w:val="IndexLink"/>
              </w:rPr>
              <w:t>193</w:t>
            </w:r>
          </w:hyperlink>
        </w:p>
        <w:p>
          <w:pPr>
            <w:pStyle w:val="Contents5"/>
            <w:tabs>
              <w:tab w:val="clear" w:pos="7892"/>
              <w:tab w:val="right" w:pos="9026" w:leader="dot"/>
            </w:tabs>
            <w:rPr/>
          </w:pPr>
          <w:hyperlink w:anchor="__RefHeading___Toc2684215_2870459653">
            <w:r>
              <w:rPr>
                <w:webHidden/>
                <w:rStyle w:val="IndexLink"/>
                <w:rtl w:val="true"/>
              </w:rPr>
              <w:t>المطلب الرابع</w:t>
            </w:r>
            <w:r>
              <w:rPr>
                <w:rStyle w:val="IndexLink"/>
                <w:rtl w:val="true"/>
              </w:rPr>
              <w:tab/>
            </w:r>
            <w:r>
              <w:rPr>
                <w:rStyle w:val="IndexLink"/>
              </w:rPr>
              <w:t>198</w:t>
            </w:r>
          </w:hyperlink>
        </w:p>
        <w:p>
          <w:pPr>
            <w:pStyle w:val="Contents4"/>
            <w:tabs>
              <w:tab w:val="clear" w:pos="8176"/>
              <w:tab w:val="right" w:pos="9026" w:leader="dot"/>
            </w:tabs>
            <w:rPr/>
          </w:pPr>
          <w:hyperlink w:anchor="__RefHeading___Toc2684217_2870459653">
            <w:r>
              <w:rPr>
                <w:webHidden/>
                <w:rStyle w:val="IndexLink"/>
                <w:rtl w:val="true"/>
              </w:rPr>
              <w:t>الأمر الثاني</w:t>
            </w:r>
            <w:r>
              <w:rPr>
                <w:rStyle w:val="IndexLink"/>
                <w:rtl w:val="true"/>
              </w:rPr>
              <w:tab/>
            </w:r>
            <w:r>
              <w:rPr>
                <w:rStyle w:val="IndexLink"/>
              </w:rPr>
              <w:t>201</w:t>
            </w:r>
          </w:hyperlink>
        </w:p>
        <w:p>
          <w:pPr>
            <w:pStyle w:val="Contents5"/>
            <w:tabs>
              <w:tab w:val="clear" w:pos="7892"/>
              <w:tab w:val="right" w:pos="9026" w:leader="dot"/>
            </w:tabs>
            <w:rPr/>
          </w:pPr>
          <w:hyperlink w:anchor="__RefHeading___Toc2684219_2870459653">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2684221_2870459653">
            <w:r>
              <w:rPr>
                <w:webHidden/>
                <w:rStyle w:val="IndexLink"/>
                <w:rtl w:val="true"/>
              </w:rPr>
              <w:t>المطلب الأول</w:t>
            </w:r>
            <w:r>
              <w:rPr>
                <w:rStyle w:val="IndexLink"/>
                <w:rtl w:val="true"/>
              </w:rPr>
              <w:t xml:space="preserve">: </w:t>
            </w:r>
            <w:r>
              <w:rPr>
                <w:rStyle w:val="IndexLink"/>
                <w:rtl w:val="true"/>
              </w:rPr>
              <w:t>في وثاقته</w:t>
            </w:r>
            <w:r>
              <w:rPr>
                <w:rStyle w:val="IndexLink"/>
                <w:rtl w:val="true"/>
              </w:rPr>
              <w:tab/>
            </w:r>
            <w:r>
              <w:rPr>
                <w:rStyle w:val="IndexLink"/>
              </w:rPr>
              <w:t>204</w:t>
            </w:r>
          </w:hyperlink>
        </w:p>
        <w:p>
          <w:pPr>
            <w:pStyle w:val="Contents5"/>
            <w:tabs>
              <w:tab w:val="clear" w:pos="7892"/>
              <w:tab w:val="right" w:pos="9026" w:leader="dot"/>
            </w:tabs>
            <w:rPr/>
          </w:pPr>
          <w:hyperlink w:anchor="__RefHeading___Toc2684223_2870459653">
            <w:r>
              <w:rPr>
                <w:webHidden/>
                <w:rStyle w:val="IndexLink"/>
                <w:rtl w:val="true"/>
              </w:rPr>
              <w:t>المطلب الثاني</w:t>
            </w:r>
            <w:r>
              <w:rPr>
                <w:rStyle w:val="IndexLink"/>
                <w:rtl w:val="true"/>
              </w:rPr>
              <w:t xml:space="preserve">: </w:t>
            </w:r>
            <w:r>
              <w:rPr>
                <w:rStyle w:val="IndexLink"/>
                <w:rtl w:val="true"/>
              </w:rPr>
              <w:t>في بيان طبقته</w:t>
            </w:r>
            <w:r>
              <w:rPr>
                <w:rStyle w:val="IndexLink"/>
                <w:rtl w:val="true"/>
              </w:rPr>
              <w:tab/>
            </w:r>
            <w:r>
              <w:rPr>
                <w:rStyle w:val="IndexLink"/>
              </w:rPr>
              <w:t>206</w:t>
            </w:r>
          </w:hyperlink>
        </w:p>
        <w:p>
          <w:pPr>
            <w:pStyle w:val="Contents5"/>
            <w:tabs>
              <w:tab w:val="clear" w:pos="7892"/>
              <w:tab w:val="right" w:pos="9026" w:leader="dot"/>
            </w:tabs>
            <w:rPr/>
          </w:pPr>
          <w:hyperlink w:anchor="__RefHeading___Toc2684225_2870459653">
            <w:r>
              <w:rPr>
                <w:webHidden/>
                <w:rStyle w:val="IndexLink"/>
                <w:rtl w:val="true"/>
              </w:rPr>
              <w:t>المطلب الثالث</w:t>
            </w:r>
            <w:r>
              <w:rPr>
                <w:rStyle w:val="IndexLink"/>
                <w:rtl w:val="true"/>
              </w:rPr>
              <w:t xml:space="preserve">: </w:t>
            </w:r>
            <w:r>
              <w:rPr>
                <w:rStyle w:val="IndexLink"/>
                <w:rtl w:val="true"/>
              </w:rPr>
              <w:t>في عناوينه التي وردت في الأسانيد</w:t>
            </w:r>
            <w:r>
              <w:rPr>
                <w:rStyle w:val="IndexLink"/>
                <w:rtl w:val="true"/>
              </w:rPr>
              <w:tab/>
            </w:r>
            <w:r>
              <w:rPr>
                <w:rStyle w:val="IndexLink"/>
              </w:rPr>
              <w:t>208</w:t>
            </w:r>
          </w:hyperlink>
        </w:p>
        <w:p>
          <w:pPr>
            <w:pStyle w:val="Contents4"/>
            <w:tabs>
              <w:tab w:val="clear" w:pos="8176"/>
              <w:tab w:val="right" w:pos="9026" w:leader="dot"/>
            </w:tabs>
            <w:rPr/>
          </w:pPr>
          <w:hyperlink w:anchor="__RefHeading___Toc2684227_2870459653">
            <w:r>
              <w:rPr>
                <w:webHidden/>
                <w:rStyle w:val="IndexLink"/>
                <w:rtl w:val="true"/>
              </w:rPr>
              <w:t>الأمر الثالث</w:t>
            </w:r>
            <w:r>
              <w:rPr>
                <w:rStyle w:val="IndexLink"/>
                <w:rtl w:val="true"/>
              </w:rPr>
              <w:tab/>
            </w:r>
            <w:r>
              <w:rPr>
                <w:rStyle w:val="IndexLink"/>
              </w:rPr>
              <w:t>208</w:t>
            </w:r>
          </w:hyperlink>
        </w:p>
        <w:p>
          <w:pPr>
            <w:pStyle w:val="Contents5"/>
            <w:tabs>
              <w:tab w:val="clear" w:pos="7892"/>
              <w:tab w:val="right" w:pos="9026" w:leader="dot"/>
            </w:tabs>
            <w:rPr/>
          </w:pPr>
          <w:hyperlink w:anchor="__RefHeading___Toc2684229_2870459653">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2684231_2870459653">
            <w:r>
              <w:rPr>
                <w:webHidden/>
                <w:rStyle w:val="IndexLink"/>
                <w:rtl w:val="true"/>
              </w:rPr>
              <w:t>التمهيد</w:t>
            </w:r>
            <w:r>
              <w:rPr>
                <w:rStyle w:val="IndexLink"/>
                <w:rtl w:val="true"/>
              </w:rPr>
              <w:tab/>
            </w:r>
            <w:r>
              <w:rPr>
                <w:rStyle w:val="IndexLink"/>
              </w:rPr>
              <w:t>208</w:t>
            </w:r>
          </w:hyperlink>
        </w:p>
        <w:p>
          <w:pPr>
            <w:pStyle w:val="Contents5"/>
            <w:tabs>
              <w:tab w:val="clear" w:pos="7892"/>
              <w:tab w:val="right" w:pos="9026" w:leader="dot"/>
            </w:tabs>
            <w:rPr/>
          </w:pPr>
          <w:hyperlink w:anchor="__RefHeading___Toc2684233_2870459653">
            <w:r>
              <w:rPr>
                <w:webHidden/>
                <w:rStyle w:val="IndexLink"/>
                <w:rtl w:val="true"/>
              </w:rPr>
              <w:t>تعاريف</w:t>
            </w:r>
            <w:r>
              <w:rPr>
                <w:rStyle w:val="IndexLink"/>
                <w:rtl w:val="true"/>
              </w:rPr>
              <w:tab/>
            </w:r>
            <w:r>
              <w:rPr>
                <w:rStyle w:val="IndexLink"/>
              </w:rPr>
              <w:t>209</w:t>
            </w:r>
          </w:hyperlink>
        </w:p>
        <w:p>
          <w:pPr>
            <w:pStyle w:val="Contents6"/>
            <w:tabs>
              <w:tab w:val="clear" w:pos="7609"/>
              <w:tab w:val="right" w:pos="9026" w:leader="dot"/>
            </w:tabs>
            <w:rPr/>
          </w:pPr>
          <w:hyperlink w:anchor="__RefHeading___Toc2684235_2870459653">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2684237_2870459653">
            <w:r>
              <w:rPr>
                <w:webHidden/>
                <w:rStyle w:val="IndexLink"/>
              </w:rPr>
              <w:t>1</w:t>
            </w:r>
            <w:r>
              <w:rPr>
                <w:rStyle w:val="IndexLink"/>
                <w:rtl w:val="true"/>
              </w:rPr>
              <w:t xml:space="preserve"> - </w:t>
            </w:r>
            <w:r>
              <w:rPr>
                <w:rStyle w:val="IndexLink"/>
                <w:rtl w:val="true"/>
              </w:rPr>
              <w:t>الحادث والتجربة والفراغ العيني</w:t>
            </w:r>
            <w:r>
              <w:rPr>
                <w:rStyle w:val="IndexLink"/>
                <w:rtl w:val="true"/>
              </w:rPr>
              <w:tab/>
            </w:r>
            <w:r>
              <w:rPr>
                <w:rStyle w:val="IndexLink"/>
              </w:rPr>
              <w:t>209</w:t>
            </w:r>
          </w:hyperlink>
        </w:p>
        <w:p>
          <w:pPr>
            <w:pStyle w:val="Contents6"/>
            <w:tabs>
              <w:tab w:val="clear" w:pos="7609"/>
              <w:tab w:val="right" w:pos="9026" w:leader="dot"/>
            </w:tabs>
            <w:rPr/>
          </w:pPr>
          <w:hyperlink w:anchor="__RefHeading___Toc2684239_2870459653">
            <w:r>
              <w:rPr>
                <w:webHidden/>
                <w:rStyle w:val="IndexLink"/>
              </w:rPr>
              <w:t>2</w:t>
            </w:r>
            <w:r>
              <w:rPr>
                <w:rStyle w:val="IndexLink"/>
                <w:rtl w:val="true"/>
              </w:rPr>
              <w:t xml:space="preserve"> - </w:t>
            </w:r>
            <w:r>
              <w:rPr>
                <w:rStyle w:val="IndexLink"/>
                <w:rtl w:val="true"/>
              </w:rPr>
              <w:t>الحالات الممكنة</w:t>
            </w:r>
            <w:r>
              <w:rPr>
                <w:rStyle w:val="IndexLink"/>
                <w:rtl w:val="true"/>
              </w:rPr>
              <w:tab/>
            </w:r>
            <w:r>
              <w:rPr>
                <w:rStyle w:val="IndexLink"/>
              </w:rPr>
              <w:t>209</w:t>
            </w:r>
          </w:hyperlink>
        </w:p>
        <w:p>
          <w:pPr>
            <w:pStyle w:val="Contents6"/>
            <w:tabs>
              <w:tab w:val="clear" w:pos="7609"/>
              <w:tab w:val="right" w:pos="9026" w:leader="dot"/>
            </w:tabs>
            <w:rPr/>
          </w:pPr>
          <w:hyperlink w:anchor="__RefHeading___Toc2684241_2870459653">
            <w:r>
              <w:rPr>
                <w:webHidden/>
                <w:rStyle w:val="IndexLink"/>
              </w:rPr>
              <w:t>3</w:t>
            </w:r>
            <w:r>
              <w:rPr>
                <w:rStyle w:val="IndexLink"/>
                <w:rtl w:val="true"/>
              </w:rPr>
              <w:t xml:space="preserve"> - </w:t>
            </w:r>
            <w:r>
              <w:rPr>
                <w:rStyle w:val="IndexLink"/>
                <w:rtl w:val="true"/>
              </w:rPr>
              <w:t>الحالات المواتية</w:t>
            </w:r>
            <w:r>
              <w:rPr>
                <w:rStyle w:val="IndexLink"/>
                <w:rtl w:val="true"/>
              </w:rPr>
              <w:tab/>
            </w:r>
            <w:r>
              <w:rPr>
                <w:rStyle w:val="IndexLink"/>
              </w:rPr>
              <w:t>209</w:t>
            </w:r>
          </w:hyperlink>
        </w:p>
        <w:p>
          <w:pPr>
            <w:pStyle w:val="Contents6"/>
            <w:tabs>
              <w:tab w:val="clear" w:pos="7609"/>
              <w:tab w:val="right" w:pos="9026" w:leader="dot"/>
            </w:tabs>
            <w:rPr/>
          </w:pPr>
          <w:hyperlink w:anchor="__RefHeading___Toc2684243_2870459653">
            <w:r>
              <w:rPr>
                <w:webHidden/>
                <w:rStyle w:val="IndexLink"/>
              </w:rPr>
              <w:t>4</w:t>
            </w:r>
            <w:r>
              <w:rPr>
                <w:rStyle w:val="IndexLink"/>
                <w:rtl w:val="true"/>
              </w:rPr>
              <w:t xml:space="preserve"> - </w:t>
            </w:r>
            <w:r>
              <w:rPr>
                <w:rStyle w:val="IndexLink"/>
                <w:rtl w:val="true"/>
              </w:rPr>
              <w:t>الحالات المتماثلة</w:t>
            </w:r>
            <w:r>
              <w:rPr>
                <w:rStyle w:val="IndexLink"/>
                <w:rtl w:val="true"/>
              </w:rPr>
              <w:tab/>
            </w:r>
            <w:r>
              <w:rPr>
                <w:rStyle w:val="IndexLink"/>
              </w:rPr>
              <w:t>209</w:t>
            </w:r>
          </w:hyperlink>
        </w:p>
        <w:p>
          <w:pPr>
            <w:pStyle w:val="Contents6"/>
            <w:tabs>
              <w:tab w:val="clear" w:pos="7609"/>
              <w:tab w:val="right" w:pos="9026" w:leader="dot"/>
            </w:tabs>
            <w:rPr/>
          </w:pPr>
          <w:hyperlink w:anchor="__RefHeading___Toc2684245_2870459653">
            <w:r>
              <w:rPr>
                <w:webHidden/>
                <w:rStyle w:val="IndexLink"/>
              </w:rPr>
              <w:t>5</w:t>
            </w:r>
            <w:r>
              <w:rPr>
                <w:rStyle w:val="IndexLink"/>
                <w:rtl w:val="true"/>
              </w:rPr>
              <w:t xml:space="preserve">- </w:t>
            </w:r>
            <w:r>
              <w:rPr>
                <w:rStyle w:val="IndexLink"/>
                <w:rtl w:val="true"/>
              </w:rPr>
              <w:t>الحوادث المتنافية</w:t>
            </w:r>
            <w:r>
              <w:rPr>
                <w:rStyle w:val="IndexLink"/>
                <w:rtl w:val="true"/>
              </w:rPr>
              <w:tab/>
            </w:r>
            <w:r>
              <w:rPr>
                <w:rStyle w:val="IndexLink"/>
              </w:rPr>
              <w:t>210</w:t>
            </w:r>
          </w:hyperlink>
        </w:p>
        <w:p>
          <w:pPr>
            <w:pStyle w:val="Contents6"/>
            <w:tabs>
              <w:tab w:val="clear" w:pos="7609"/>
              <w:tab w:val="right" w:pos="9026" w:leader="dot"/>
            </w:tabs>
            <w:rPr/>
          </w:pPr>
          <w:hyperlink w:anchor="__RefHeading___Toc2684247_2870459653">
            <w:r>
              <w:rPr>
                <w:webHidden/>
                <w:rStyle w:val="IndexLink"/>
              </w:rPr>
              <w:t>6</w:t>
            </w:r>
            <w:r>
              <w:rPr>
                <w:rStyle w:val="IndexLink"/>
                <w:rtl w:val="true"/>
              </w:rPr>
              <w:t xml:space="preserve">- </w:t>
            </w:r>
            <w:r>
              <w:rPr>
                <w:rStyle w:val="IndexLink"/>
                <w:rtl w:val="true"/>
              </w:rPr>
              <w:t>الحوادث المستقلة</w:t>
            </w:r>
            <w:r>
              <w:rPr>
                <w:rStyle w:val="IndexLink"/>
                <w:rtl w:val="true"/>
              </w:rPr>
              <w:tab/>
            </w:r>
            <w:r>
              <w:rPr>
                <w:rStyle w:val="IndexLink"/>
              </w:rPr>
              <w:t>210</w:t>
            </w:r>
          </w:hyperlink>
        </w:p>
        <w:p>
          <w:pPr>
            <w:pStyle w:val="Contents6"/>
            <w:tabs>
              <w:tab w:val="clear" w:pos="7609"/>
              <w:tab w:val="right" w:pos="9026" w:leader="dot"/>
            </w:tabs>
            <w:rPr/>
          </w:pPr>
          <w:hyperlink w:anchor="__RefHeading___Toc2684249_2870459653">
            <w:r>
              <w:rPr>
                <w:webHidden/>
                <w:rStyle w:val="IndexLink"/>
              </w:rPr>
              <w:t>7</w:t>
            </w:r>
            <w:r>
              <w:rPr>
                <w:rStyle w:val="IndexLink"/>
                <w:rtl w:val="true"/>
              </w:rPr>
              <w:t xml:space="preserve">- </w:t>
            </w:r>
            <w:r>
              <w:rPr>
                <w:rStyle w:val="IndexLink"/>
                <w:rtl w:val="true"/>
              </w:rPr>
              <w:t>الحوادث الشاملة</w:t>
            </w:r>
            <w:r>
              <w:rPr>
                <w:rStyle w:val="IndexLink"/>
                <w:rtl w:val="true"/>
              </w:rPr>
              <w:tab/>
            </w:r>
            <w:r>
              <w:rPr>
                <w:rStyle w:val="IndexLink"/>
              </w:rPr>
              <w:t>210</w:t>
            </w:r>
          </w:hyperlink>
        </w:p>
        <w:p>
          <w:pPr>
            <w:pStyle w:val="Contents5"/>
            <w:tabs>
              <w:tab w:val="clear" w:pos="7892"/>
              <w:tab w:val="right" w:pos="9026" w:leader="dot"/>
            </w:tabs>
            <w:rPr/>
          </w:pPr>
          <w:hyperlink w:anchor="__RefHeading___Toc2684251_2870459653">
            <w:r>
              <w:rPr>
                <w:webHidden/>
                <w:rStyle w:val="IndexLink"/>
                <w:rtl w:val="true"/>
              </w:rPr>
              <w:t>حساب الاحتمال</w:t>
            </w:r>
            <w:r>
              <w:rPr>
                <w:rStyle w:val="IndexLink"/>
                <w:rtl w:val="true"/>
              </w:rPr>
              <w:tab/>
            </w:r>
            <w:r>
              <w:rPr>
                <w:rStyle w:val="IndexLink"/>
              </w:rPr>
              <w:t>211</w:t>
            </w:r>
          </w:hyperlink>
        </w:p>
        <w:p>
          <w:pPr>
            <w:pStyle w:val="Contents6"/>
            <w:tabs>
              <w:tab w:val="clear" w:pos="7609"/>
              <w:tab w:val="right" w:pos="9026" w:leader="dot"/>
            </w:tabs>
            <w:rPr/>
          </w:pPr>
          <w:hyperlink w:anchor="__RefHeading___Toc2684253_2870459653">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2684255_2870459653">
            <w:r>
              <w:rPr>
                <w:webHidden/>
                <w:rStyle w:val="IndexLink"/>
                <w:rtl w:val="true"/>
              </w:rPr>
              <w:t>الاحتمال النظري</w:t>
            </w:r>
            <w:r>
              <w:rPr>
                <w:rStyle w:val="IndexLink"/>
                <w:rtl w:val="true"/>
              </w:rPr>
              <w:tab/>
            </w:r>
            <w:r>
              <w:rPr>
                <w:rStyle w:val="IndexLink"/>
              </w:rPr>
              <w:t>211</w:t>
            </w:r>
          </w:hyperlink>
        </w:p>
        <w:p>
          <w:pPr>
            <w:pStyle w:val="Contents6"/>
            <w:tabs>
              <w:tab w:val="clear" w:pos="7609"/>
              <w:tab w:val="right" w:pos="9026" w:leader="dot"/>
            </w:tabs>
            <w:rPr/>
          </w:pPr>
          <w:hyperlink w:anchor="__RefHeading___Toc2684257_2870459653">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2684259_2870459653">
            <w:r>
              <w:rPr>
                <w:webHidden/>
                <w:rStyle w:val="IndexLink"/>
                <w:rtl w:val="true"/>
              </w:rPr>
              <w:t>عيوب الاحتمال النظري</w:t>
            </w:r>
            <w:r>
              <w:rPr>
                <w:rStyle w:val="IndexLink"/>
                <w:rtl w:val="true"/>
              </w:rPr>
              <w:tab/>
            </w:r>
            <w:r>
              <w:rPr>
                <w:rStyle w:val="IndexLink"/>
              </w:rPr>
              <w:t>211</w:t>
            </w:r>
          </w:hyperlink>
        </w:p>
        <w:p>
          <w:pPr>
            <w:pStyle w:val="Contents6"/>
            <w:tabs>
              <w:tab w:val="clear" w:pos="7609"/>
              <w:tab w:val="right" w:pos="9026" w:leader="dot"/>
            </w:tabs>
            <w:rPr/>
          </w:pPr>
          <w:hyperlink w:anchor="__RefHeading___Toc2684261_2870459653">
            <w:r>
              <w:rPr>
                <w:webHidden/>
                <w:rStyle w:val="IndexLink"/>
                <w:rtl w:val="true"/>
              </w:rPr>
              <w:t>اشارة</w:t>
            </w:r>
            <w:r>
              <w:rPr>
                <w:rStyle w:val="IndexLink"/>
                <w:rtl w:val="true"/>
              </w:rPr>
              <w:tab/>
            </w:r>
            <w:r>
              <w:rPr>
                <w:rStyle w:val="IndexLink"/>
              </w:rPr>
              <w:t>211</w:t>
            </w:r>
          </w:hyperlink>
        </w:p>
        <w:p>
          <w:pPr>
            <w:pStyle w:val="Contents6"/>
            <w:tabs>
              <w:tab w:val="clear" w:pos="7609"/>
              <w:tab w:val="right" w:pos="9026" w:leader="dot"/>
            </w:tabs>
            <w:rPr/>
          </w:pPr>
          <w:hyperlink w:anchor="__RefHeading___Toc2684263_2870459653">
            <w:r>
              <w:rPr>
                <w:webHidden/>
                <w:rStyle w:val="IndexLink"/>
              </w:rPr>
              <w:t>1</w:t>
            </w:r>
            <w:r>
              <w:rPr>
                <w:rStyle w:val="IndexLink"/>
                <w:rtl w:val="true"/>
              </w:rPr>
              <w:t xml:space="preserve">- </w:t>
            </w:r>
            <w:r>
              <w:rPr>
                <w:rStyle w:val="IndexLink"/>
                <w:rtl w:val="true"/>
              </w:rPr>
              <w:t>صعوبة حصر عدد الحالات الممكنة</w:t>
            </w:r>
            <w:r>
              <w:rPr>
                <w:rStyle w:val="IndexLink"/>
                <w:rtl w:val="true"/>
              </w:rPr>
              <w:tab/>
            </w:r>
            <w:r>
              <w:rPr>
                <w:rStyle w:val="IndexLink"/>
              </w:rPr>
              <w:t>211</w:t>
            </w:r>
          </w:hyperlink>
        </w:p>
        <w:p>
          <w:pPr>
            <w:pStyle w:val="Contents6"/>
            <w:tabs>
              <w:tab w:val="clear" w:pos="7609"/>
              <w:tab w:val="right" w:pos="9026" w:leader="dot"/>
            </w:tabs>
            <w:rPr/>
          </w:pPr>
          <w:hyperlink w:anchor="__RefHeading___Toc2684265_2870459653">
            <w:r>
              <w:rPr>
                <w:webHidden/>
                <w:rStyle w:val="IndexLink"/>
              </w:rPr>
              <w:t>2</w:t>
            </w:r>
            <w:r>
              <w:rPr>
                <w:rStyle w:val="IndexLink"/>
                <w:rtl w:val="true"/>
              </w:rPr>
              <w:t xml:space="preserve"> - </w:t>
            </w:r>
            <w:r>
              <w:rPr>
                <w:rStyle w:val="IndexLink"/>
                <w:rtl w:val="true"/>
              </w:rPr>
              <w:t>عدم تحقيق تماثل الحالات الممكنة</w:t>
            </w:r>
            <w:r>
              <w:rPr>
                <w:rStyle w:val="IndexLink"/>
                <w:rtl w:val="true"/>
              </w:rPr>
              <w:tab/>
            </w:r>
            <w:r>
              <w:rPr>
                <w:rStyle w:val="IndexLink"/>
              </w:rPr>
              <w:t>212</w:t>
            </w:r>
          </w:hyperlink>
        </w:p>
        <w:p>
          <w:pPr>
            <w:pStyle w:val="Contents6"/>
            <w:tabs>
              <w:tab w:val="clear" w:pos="7609"/>
              <w:tab w:val="right" w:pos="9026" w:leader="dot"/>
            </w:tabs>
            <w:rPr/>
          </w:pPr>
          <w:hyperlink w:anchor="__RefHeading___Toc2684267_2870459653">
            <w:r>
              <w:rPr>
                <w:webHidden/>
                <w:rStyle w:val="IndexLink"/>
                <w:rtl w:val="true"/>
              </w:rPr>
              <w:t>الاحتمال التجريبي</w:t>
            </w:r>
            <w:r>
              <w:rPr>
                <w:rStyle w:val="IndexLink"/>
                <w:rtl w:val="true"/>
              </w:rPr>
              <w:tab/>
            </w:r>
            <w:r>
              <w:rPr>
                <w:rStyle w:val="IndexLink"/>
              </w:rPr>
              <w:t>212</w:t>
            </w:r>
          </w:hyperlink>
        </w:p>
        <w:p>
          <w:pPr>
            <w:pStyle w:val="Contents5"/>
            <w:tabs>
              <w:tab w:val="clear" w:pos="7892"/>
              <w:tab w:val="right" w:pos="9026" w:leader="dot"/>
            </w:tabs>
            <w:rPr/>
          </w:pPr>
          <w:hyperlink w:anchor="__RefHeading___Toc2684269_2870459653">
            <w:r>
              <w:rPr>
                <w:webHidden/>
                <w:rStyle w:val="IndexLink"/>
                <w:rtl w:val="true"/>
              </w:rPr>
              <w:t>قوانين الاحتمالات</w:t>
            </w:r>
            <w:r>
              <w:rPr>
                <w:rStyle w:val="IndexLink"/>
                <w:rtl w:val="true"/>
              </w:rPr>
              <w:tab/>
            </w:r>
            <w:r>
              <w:rPr>
                <w:rStyle w:val="IndexLink"/>
              </w:rPr>
              <w:t>213</w:t>
            </w:r>
          </w:hyperlink>
        </w:p>
        <w:p>
          <w:pPr>
            <w:pStyle w:val="Contents6"/>
            <w:tabs>
              <w:tab w:val="clear" w:pos="7609"/>
              <w:tab w:val="right" w:pos="9026" w:leader="dot"/>
            </w:tabs>
            <w:rPr/>
          </w:pPr>
          <w:hyperlink w:anchor="__RefHeading___Toc2684271_2870459653">
            <w:r>
              <w:rPr>
                <w:webHidden/>
                <w:rStyle w:val="IndexLink"/>
                <w:rtl w:val="true"/>
              </w:rPr>
              <w:t>جمع الاحتمالات</w:t>
            </w:r>
            <w:r>
              <w:rPr>
                <w:rStyle w:val="IndexLink"/>
                <w:rtl w:val="true"/>
              </w:rPr>
              <w:tab/>
            </w:r>
            <w:r>
              <w:rPr>
                <w:rStyle w:val="IndexLink"/>
              </w:rPr>
              <w:t>213</w:t>
            </w:r>
          </w:hyperlink>
        </w:p>
        <w:p>
          <w:pPr>
            <w:pStyle w:val="Contents6"/>
            <w:tabs>
              <w:tab w:val="clear" w:pos="7609"/>
              <w:tab w:val="right" w:pos="9026" w:leader="dot"/>
            </w:tabs>
            <w:rPr/>
          </w:pPr>
          <w:hyperlink w:anchor="__RefHeading___Toc2684273_2870459653">
            <w:r>
              <w:rPr>
                <w:webHidden/>
                <w:rStyle w:val="IndexLink"/>
                <w:rtl w:val="true"/>
              </w:rPr>
              <w:t>أ</w:t>
            </w:r>
            <w:r>
              <w:rPr>
                <w:rStyle w:val="IndexLink"/>
                <w:rtl w:val="true"/>
              </w:rPr>
              <w:t xml:space="preserve">- </w:t>
            </w:r>
            <w:r>
              <w:rPr>
                <w:rStyle w:val="IndexLink"/>
                <w:rtl w:val="true"/>
              </w:rPr>
              <w:t>في حالة كون الحوادث متنافية</w:t>
            </w:r>
            <w:r>
              <w:rPr>
                <w:rStyle w:val="IndexLink"/>
                <w:rtl w:val="true"/>
              </w:rPr>
              <w:tab/>
            </w:r>
            <w:r>
              <w:rPr>
                <w:rStyle w:val="IndexLink"/>
              </w:rPr>
              <w:t>213</w:t>
            </w:r>
          </w:hyperlink>
        </w:p>
        <w:p>
          <w:pPr>
            <w:pStyle w:val="Contents6"/>
            <w:tabs>
              <w:tab w:val="clear" w:pos="7609"/>
              <w:tab w:val="right" w:pos="9026" w:leader="dot"/>
            </w:tabs>
            <w:rPr/>
          </w:pPr>
          <w:hyperlink w:anchor="__RefHeading___Toc2684275_2870459653">
            <w:r>
              <w:rPr>
                <w:webHidden/>
                <w:rStyle w:val="IndexLink"/>
                <w:rtl w:val="true"/>
              </w:rPr>
              <w:t>ب</w:t>
            </w:r>
            <w:r>
              <w:rPr>
                <w:rStyle w:val="IndexLink"/>
                <w:rtl w:val="true"/>
              </w:rPr>
              <w:t xml:space="preserve">- </w:t>
            </w:r>
            <w:r>
              <w:rPr>
                <w:rStyle w:val="IndexLink"/>
                <w:rtl w:val="true"/>
              </w:rPr>
              <w:t xml:space="preserve">في حالة كون الحوادث غير متنافية </w:t>
            </w:r>
            <w:r>
              <w:rPr>
                <w:rStyle w:val="IndexLink"/>
                <w:rtl w:val="true"/>
              </w:rPr>
              <w:t xml:space="preserve">( </w:t>
            </w:r>
            <w:r>
              <w:rPr>
                <w:rStyle w:val="IndexLink"/>
                <w:rtl w:val="true"/>
              </w:rPr>
              <w:t>أ أو ب</w:t>
            </w:r>
            <w:r>
              <w:rPr>
                <w:rStyle w:val="IndexLink"/>
                <w:rtl w:val="true"/>
              </w:rPr>
              <w:t>)</w:t>
              <w:tab/>
            </w:r>
            <w:r>
              <w:rPr>
                <w:rStyle w:val="IndexLink"/>
              </w:rPr>
              <w:t>213</w:t>
            </w:r>
          </w:hyperlink>
        </w:p>
        <w:p>
          <w:pPr>
            <w:pStyle w:val="Contents6"/>
            <w:tabs>
              <w:tab w:val="clear" w:pos="7609"/>
              <w:tab w:val="right" w:pos="9026" w:leader="dot"/>
            </w:tabs>
            <w:rPr/>
          </w:pPr>
          <w:hyperlink w:anchor="__RefHeading___Toc2684277_2870459653">
            <w:r>
              <w:rPr>
                <w:webHidden/>
                <w:rStyle w:val="IndexLink"/>
                <w:rtl w:val="true"/>
              </w:rPr>
              <w:t>ضرب الاحتمالات</w:t>
            </w:r>
            <w:r>
              <w:rPr>
                <w:rStyle w:val="IndexLink"/>
                <w:rtl w:val="true"/>
              </w:rPr>
              <w:tab/>
            </w:r>
            <w:r>
              <w:rPr>
                <w:rStyle w:val="IndexLink"/>
              </w:rPr>
              <w:t>214</w:t>
            </w:r>
          </w:hyperlink>
        </w:p>
        <w:p>
          <w:pPr>
            <w:pStyle w:val="Contents5"/>
            <w:tabs>
              <w:tab w:val="clear" w:pos="7892"/>
              <w:tab w:val="right" w:pos="9026" w:leader="dot"/>
            </w:tabs>
            <w:rPr/>
          </w:pPr>
          <w:hyperlink w:anchor="__RefHeading___Toc2684279_2870459653">
            <w:r>
              <w:rPr>
                <w:webHidden/>
                <w:rStyle w:val="IndexLink"/>
                <w:rtl w:val="true"/>
              </w:rPr>
              <w:t>الاحتمال الشرطي</w:t>
            </w:r>
            <w:r>
              <w:rPr>
                <w:rStyle w:val="IndexLink"/>
                <w:rtl w:val="true"/>
              </w:rPr>
              <w:tab/>
            </w:r>
            <w:r>
              <w:rPr>
                <w:rStyle w:val="IndexLink"/>
              </w:rPr>
              <w:t>214</w:t>
            </w:r>
          </w:hyperlink>
        </w:p>
        <w:p>
          <w:pPr>
            <w:pStyle w:val="Contents5"/>
            <w:tabs>
              <w:tab w:val="clear" w:pos="7892"/>
              <w:tab w:val="right" w:pos="9026" w:leader="dot"/>
            </w:tabs>
            <w:rPr/>
          </w:pPr>
          <w:hyperlink w:anchor="__RefHeading___Toc2684281_2870459653">
            <w:r>
              <w:rPr>
                <w:webHidden/>
                <w:rStyle w:val="IndexLink"/>
                <w:rtl w:val="true"/>
              </w:rPr>
              <w:t>نقاط لابد منها قبل حساب الاحتمال</w:t>
            </w:r>
            <w:r>
              <w:rPr>
                <w:rStyle w:val="IndexLink"/>
                <w:rtl w:val="true"/>
              </w:rPr>
              <w:tab/>
            </w:r>
            <w:r>
              <w:rPr>
                <w:rStyle w:val="IndexLink"/>
              </w:rPr>
              <w:t>215</w:t>
            </w:r>
          </w:hyperlink>
        </w:p>
        <w:p>
          <w:pPr>
            <w:pStyle w:val="Contents6"/>
            <w:tabs>
              <w:tab w:val="clear" w:pos="7609"/>
              <w:tab w:val="right" w:pos="9026" w:leader="dot"/>
            </w:tabs>
            <w:rPr/>
          </w:pPr>
          <w:hyperlink w:anchor="__RefHeading___Toc2684283_2870459653">
            <w:r>
              <w:rPr>
                <w:webHidden/>
                <w:rStyle w:val="IndexLink"/>
                <w:rtl w:val="true"/>
              </w:rPr>
              <w:t>النقطة الأولى</w:t>
            </w:r>
            <w:r>
              <w:rPr>
                <w:rStyle w:val="IndexLink"/>
                <w:rtl w:val="true"/>
              </w:rPr>
              <w:tab/>
            </w:r>
            <w:r>
              <w:rPr>
                <w:rStyle w:val="IndexLink"/>
              </w:rPr>
              <w:t>215</w:t>
            </w:r>
          </w:hyperlink>
        </w:p>
        <w:p>
          <w:pPr>
            <w:pStyle w:val="Contents6"/>
            <w:tabs>
              <w:tab w:val="clear" w:pos="7609"/>
              <w:tab w:val="right" w:pos="9026" w:leader="dot"/>
            </w:tabs>
            <w:rPr/>
          </w:pPr>
          <w:hyperlink w:anchor="__RefHeading___Toc2684285_2870459653">
            <w:r>
              <w:rPr>
                <w:webHidden/>
                <w:rStyle w:val="IndexLink"/>
                <w:rtl w:val="true"/>
              </w:rPr>
              <w:t>النقطة الثانية</w:t>
            </w:r>
            <w:r>
              <w:rPr>
                <w:rStyle w:val="IndexLink"/>
                <w:rtl w:val="true"/>
              </w:rPr>
              <w:tab/>
            </w:r>
            <w:r>
              <w:rPr>
                <w:rStyle w:val="IndexLink"/>
              </w:rPr>
              <w:t>216</w:t>
            </w:r>
          </w:hyperlink>
        </w:p>
        <w:p>
          <w:pPr>
            <w:pStyle w:val="Contents6"/>
            <w:tabs>
              <w:tab w:val="clear" w:pos="7609"/>
              <w:tab w:val="right" w:pos="9026" w:leader="dot"/>
            </w:tabs>
            <w:rPr/>
          </w:pPr>
          <w:hyperlink w:anchor="__RefHeading___Toc2684287_2870459653">
            <w:r>
              <w:rPr>
                <w:webHidden/>
                <w:rStyle w:val="IndexLink"/>
                <w:rtl w:val="true"/>
              </w:rPr>
              <w:t>النقطة الثالثة</w:t>
            </w:r>
            <w:r>
              <w:rPr>
                <w:rStyle w:val="IndexLink"/>
                <w:rtl w:val="true"/>
              </w:rPr>
              <w:tab/>
            </w:r>
            <w:r>
              <w:rPr>
                <w:rStyle w:val="IndexLink"/>
              </w:rPr>
              <w:t>216</w:t>
            </w:r>
          </w:hyperlink>
        </w:p>
        <w:p>
          <w:pPr>
            <w:pStyle w:val="Contents6"/>
            <w:tabs>
              <w:tab w:val="clear" w:pos="7609"/>
              <w:tab w:val="right" w:pos="9026" w:leader="dot"/>
            </w:tabs>
            <w:rPr/>
          </w:pPr>
          <w:hyperlink w:anchor="__RefHeading___Toc2684289_2870459653">
            <w:r>
              <w:rPr>
                <w:webHidden/>
                <w:rStyle w:val="IndexLink"/>
                <w:rtl w:val="true"/>
              </w:rPr>
              <w:t>النقطة الرابعة</w:t>
            </w:r>
            <w:r>
              <w:rPr>
                <w:rStyle w:val="IndexLink"/>
                <w:rtl w:val="true"/>
              </w:rPr>
              <w:tab/>
            </w:r>
            <w:r>
              <w:rPr>
                <w:rStyle w:val="IndexLink"/>
              </w:rPr>
              <w:t>217</w:t>
            </w:r>
          </w:hyperlink>
        </w:p>
        <w:p>
          <w:pPr>
            <w:pStyle w:val="Contents6"/>
            <w:tabs>
              <w:tab w:val="clear" w:pos="7609"/>
              <w:tab w:val="right" w:pos="9026" w:leader="dot"/>
            </w:tabs>
            <w:rPr/>
          </w:pPr>
          <w:hyperlink w:anchor="__RefHeading___Toc2684291_2870459653">
            <w:r>
              <w:rPr>
                <w:webHidden/>
                <w:rStyle w:val="IndexLink"/>
                <w:rtl w:val="true"/>
              </w:rPr>
              <w:t>النقطة الخامسة</w:t>
            </w:r>
            <w:r>
              <w:rPr>
                <w:rStyle w:val="IndexLink"/>
                <w:rtl w:val="true"/>
              </w:rPr>
              <w:tab/>
            </w:r>
            <w:r>
              <w:rPr>
                <w:rStyle w:val="IndexLink"/>
              </w:rPr>
              <w:t>218</w:t>
            </w:r>
          </w:hyperlink>
        </w:p>
        <w:p>
          <w:pPr>
            <w:pStyle w:val="Contents6"/>
            <w:tabs>
              <w:tab w:val="clear" w:pos="7609"/>
              <w:tab w:val="right" w:pos="9026" w:leader="dot"/>
            </w:tabs>
            <w:rPr/>
          </w:pPr>
          <w:hyperlink w:anchor="__RefHeading___Toc2684293_2870459653">
            <w:r>
              <w:rPr>
                <w:webHidden/>
                <w:rStyle w:val="IndexLink"/>
                <w:rtl w:val="true"/>
              </w:rPr>
              <w:t>النقطة السادسة</w:t>
            </w:r>
            <w:r>
              <w:rPr>
                <w:rStyle w:val="IndexLink"/>
                <w:rtl w:val="true"/>
              </w:rPr>
              <w:tab/>
            </w:r>
            <w:r>
              <w:rPr>
                <w:rStyle w:val="IndexLink"/>
              </w:rPr>
              <w:t>220</w:t>
            </w:r>
          </w:hyperlink>
        </w:p>
        <w:p>
          <w:pPr>
            <w:pStyle w:val="Contents3"/>
            <w:tabs>
              <w:tab w:val="clear" w:pos="8459"/>
              <w:tab w:val="right" w:pos="9026" w:leader="dot"/>
            </w:tabs>
            <w:rPr/>
          </w:pPr>
          <w:hyperlink w:anchor="__RefHeading___Toc2684295_2870459653">
            <w:r>
              <w:rPr>
                <w:webHidden/>
                <w:rStyle w:val="IndexLink"/>
                <w:rtl w:val="true"/>
              </w:rPr>
              <w:t>المصادر</w:t>
            </w:r>
            <w:r>
              <w:rPr>
                <w:rStyle w:val="IndexLink"/>
                <w:rtl w:val="true"/>
              </w:rPr>
              <w:tab/>
            </w:r>
            <w:r>
              <w:rPr>
                <w:rStyle w:val="IndexLink"/>
              </w:rPr>
              <w:t>256</w:t>
            </w:r>
          </w:hyperlink>
        </w:p>
        <w:p>
          <w:pPr>
            <w:pStyle w:val="Contents2"/>
            <w:tabs>
              <w:tab w:val="clear" w:pos="8743"/>
              <w:tab w:val="right" w:pos="9026" w:leader="dot"/>
            </w:tabs>
            <w:rPr/>
          </w:pPr>
          <w:hyperlink w:anchor="__RefHeading___Toc2684297_2870459653">
            <w:r>
              <w:rPr>
                <w:webHidden/>
                <w:rStyle w:val="IndexLink"/>
                <w:rtl w:val="true"/>
              </w:rPr>
              <w:t xml:space="preserve">رجال المستمسك </w:t>
            </w:r>
            <w:r>
              <w:rPr>
                <w:rStyle w:val="IndexLink"/>
                <w:rtl w:val="true"/>
              </w:rPr>
              <w:t xml:space="preserve">- </w:t>
            </w:r>
            <w:r>
              <w:rPr>
                <w:rStyle w:val="IndexLink"/>
                <w:rtl w:val="true"/>
              </w:rPr>
              <w:t>الشيخ علي الغزي دام عزه</w:t>
            </w:r>
            <w:r>
              <w:rPr>
                <w:rStyle w:val="IndexLink"/>
                <w:rtl w:val="true"/>
              </w:rPr>
              <w:tab/>
            </w:r>
            <w:r>
              <w:rPr>
                <w:rStyle w:val="IndexLink"/>
              </w:rPr>
              <w:t>261</w:t>
            </w:r>
          </w:hyperlink>
        </w:p>
        <w:p>
          <w:pPr>
            <w:pStyle w:val="Contents3"/>
            <w:tabs>
              <w:tab w:val="clear" w:pos="8459"/>
              <w:tab w:val="right" w:pos="9026" w:leader="dot"/>
            </w:tabs>
            <w:rPr/>
          </w:pPr>
          <w:hyperlink w:anchor="__RefHeading___Toc2684299_2870459653">
            <w:r>
              <w:rPr>
                <w:webHidden/>
                <w:rStyle w:val="IndexLink"/>
                <w:rtl w:val="true"/>
              </w:rPr>
              <w:t>اشارة</w:t>
            </w:r>
            <w:r>
              <w:rPr>
                <w:rStyle w:val="IndexLink"/>
                <w:rtl w:val="true"/>
              </w:rPr>
              <w:tab/>
            </w:r>
            <w:r>
              <w:rPr>
                <w:rStyle w:val="IndexLink"/>
              </w:rPr>
              <w:t>261</w:t>
            </w:r>
          </w:hyperlink>
        </w:p>
        <w:p>
          <w:pPr>
            <w:pStyle w:val="Contents3"/>
            <w:tabs>
              <w:tab w:val="clear" w:pos="8459"/>
              <w:tab w:val="right" w:pos="9026" w:leader="dot"/>
            </w:tabs>
            <w:rPr/>
          </w:pPr>
          <w:hyperlink w:anchor="__RefHeading___Toc2684301_2870459653">
            <w:r>
              <w:rPr>
                <w:webHidden/>
                <w:rStyle w:val="IndexLink"/>
                <w:rtl w:val="true"/>
              </w:rPr>
              <w:t xml:space="preserve">رجال المستمسك </w:t>
            </w:r>
            <w:r>
              <w:rPr>
                <w:rStyle w:val="IndexLink"/>
                <w:rtl w:val="true"/>
              </w:rPr>
              <w:t>-</w:t>
            </w:r>
            <w:r>
              <w:rPr>
                <w:rStyle w:val="IndexLink"/>
                <w:rtl w:val="true"/>
              </w:rPr>
              <w:t>القسم الثاني</w:t>
            </w:r>
            <w:r>
              <w:rPr>
                <w:rStyle w:val="IndexLink"/>
                <w:rtl w:val="true"/>
              </w:rPr>
              <w:tab/>
            </w:r>
            <w:r>
              <w:rPr>
                <w:rStyle w:val="IndexLink"/>
              </w:rPr>
              <w:t>263</w:t>
            </w:r>
          </w:hyperlink>
        </w:p>
        <w:p>
          <w:pPr>
            <w:pStyle w:val="Contents4"/>
            <w:tabs>
              <w:tab w:val="clear" w:pos="8176"/>
              <w:tab w:val="right" w:pos="9026" w:leader="dot"/>
            </w:tabs>
            <w:rPr/>
          </w:pPr>
          <w:hyperlink w:anchor="__RefHeading___Toc2684303_2870459653">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684305_2870459653">
            <w:r>
              <w:rPr>
                <w:webHidden/>
                <w:rStyle w:val="IndexLink"/>
                <w:rtl w:val="true"/>
              </w:rPr>
              <w:t>المقدمة</w:t>
            </w:r>
            <w:r>
              <w:rPr>
                <w:rStyle w:val="IndexLink"/>
                <w:rtl w:val="true"/>
              </w:rPr>
              <w:tab/>
            </w:r>
            <w:r>
              <w:rPr>
                <w:rStyle w:val="IndexLink"/>
              </w:rPr>
              <w:t>265</w:t>
            </w:r>
          </w:hyperlink>
        </w:p>
        <w:p>
          <w:pPr>
            <w:pStyle w:val="Contents4"/>
            <w:tabs>
              <w:tab w:val="clear" w:pos="8176"/>
              <w:tab w:val="right" w:pos="9026" w:leader="dot"/>
            </w:tabs>
            <w:rPr/>
          </w:pPr>
          <w:hyperlink w:anchor="__RefHeading___Toc2684307_2870459653">
            <w:r>
              <w:rPr>
                <w:webHidden/>
                <w:rStyle w:val="IndexLink"/>
                <w:rtl w:val="true"/>
              </w:rPr>
              <w:t>المحور الأول</w:t>
            </w:r>
            <w:r>
              <w:rPr>
                <w:rStyle w:val="IndexLink"/>
                <w:rtl w:val="true"/>
              </w:rPr>
              <w:t xml:space="preserve">: </w:t>
            </w:r>
            <w:r>
              <w:rPr>
                <w:rStyle w:val="IndexLink"/>
                <w:rtl w:val="true"/>
              </w:rPr>
              <w:t xml:space="preserve">حدود حجية الخبر </w:t>
            </w:r>
            <w:r>
              <w:rPr>
                <w:rStyle w:val="IndexLink"/>
                <w:rtl w:val="true"/>
              </w:rPr>
              <w:t>(</w:t>
            </w:r>
            <w:r>
              <w:rPr>
                <w:rStyle w:val="IndexLink"/>
                <w:rtl w:val="true"/>
              </w:rPr>
              <w:t>من حيث السند</w:t>
            </w:r>
            <w:r>
              <w:rPr>
                <w:rStyle w:val="IndexLink"/>
                <w:rtl w:val="true"/>
              </w:rPr>
              <w:t>)</w:t>
              <w:tab/>
            </w:r>
            <w:r>
              <w:rPr>
                <w:rStyle w:val="IndexLink"/>
              </w:rPr>
              <w:t>267</w:t>
            </w:r>
          </w:hyperlink>
        </w:p>
        <w:p>
          <w:pPr>
            <w:pStyle w:val="Contents4"/>
            <w:tabs>
              <w:tab w:val="clear" w:pos="8176"/>
              <w:tab w:val="right" w:pos="9026" w:leader="dot"/>
            </w:tabs>
            <w:rPr/>
          </w:pPr>
          <w:hyperlink w:anchor="__RefHeading___Toc2684309_2870459653">
            <w:r>
              <w:rPr>
                <w:webHidden/>
                <w:rStyle w:val="IndexLink"/>
                <w:rtl w:val="true"/>
              </w:rPr>
              <w:t>المحور الأول</w:t>
            </w:r>
            <w:r>
              <w:rPr>
                <w:rStyle w:val="IndexLink"/>
                <w:rtl w:val="true"/>
              </w:rPr>
              <w:t xml:space="preserve">: </w:t>
            </w:r>
            <w:r>
              <w:rPr>
                <w:rStyle w:val="IndexLink"/>
                <w:rtl w:val="true"/>
              </w:rPr>
              <w:t xml:space="preserve">حدود حجية الخبر </w:t>
            </w:r>
            <w:r>
              <w:rPr>
                <w:rStyle w:val="IndexLink"/>
                <w:rtl w:val="true"/>
              </w:rPr>
              <w:t>(</w:t>
            </w:r>
            <w:r>
              <w:rPr>
                <w:rStyle w:val="IndexLink"/>
                <w:rtl w:val="true"/>
              </w:rPr>
              <w:t>من حيث المتن</w:t>
            </w:r>
            <w:r>
              <w:rPr>
                <w:rStyle w:val="IndexLink"/>
                <w:rtl w:val="true"/>
              </w:rPr>
              <w:t>)</w:t>
              <w:tab/>
            </w:r>
            <w:r>
              <w:rPr>
                <w:rStyle w:val="IndexLink"/>
              </w:rPr>
              <w:t>283</w:t>
            </w:r>
          </w:hyperlink>
        </w:p>
        <w:p>
          <w:pPr>
            <w:pStyle w:val="Contents4"/>
            <w:tabs>
              <w:tab w:val="clear" w:pos="8176"/>
              <w:tab w:val="right" w:pos="9026" w:leader="dot"/>
            </w:tabs>
            <w:rPr/>
          </w:pPr>
          <w:hyperlink w:anchor="__RefHeading___Toc2684311_2870459653">
            <w:r>
              <w:rPr>
                <w:webHidden/>
                <w:rStyle w:val="IndexLink"/>
                <w:rtl w:val="true"/>
              </w:rPr>
              <w:t>المحور الثاني</w:t>
            </w:r>
            <w:r>
              <w:rPr>
                <w:rStyle w:val="IndexLink"/>
                <w:rtl w:val="true"/>
              </w:rPr>
              <w:t xml:space="preserve">: </w:t>
            </w:r>
            <w:r>
              <w:rPr>
                <w:rStyle w:val="IndexLink"/>
                <w:rtl w:val="true"/>
              </w:rPr>
              <w:t>تعابير رجالية</w:t>
            </w:r>
            <w:r>
              <w:rPr>
                <w:rStyle w:val="IndexLink"/>
                <w:rtl w:val="true"/>
              </w:rPr>
              <w:tab/>
            </w:r>
            <w:r>
              <w:rPr>
                <w:rStyle w:val="IndexLink"/>
              </w:rPr>
              <w:t>294</w:t>
            </w:r>
          </w:hyperlink>
        </w:p>
        <w:p>
          <w:pPr>
            <w:pStyle w:val="Contents4"/>
            <w:tabs>
              <w:tab w:val="clear" w:pos="8176"/>
              <w:tab w:val="right" w:pos="9026" w:leader="dot"/>
            </w:tabs>
            <w:rPr/>
          </w:pPr>
          <w:hyperlink w:anchor="__RefHeading___Toc2684313_2870459653">
            <w:r>
              <w:rPr>
                <w:webHidden/>
                <w:rStyle w:val="IndexLink"/>
                <w:rtl w:val="true"/>
              </w:rPr>
              <w:t>المحور الثالث</w:t>
            </w:r>
            <w:r>
              <w:rPr>
                <w:rStyle w:val="IndexLink"/>
                <w:rtl w:val="true"/>
              </w:rPr>
              <w:t xml:space="preserve">: </w:t>
            </w:r>
            <w:r>
              <w:rPr>
                <w:rStyle w:val="IndexLink"/>
                <w:rtl w:val="true"/>
              </w:rPr>
              <w:t>اشتراك الرواة</w:t>
            </w:r>
            <w:r>
              <w:rPr>
                <w:rStyle w:val="IndexLink"/>
                <w:rtl w:val="true"/>
              </w:rPr>
              <w:tab/>
            </w:r>
            <w:r>
              <w:rPr>
                <w:rStyle w:val="IndexLink"/>
              </w:rPr>
              <w:t>299</w:t>
            </w:r>
          </w:hyperlink>
        </w:p>
        <w:p>
          <w:pPr>
            <w:pStyle w:val="Contents4"/>
            <w:tabs>
              <w:tab w:val="clear" w:pos="8176"/>
              <w:tab w:val="right" w:pos="9026" w:leader="dot"/>
            </w:tabs>
            <w:rPr/>
          </w:pPr>
          <w:hyperlink w:anchor="__RefHeading___Toc2684315_2870459653">
            <w:r>
              <w:rPr>
                <w:webHidden/>
                <w:rStyle w:val="IndexLink"/>
                <w:rtl w:val="true"/>
              </w:rPr>
              <w:t>المحور الرابع</w:t>
            </w:r>
            <w:r>
              <w:rPr>
                <w:rStyle w:val="IndexLink"/>
                <w:rtl w:val="true"/>
              </w:rPr>
              <w:t xml:space="preserve">: </w:t>
            </w:r>
            <w:r>
              <w:rPr>
                <w:rStyle w:val="IndexLink"/>
                <w:rtl w:val="true"/>
              </w:rPr>
              <w:t>حول الكتب الأربعة</w:t>
            </w:r>
            <w:r>
              <w:rPr>
                <w:rStyle w:val="IndexLink"/>
                <w:rtl w:val="true"/>
              </w:rPr>
              <w:tab/>
            </w:r>
            <w:r>
              <w:rPr>
                <w:rStyle w:val="IndexLink"/>
              </w:rPr>
              <w:t>302</w:t>
            </w:r>
          </w:hyperlink>
        </w:p>
        <w:p>
          <w:pPr>
            <w:pStyle w:val="Contents5"/>
            <w:tabs>
              <w:tab w:val="clear" w:pos="7892"/>
              <w:tab w:val="right" w:pos="9026" w:leader="dot"/>
            </w:tabs>
            <w:rPr/>
          </w:pPr>
          <w:hyperlink w:anchor="__RefHeading___Toc2684317_2870459653">
            <w:r>
              <w:rPr>
                <w:webHidden/>
                <w:rStyle w:val="IndexLink"/>
                <w:rtl w:val="true"/>
              </w:rPr>
              <w:t>مقدمة</w:t>
            </w:r>
            <w:r>
              <w:rPr>
                <w:rStyle w:val="IndexLink"/>
                <w:rtl w:val="true"/>
              </w:rPr>
              <w:tab/>
            </w:r>
            <w:r>
              <w:rPr>
                <w:rStyle w:val="IndexLink"/>
              </w:rPr>
              <w:t>302</w:t>
            </w:r>
          </w:hyperlink>
        </w:p>
        <w:p>
          <w:pPr>
            <w:pStyle w:val="Contents5"/>
            <w:tabs>
              <w:tab w:val="clear" w:pos="7892"/>
              <w:tab w:val="right" w:pos="9026" w:leader="dot"/>
            </w:tabs>
            <w:rPr/>
          </w:pPr>
          <w:hyperlink w:anchor="__RefHeading___Toc2684319_2870459653">
            <w:r>
              <w:rPr>
                <w:webHidden/>
                <w:rStyle w:val="IndexLink"/>
                <w:rtl w:val="true"/>
              </w:rPr>
              <w:t>الكافي</w:t>
            </w:r>
            <w:r>
              <w:rPr>
                <w:rStyle w:val="IndexLink"/>
                <w:rtl w:val="true"/>
              </w:rPr>
              <w:tab/>
            </w:r>
            <w:r>
              <w:rPr>
                <w:rStyle w:val="IndexLink"/>
              </w:rPr>
              <w:t>307</w:t>
            </w:r>
          </w:hyperlink>
        </w:p>
        <w:p>
          <w:pPr>
            <w:pStyle w:val="Contents5"/>
            <w:tabs>
              <w:tab w:val="clear" w:pos="7892"/>
              <w:tab w:val="right" w:pos="9026" w:leader="dot"/>
            </w:tabs>
            <w:rPr/>
          </w:pPr>
          <w:hyperlink w:anchor="__RefHeading___Toc2684321_2870459653">
            <w:r>
              <w:rPr>
                <w:webHidden/>
                <w:rStyle w:val="IndexLink"/>
                <w:rtl w:val="true"/>
              </w:rPr>
              <w:t>من لا يحضره الفقيه</w:t>
            </w:r>
            <w:r>
              <w:rPr>
                <w:rStyle w:val="IndexLink"/>
                <w:rtl w:val="true"/>
              </w:rPr>
              <w:tab/>
            </w:r>
            <w:r>
              <w:rPr>
                <w:rStyle w:val="IndexLink"/>
              </w:rPr>
              <w:t>311</w:t>
            </w:r>
          </w:hyperlink>
        </w:p>
        <w:p>
          <w:pPr>
            <w:pStyle w:val="Contents5"/>
            <w:tabs>
              <w:tab w:val="clear" w:pos="7892"/>
              <w:tab w:val="right" w:pos="9026" w:leader="dot"/>
            </w:tabs>
            <w:rPr/>
          </w:pPr>
          <w:hyperlink w:anchor="__RefHeading___Toc2684323_2870459653">
            <w:r>
              <w:rPr>
                <w:webHidden/>
                <w:rStyle w:val="IndexLink"/>
                <w:rtl w:val="true"/>
              </w:rPr>
              <w:t>التهذيب</w:t>
            </w:r>
            <w:r>
              <w:rPr>
                <w:rStyle w:val="IndexLink"/>
                <w:rtl w:val="true"/>
              </w:rPr>
              <w:tab/>
            </w:r>
            <w:r>
              <w:rPr>
                <w:rStyle w:val="IndexLink"/>
              </w:rPr>
              <w:t>316</w:t>
            </w:r>
          </w:hyperlink>
        </w:p>
        <w:p>
          <w:pPr>
            <w:pStyle w:val="Contents4"/>
            <w:tabs>
              <w:tab w:val="clear" w:pos="8176"/>
              <w:tab w:val="right" w:pos="9026" w:leader="dot"/>
            </w:tabs>
            <w:rPr/>
          </w:pPr>
          <w:hyperlink w:anchor="__RefHeading___Toc2684325_2870459653">
            <w:r>
              <w:rPr>
                <w:webHidden/>
                <w:rStyle w:val="IndexLink"/>
                <w:rtl w:val="true"/>
              </w:rPr>
              <w:t>المحور الخامس</w:t>
            </w:r>
            <w:r>
              <w:rPr>
                <w:rStyle w:val="IndexLink"/>
                <w:rtl w:val="true"/>
              </w:rPr>
              <w:t xml:space="preserve">: </w:t>
            </w:r>
            <w:r>
              <w:rPr>
                <w:rStyle w:val="IndexLink"/>
                <w:rtl w:val="true"/>
              </w:rPr>
              <w:t>مصادر حديثية أخرى</w:t>
            </w:r>
            <w:r>
              <w:rPr>
                <w:rStyle w:val="IndexLink"/>
                <w:rtl w:val="true"/>
              </w:rPr>
              <w:tab/>
            </w:r>
            <w:r>
              <w:rPr>
                <w:rStyle w:val="IndexLink"/>
              </w:rPr>
              <w:t>320</w:t>
            </w:r>
          </w:hyperlink>
        </w:p>
        <w:p>
          <w:pPr>
            <w:pStyle w:val="Contents5"/>
            <w:tabs>
              <w:tab w:val="clear" w:pos="7892"/>
              <w:tab w:val="right" w:pos="9026" w:leader="dot"/>
            </w:tabs>
            <w:rPr/>
          </w:pPr>
          <w:hyperlink w:anchor="__RefHeading___Toc2684327_2870459653">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2684329_2870459653">
            <w:r>
              <w:rPr>
                <w:webHidden/>
                <w:rStyle w:val="IndexLink"/>
                <w:rtl w:val="true"/>
              </w:rPr>
              <w:t xml:space="preserve">تفسير العسكري </w:t>
            </w:r>
            <w:r>
              <w:rPr>
                <w:rStyle w:val="IndexLink"/>
                <w:rtl w:val="true"/>
              </w:rPr>
              <w:t>(</w:t>
            </w:r>
            <w:r>
              <w:rPr>
                <w:rStyle w:val="IndexLink"/>
                <w:rtl w:val="true"/>
              </w:rPr>
              <w:t>علیه السلام</w:t>
            </w:r>
            <w:r>
              <w:rPr>
                <w:rStyle w:val="IndexLink"/>
                <w:rtl w:val="true"/>
              </w:rPr>
              <w:t>)</w:t>
              <w:tab/>
            </w:r>
            <w:r>
              <w:rPr>
                <w:rStyle w:val="IndexLink"/>
              </w:rPr>
              <w:t>320</w:t>
            </w:r>
          </w:hyperlink>
        </w:p>
        <w:p>
          <w:pPr>
            <w:pStyle w:val="Contents5"/>
            <w:tabs>
              <w:tab w:val="clear" w:pos="7892"/>
              <w:tab w:val="right" w:pos="9026" w:leader="dot"/>
            </w:tabs>
            <w:rPr/>
          </w:pPr>
          <w:hyperlink w:anchor="__RefHeading___Toc2684331_2870459653">
            <w:r>
              <w:rPr>
                <w:webHidden/>
                <w:rStyle w:val="IndexLink"/>
                <w:rtl w:val="true"/>
              </w:rPr>
              <w:t>الفقه الرضوي</w:t>
            </w:r>
            <w:r>
              <w:rPr>
                <w:rStyle w:val="IndexLink"/>
                <w:rtl w:val="true"/>
              </w:rPr>
              <w:tab/>
            </w:r>
            <w:r>
              <w:rPr>
                <w:rStyle w:val="IndexLink"/>
              </w:rPr>
              <w:t>321</w:t>
            </w:r>
          </w:hyperlink>
        </w:p>
        <w:p>
          <w:pPr>
            <w:pStyle w:val="Contents5"/>
            <w:tabs>
              <w:tab w:val="clear" w:pos="7892"/>
              <w:tab w:val="right" w:pos="9026" w:leader="dot"/>
            </w:tabs>
            <w:rPr/>
          </w:pPr>
          <w:hyperlink w:anchor="__RefHeading___Toc2684333_2870459653">
            <w:r>
              <w:rPr>
                <w:webHidden/>
                <w:rStyle w:val="IndexLink"/>
                <w:rtl w:val="true"/>
              </w:rPr>
              <w:t>تفسير العياشي</w:t>
            </w:r>
            <w:r>
              <w:rPr>
                <w:rStyle w:val="IndexLink"/>
                <w:rtl w:val="true"/>
              </w:rPr>
              <w:tab/>
            </w:r>
            <w:r>
              <w:rPr>
                <w:rStyle w:val="IndexLink"/>
              </w:rPr>
              <w:t>322</w:t>
            </w:r>
          </w:hyperlink>
        </w:p>
        <w:p>
          <w:pPr>
            <w:pStyle w:val="Contents5"/>
            <w:tabs>
              <w:tab w:val="clear" w:pos="7892"/>
              <w:tab w:val="right" w:pos="9026" w:leader="dot"/>
            </w:tabs>
            <w:rPr/>
          </w:pPr>
          <w:hyperlink w:anchor="__RefHeading___Toc2684335_2870459653">
            <w:r>
              <w:rPr>
                <w:webHidden/>
                <w:rStyle w:val="IndexLink"/>
                <w:rtl w:val="true"/>
              </w:rPr>
              <w:t>مستطرفات السرائر</w:t>
            </w:r>
            <w:r>
              <w:rPr>
                <w:rStyle w:val="IndexLink"/>
                <w:rtl w:val="true"/>
              </w:rPr>
              <w:tab/>
            </w:r>
            <w:r>
              <w:rPr>
                <w:rStyle w:val="IndexLink"/>
              </w:rPr>
              <w:t>324</w:t>
            </w:r>
          </w:hyperlink>
        </w:p>
        <w:p>
          <w:pPr>
            <w:pStyle w:val="Contents3"/>
            <w:tabs>
              <w:tab w:val="clear" w:pos="8459"/>
              <w:tab w:val="right" w:pos="9026" w:leader="dot"/>
            </w:tabs>
            <w:rPr/>
          </w:pPr>
          <w:hyperlink w:anchor="__RefHeading___Toc2684337_2870459653">
            <w:r>
              <w:rPr>
                <w:webHidden/>
                <w:rStyle w:val="IndexLink"/>
                <w:rtl w:val="true"/>
              </w:rPr>
              <w:t>المصادر</w:t>
            </w:r>
            <w:r>
              <w:rPr>
                <w:rStyle w:val="IndexLink"/>
                <w:rtl w:val="true"/>
              </w:rPr>
              <w:tab/>
            </w:r>
            <w:r>
              <w:rPr>
                <w:rStyle w:val="IndexLink"/>
              </w:rPr>
              <w:t>327</w:t>
            </w:r>
          </w:hyperlink>
        </w:p>
        <w:p>
          <w:pPr>
            <w:pStyle w:val="Contents2"/>
            <w:tabs>
              <w:tab w:val="clear" w:pos="8743"/>
              <w:tab w:val="right" w:pos="9026" w:leader="dot"/>
            </w:tabs>
            <w:rPr/>
          </w:pPr>
          <w:hyperlink w:anchor="__RefHeading___Toc2684339_2870459653">
            <w:r>
              <w:rPr>
                <w:webHidden/>
                <w:rStyle w:val="IndexLink"/>
                <w:rtl w:val="true"/>
              </w:rPr>
              <w:t xml:space="preserve">رسالة في التعبدي والتوصلي للمیرزا النائيني </w:t>
            </w:r>
            <w:r>
              <w:rPr>
                <w:rStyle w:val="IndexLink"/>
                <w:rtl w:val="true"/>
              </w:rPr>
              <w:t>(</w:t>
            </w:r>
            <w:r>
              <w:rPr>
                <w:rStyle w:val="IndexLink"/>
                <w:rtl w:val="true"/>
              </w:rPr>
              <w:t>قدس سره</w:t>
            </w:r>
            <w:r>
              <w:rPr>
                <w:rStyle w:val="IndexLink"/>
                <w:rtl w:val="true"/>
              </w:rPr>
              <w:t xml:space="preserve">) - </w:t>
            </w:r>
            <w:r>
              <w:rPr>
                <w:rStyle w:val="IndexLink"/>
                <w:rtl w:val="true"/>
              </w:rPr>
              <w:t>السيد غسان الخرسان</w:t>
            </w:r>
            <w:r>
              <w:rPr>
                <w:rStyle w:val="IndexLink"/>
                <w:rtl w:val="true"/>
              </w:rPr>
              <w:tab/>
            </w:r>
            <w:r>
              <w:rPr>
                <w:rStyle w:val="IndexLink"/>
              </w:rPr>
              <w:t>333</w:t>
            </w:r>
          </w:hyperlink>
        </w:p>
        <w:p>
          <w:pPr>
            <w:pStyle w:val="Contents3"/>
            <w:tabs>
              <w:tab w:val="clear" w:pos="8459"/>
              <w:tab w:val="right" w:pos="9026" w:leader="dot"/>
            </w:tabs>
            <w:rPr/>
          </w:pPr>
          <w:hyperlink w:anchor="__RefHeading___Toc2684341_2870459653">
            <w:r>
              <w:rPr>
                <w:webHidden/>
                <w:rStyle w:val="IndexLink"/>
                <w:rtl w:val="true"/>
              </w:rPr>
              <w:t>اشارة</w:t>
            </w:r>
            <w:r>
              <w:rPr>
                <w:rStyle w:val="IndexLink"/>
                <w:rtl w:val="true"/>
              </w:rPr>
              <w:tab/>
            </w:r>
            <w:r>
              <w:rPr>
                <w:rStyle w:val="IndexLink"/>
              </w:rPr>
              <w:t>333</w:t>
            </w:r>
          </w:hyperlink>
        </w:p>
        <w:p>
          <w:pPr>
            <w:pStyle w:val="Contents3"/>
            <w:tabs>
              <w:tab w:val="clear" w:pos="8459"/>
              <w:tab w:val="right" w:pos="9026" w:leader="dot"/>
            </w:tabs>
            <w:rPr/>
          </w:pPr>
          <w:hyperlink w:anchor="__RefHeading___Toc2684343_2870459653">
            <w:r>
              <w:rPr>
                <w:webHidden/>
                <w:rStyle w:val="IndexLink"/>
                <w:rtl w:val="true"/>
              </w:rPr>
              <w:t>المقدمة</w:t>
            </w:r>
            <w:r>
              <w:rPr>
                <w:rStyle w:val="IndexLink"/>
                <w:rtl w:val="true"/>
              </w:rPr>
              <w:tab/>
            </w:r>
            <w:r>
              <w:rPr>
                <w:rStyle w:val="IndexLink"/>
              </w:rPr>
              <w:t>335</w:t>
            </w:r>
          </w:hyperlink>
        </w:p>
        <w:p>
          <w:pPr>
            <w:pStyle w:val="Contents4"/>
            <w:tabs>
              <w:tab w:val="clear" w:pos="8176"/>
              <w:tab w:val="right" w:pos="9026" w:leader="dot"/>
            </w:tabs>
            <w:rPr/>
          </w:pPr>
          <w:hyperlink w:anchor="__RefHeading___Toc2684345_2870459653">
            <w:r>
              <w:rPr>
                <w:webHidden/>
                <w:rStyle w:val="IndexLink"/>
                <w:rtl w:val="true"/>
              </w:rPr>
              <w:t>اشارة</w:t>
            </w:r>
            <w:r>
              <w:rPr>
                <w:rStyle w:val="IndexLink"/>
                <w:rtl w:val="true"/>
              </w:rPr>
              <w:tab/>
            </w:r>
            <w:r>
              <w:rPr>
                <w:rStyle w:val="IndexLink"/>
              </w:rPr>
              <w:t>335</w:t>
            </w:r>
          </w:hyperlink>
        </w:p>
        <w:p>
          <w:pPr>
            <w:pStyle w:val="Contents4"/>
            <w:tabs>
              <w:tab w:val="clear" w:pos="8176"/>
              <w:tab w:val="right" w:pos="9026" w:leader="dot"/>
            </w:tabs>
            <w:rPr/>
          </w:pPr>
          <w:hyperlink w:anchor="__RefHeading___Toc2684347_2870459653">
            <w:r>
              <w:rPr>
                <w:webHidden/>
                <w:rStyle w:val="IndexLink"/>
                <w:rtl w:val="true"/>
              </w:rPr>
              <w:t>المقدمة الأولى</w:t>
            </w:r>
            <w:r>
              <w:rPr>
                <w:rStyle w:val="IndexLink"/>
                <w:rtl w:val="true"/>
              </w:rPr>
              <w:tab/>
            </w:r>
            <w:r>
              <w:rPr>
                <w:rStyle w:val="IndexLink"/>
              </w:rPr>
              <w:t>336</w:t>
            </w:r>
          </w:hyperlink>
        </w:p>
        <w:p>
          <w:pPr>
            <w:pStyle w:val="Contents4"/>
            <w:tabs>
              <w:tab w:val="clear" w:pos="8176"/>
              <w:tab w:val="right" w:pos="9026" w:leader="dot"/>
            </w:tabs>
            <w:rPr/>
          </w:pPr>
          <w:hyperlink w:anchor="__RefHeading___Toc2684349_2870459653">
            <w:r>
              <w:rPr>
                <w:webHidden/>
                <w:rStyle w:val="IndexLink"/>
                <w:rtl w:val="true"/>
              </w:rPr>
              <w:t>المقدمة الثانية</w:t>
            </w:r>
            <w:r>
              <w:rPr>
                <w:rStyle w:val="IndexLink"/>
                <w:rtl w:val="true"/>
              </w:rPr>
              <w:tab/>
            </w:r>
            <w:r>
              <w:rPr>
                <w:rStyle w:val="IndexLink"/>
              </w:rPr>
              <w:t>337</w:t>
            </w:r>
          </w:hyperlink>
        </w:p>
        <w:p>
          <w:pPr>
            <w:pStyle w:val="Contents4"/>
            <w:tabs>
              <w:tab w:val="clear" w:pos="8176"/>
              <w:tab w:val="right" w:pos="9026" w:leader="dot"/>
            </w:tabs>
            <w:rPr/>
          </w:pPr>
          <w:hyperlink w:anchor="__RefHeading___Toc2684351_2870459653">
            <w:r>
              <w:rPr>
                <w:webHidden/>
                <w:rStyle w:val="IndexLink"/>
                <w:rtl w:val="true"/>
              </w:rPr>
              <w:t xml:space="preserve">اطلالة على حياة المؤلف </w:t>
            </w:r>
            <w:r>
              <w:rPr>
                <w:rStyle w:val="IndexLink"/>
                <w:rtl w:val="true"/>
              </w:rPr>
              <w:t>(</w:t>
            </w:r>
            <w:r>
              <w:rPr>
                <w:rStyle w:val="IndexLink"/>
                <w:rtl w:val="true"/>
              </w:rPr>
              <w:t>قدس سره</w:t>
            </w:r>
            <w:r>
              <w:rPr>
                <w:rStyle w:val="IndexLink"/>
                <w:rtl w:val="true"/>
              </w:rPr>
              <w:t>)</w:t>
              <w:tab/>
            </w:r>
            <w:r>
              <w:rPr>
                <w:rStyle w:val="IndexLink"/>
              </w:rPr>
              <w:t>342</w:t>
            </w:r>
          </w:hyperlink>
        </w:p>
        <w:p>
          <w:pPr>
            <w:pStyle w:val="Contents4"/>
            <w:tabs>
              <w:tab w:val="clear" w:pos="8176"/>
              <w:tab w:val="right" w:pos="9026" w:leader="dot"/>
            </w:tabs>
            <w:rPr/>
          </w:pPr>
          <w:hyperlink w:anchor="__RefHeading___Toc2684353_2870459653">
            <w:r>
              <w:rPr>
                <w:webHidden/>
                <w:rStyle w:val="IndexLink"/>
                <w:rtl w:val="true"/>
              </w:rPr>
              <w:t>ميلاده ونشأته</w:t>
            </w:r>
            <w:r>
              <w:rPr>
                <w:rStyle w:val="IndexLink"/>
                <w:rtl w:val="true"/>
              </w:rPr>
              <w:tab/>
            </w:r>
            <w:r>
              <w:rPr>
                <w:rStyle w:val="IndexLink"/>
              </w:rPr>
              <w:t>343</w:t>
            </w:r>
          </w:hyperlink>
        </w:p>
        <w:p>
          <w:pPr>
            <w:pStyle w:val="Contents4"/>
            <w:tabs>
              <w:tab w:val="clear" w:pos="8176"/>
              <w:tab w:val="right" w:pos="9026" w:leader="dot"/>
            </w:tabs>
            <w:rPr/>
          </w:pPr>
          <w:hyperlink w:anchor="__RefHeading___Toc2684355_2870459653">
            <w:r>
              <w:rPr>
                <w:webHidden/>
                <w:rStyle w:val="IndexLink"/>
                <w:rtl w:val="true"/>
              </w:rPr>
              <w:t>هجرته إلى العراق</w:t>
            </w:r>
            <w:r>
              <w:rPr>
                <w:rStyle w:val="IndexLink"/>
                <w:rtl w:val="true"/>
              </w:rPr>
              <w:tab/>
            </w:r>
            <w:r>
              <w:rPr>
                <w:rStyle w:val="IndexLink"/>
              </w:rPr>
              <w:t>344</w:t>
            </w:r>
          </w:hyperlink>
        </w:p>
        <w:p>
          <w:pPr>
            <w:pStyle w:val="Contents4"/>
            <w:tabs>
              <w:tab w:val="clear" w:pos="8176"/>
              <w:tab w:val="right" w:pos="9026" w:leader="dot"/>
            </w:tabs>
            <w:rPr/>
          </w:pPr>
          <w:hyperlink w:anchor="__RefHeading___Toc2684357_2870459653">
            <w:r>
              <w:rPr>
                <w:webHidden/>
                <w:rStyle w:val="IndexLink"/>
                <w:rtl w:val="true"/>
              </w:rPr>
              <w:t>منزلته العلمية</w:t>
            </w:r>
            <w:r>
              <w:rPr>
                <w:rStyle w:val="IndexLink"/>
                <w:rtl w:val="true"/>
              </w:rPr>
              <w:tab/>
            </w:r>
            <w:r>
              <w:rPr>
                <w:rStyle w:val="IndexLink"/>
              </w:rPr>
              <w:t>346</w:t>
            </w:r>
          </w:hyperlink>
        </w:p>
        <w:p>
          <w:pPr>
            <w:pStyle w:val="Contents4"/>
            <w:tabs>
              <w:tab w:val="clear" w:pos="8176"/>
              <w:tab w:val="right" w:pos="9026" w:leader="dot"/>
            </w:tabs>
            <w:rPr/>
          </w:pPr>
          <w:hyperlink w:anchor="__RefHeading___Toc2684359_2870459653">
            <w:r>
              <w:rPr>
                <w:webHidden/>
                <w:rStyle w:val="IndexLink"/>
                <w:rtl w:val="true"/>
              </w:rPr>
              <w:t>زعامته الدينية</w:t>
            </w:r>
            <w:r>
              <w:rPr>
                <w:rStyle w:val="IndexLink"/>
                <w:rtl w:val="true"/>
              </w:rPr>
              <w:tab/>
            </w:r>
            <w:r>
              <w:rPr>
                <w:rStyle w:val="IndexLink"/>
              </w:rPr>
              <w:t>347</w:t>
            </w:r>
          </w:hyperlink>
        </w:p>
        <w:p>
          <w:pPr>
            <w:pStyle w:val="Contents4"/>
            <w:tabs>
              <w:tab w:val="clear" w:pos="8176"/>
              <w:tab w:val="right" w:pos="9026" w:leader="dot"/>
            </w:tabs>
            <w:rPr/>
          </w:pPr>
          <w:hyperlink w:anchor="__RefHeading___Toc2684361_2870459653">
            <w:r>
              <w:rPr>
                <w:webHidden/>
                <w:rStyle w:val="IndexLink"/>
                <w:rtl w:val="true"/>
              </w:rPr>
              <w:t>تلامذته ومصنفاته</w:t>
            </w:r>
            <w:r>
              <w:rPr>
                <w:rStyle w:val="IndexLink"/>
                <w:rtl w:val="true"/>
              </w:rPr>
              <w:tab/>
            </w:r>
            <w:r>
              <w:rPr>
                <w:rStyle w:val="IndexLink"/>
              </w:rPr>
              <w:t>347</w:t>
            </w:r>
          </w:hyperlink>
        </w:p>
        <w:p>
          <w:pPr>
            <w:pStyle w:val="Contents4"/>
            <w:tabs>
              <w:tab w:val="clear" w:pos="8176"/>
              <w:tab w:val="right" w:pos="9026" w:leader="dot"/>
            </w:tabs>
            <w:rPr/>
          </w:pPr>
          <w:hyperlink w:anchor="__RefHeading___Toc2684363_2870459653">
            <w:r>
              <w:rPr>
                <w:webHidden/>
                <w:rStyle w:val="IndexLink"/>
                <w:rtl w:val="true"/>
              </w:rPr>
              <w:t>أخلاقه وملكاته</w:t>
            </w:r>
            <w:r>
              <w:rPr>
                <w:rStyle w:val="IndexLink"/>
                <w:rtl w:val="true"/>
              </w:rPr>
              <w:tab/>
            </w:r>
            <w:r>
              <w:rPr>
                <w:rStyle w:val="IndexLink"/>
              </w:rPr>
              <w:t>348</w:t>
            </w:r>
          </w:hyperlink>
        </w:p>
        <w:p>
          <w:pPr>
            <w:pStyle w:val="Contents4"/>
            <w:tabs>
              <w:tab w:val="clear" w:pos="8176"/>
              <w:tab w:val="right" w:pos="9026" w:leader="dot"/>
            </w:tabs>
            <w:rPr/>
          </w:pPr>
          <w:hyperlink w:anchor="__RefHeading___Toc2684365_2870459653">
            <w:r>
              <w:rPr>
                <w:webHidden/>
                <w:rStyle w:val="IndexLink"/>
                <w:rtl w:val="true"/>
              </w:rPr>
              <w:t>وفاته</w:t>
            </w:r>
            <w:r>
              <w:rPr>
                <w:rStyle w:val="IndexLink"/>
                <w:rtl w:val="true"/>
              </w:rPr>
              <w:tab/>
            </w:r>
            <w:r>
              <w:rPr>
                <w:rStyle w:val="IndexLink"/>
              </w:rPr>
              <w:t>349</w:t>
            </w:r>
          </w:hyperlink>
        </w:p>
        <w:p>
          <w:pPr>
            <w:pStyle w:val="Contents4"/>
            <w:tabs>
              <w:tab w:val="clear" w:pos="8176"/>
              <w:tab w:val="right" w:pos="9026" w:leader="dot"/>
            </w:tabs>
            <w:rPr/>
          </w:pPr>
          <w:hyperlink w:anchor="__RefHeading___Toc2684367_2870459653">
            <w:r>
              <w:rPr>
                <w:webHidden/>
                <w:rStyle w:val="IndexLink"/>
                <w:rtl w:val="true"/>
              </w:rPr>
              <w:t>آثاره</w:t>
            </w:r>
            <w:r>
              <w:rPr>
                <w:rStyle w:val="IndexLink"/>
                <w:rtl w:val="true"/>
              </w:rPr>
              <w:tab/>
            </w:r>
            <w:r>
              <w:rPr>
                <w:rStyle w:val="IndexLink"/>
              </w:rPr>
              <w:t>350</w:t>
            </w:r>
          </w:hyperlink>
        </w:p>
        <w:p>
          <w:pPr>
            <w:pStyle w:val="Contents4"/>
            <w:tabs>
              <w:tab w:val="clear" w:pos="8176"/>
              <w:tab w:val="right" w:pos="9026" w:leader="dot"/>
            </w:tabs>
            <w:rPr/>
          </w:pPr>
          <w:hyperlink w:anchor="__RefHeading___Toc2684369_2870459653">
            <w:r>
              <w:rPr>
                <w:webHidden/>
                <w:rStyle w:val="IndexLink"/>
                <w:rtl w:val="true"/>
              </w:rPr>
              <w:t>عملنا في التحقيق</w:t>
            </w:r>
            <w:r>
              <w:rPr>
                <w:rStyle w:val="IndexLink"/>
                <w:rtl w:val="true"/>
              </w:rPr>
              <w:tab/>
            </w:r>
            <w:r>
              <w:rPr>
                <w:rStyle w:val="IndexLink"/>
              </w:rPr>
              <w:t>351</w:t>
            </w:r>
          </w:hyperlink>
        </w:p>
        <w:p>
          <w:pPr>
            <w:pStyle w:val="Contents4"/>
            <w:tabs>
              <w:tab w:val="clear" w:pos="8176"/>
              <w:tab w:val="right" w:pos="9026" w:leader="dot"/>
            </w:tabs>
            <w:rPr/>
          </w:pPr>
          <w:hyperlink w:anchor="__RefHeading___Toc2684371_2870459653">
            <w:r>
              <w:rPr>
                <w:webHidden/>
                <w:rStyle w:val="IndexLink"/>
                <w:rtl w:val="true"/>
              </w:rPr>
              <w:t>شكر وتقدير</w:t>
            </w:r>
            <w:r>
              <w:rPr>
                <w:rStyle w:val="IndexLink"/>
                <w:rtl w:val="true"/>
              </w:rPr>
              <w:tab/>
            </w:r>
            <w:r>
              <w:rPr>
                <w:rStyle w:val="IndexLink"/>
              </w:rPr>
              <w:t>352</w:t>
            </w:r>
          </w:hyperlink>
        </w:p>
        <w:p>
          <w:pPr>
            <w:pStyle w:val="Contents3"/>
            <w:tabs>
              <w:tab w:val="clear" w:pos="8459"/>
              <w:tab w:val="right" w:pos="9026" w:leader="dot"/>
            </w:tabs>
            <w:rPr/>
          </w:pPr>
          <w:hyperlink w:anchor="__RefHeading___Toc2684373_2870459653">
            <w:r>
              <w:rPr>
                <w:webHidden/>
                <w:rStyle w:val="IndexLink"/>
                <w:rtl w:val="true"/>
              </w:rPr>
              <w:t>متن الرسالة</w:t>
            </w:r>
            <w:r>
              <w:rPr>
                <w:rStyle w:val="IndexLink"/>
                <w:rtl w:val="true"/>
              </w:rPr>
              <w:tab/>
            </w:r>
            <w:r>
              <w:rPr>
                <w:rStyle w:val="IndexLink"/>
              </w:rPr>
              <w:t>361</w:t>
            </w:r>
          </w:hyperlink>
        </w:p>
        <w:p>
          <w:pPr>
            <w:pStyle w:val="Contents4"/>
            <w:tabs>
              <w:tab w:val="clear" w:pos="8176"/>
              <w:tab w:val="right" w:pos="9026" w:leader="dot"/>
            </w:tabs>
            <w:rPr/>
          </w:pPr>
          <w:hyperlink w:anchor="__RefHeading___Toc2684375_2870459653">
            <w:r>
              <w:rPr>
                <w:webHidden/>
                <w:rStyle w:val="IndexLink"/>
                <w:rtl w:val="true"/>
              </w:rPr>
              <w:t>اشارة</w:t>
            </w:r>
            <w:r>
              <w:rPr>
                <w:rStyle w:val="IndexLink"/>
                <w:rtl w:val="true"/>
              </w:rPr>
              <w:tab/>
            </w:r>
            <w:r>
              <w:rPr>
                <w:rStyle w:val="IndexLink"/>
              </w:rPr>
              <w:t>361</w:t>
            </w:r>
          </w:hyperlink>
        </w:p>
        <w:p>
          <w:pPr>
            <w:pStyle w:val="Contents4"/>
            <w:tabs>
              <w:tab w:val="clear" w:pos="8176"/>
              <w:tab w:val="right" w:pos="9026" w:leader="dot"/>
            </w:tabs>
            <w:rPr/>
          </w:pPr>
          <w:hyperlink w:anchor="__RefHeading___Toc2684377_2870459653">
            <w:r>
              <w:rPr>
                <w:webHidden/>
                <w:rStyle w:val="IndexLink"/>
                <w:rtl w:val="true"/>
              </w:rPr>
              <w:t>الأمر الأول</w:t>
            </w:r>
            <w:r>
              <w:rPr>
                <w:rStyle w:val="IndexLink"/>
                <w:rtl w:val="true"/>
              </w:rPr>
              <w:tab/>
            </w:r>
            <w:r>
              <w:rPr>
                <w:rStyle w:val="IndexLink"/>
              </w:rPr>
              <w:t>363</w:t>
            </w:r>
          </w:hyperlink>
        </w:p>
        <w:p>
          <w:pPr>
            <w:pStyle w:val="Contents4"/>
            <w:tabs>
              <w:tab w:val="clear" w:pos="8176"/>
              <w:tab w:val="right" w:pos="9026" w:leader="dot"/>
            </w:tabs>
            <w:rPr/>
          </w:pPr>
          <w:hyperlink w:anchor="__RefHeading___Toc2684379_2870459653">
            <w:r>
              <w:rPr>
                <w:webHidden/>
                <w:rStyle w:val="IndexLink"/>
                <w:rtl w:val="true"/>
              </w:rPr>
              <w:t>الأمر الثاني</w:t>
            </w:r>
            <w:r>
              <w:rPr>
                <w:rStyle w:val="IndexLink"/>
                <w:rtl w:val="true"/>
              </w:rPr>
              <w:tab/>
            </w:r>
            <w:r>
              <w:rPr>
                <w:rStyle w:val="IndexLink"/>
              </w:rPr>
              <w:t>372</w:t>
            </w:r>
          </w:hyperlink>
        </w:p>
        <w:p>
          <w:pPr>
            <w:pStyle w:val="Contents4"/>
            <w:tabs>
              <w:tab w:val="clear" w:pos="8176"/>
              <w:tab w:val="right" w:pos="9026" w:leader="dot"/>
            </w:tabs>
            <w:rPr/>
          </w:pPr>
          <w:hyperlink w:anchor="__RefHeading___Toc2684381_2870459653">
            <w:r>
              <w:rPr>
                <w:webHidden/>
                <w:rStyle w:val="IndexLink"/>
                <w:rtl w:val="true"/>
              </w:rPr>
              <w:t>الأمر الثالث</w:t>
            </w:r>
            <w:r>
              <w:rPr>
                <w:rStyle w:val="IndexLink"/>
                <w:rtl w:val="true"/>
              </w:rPr>
              <w:tab/>
            </w:r>
            <w:r>
              <w:rPr>
                <w:rStyle w:val="IndexLink"/>
              </w:rPr>
              <w:t>379</w:t>
            </w:r>
          </w:hyperlink>
        </w:p>
        <w:p>
          <w:pPr>
            <w:pStyle w:val="Contents4"/>
            <w:tabs>
              <w:tab w:val="clear" w:pos="8176"/>
              <w:tab w:val="right" w:pos="9026" w:leader="dot"/>
            </w:tabs>
            <w:rPr/>
          </w:pPr>
          <w:hyperlink w:anchor="__RefHeading___Toc2684383_2870459653">
            <w:r>
              <w:rPr>
                <w:webHidden/>
                <w:rStyle w:val="IndexLink"/>
                <w:rtl w:val="true"/>
              </w:rPr>
              <w:t>الأمر الرابع</w:t>
            </w:r>
            <w:r>
              <w:rPr>
                <w:rStyle w:val="IndexLink"/>
                <w:rtl w:val="true"/>
              </w:rPr>
              <w:tab/>
            </w:r>
            <w:r>
              <w:rPr>
                <w:rStyle w:val="IndexLink"/>
              </w:rPr>
              <w:t>380</w:t>
            </w:r>
          </w:hyperlink>
        </w:p>
        <w:p>
          <w:pPr>
            <w:pStyle w:val="Contents4"/>
            <w:tabs>
              <w:tab w:val="clear" w:pos="8176"/>
              <w:tab w:val="right" w:pos="9026" w:leader="dot"/>
            </w:tabs>
            <w:rPr/>
          </w:pPr>
          <w:hyperlink w:anchor="__RefHeading___Toc2684385_2870459653">
            <w:r>
              <w:rPr>
                <w:webHidden/>
                <w:rStyle w:val="IndexLink"/>
                <w:rtl w:val="true"/>
              </w:rPr>
              <w:t>الأمر الخامس</w:t>
            </w:r>
            <w:r>
              <w:rPr>
                <w:rStyle w:val="IndexLink"/>
                <w:rtl w:val="true"/>
              </w:rPr>
              <w:tab/>
            </w:r>
            <w:r>
              <w:rPr>
                <w:rStyle w:val="IndexLink"/>
              </w:rPr>
              <w:t>381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87_85021"/>
      <w:bookmarkStart w:id="1" w:name="pg9087_85021"/>
      <w:bookmarkEnd w:id="1"/>
    </w:p>
    <w:p>
      <w:pPr>
        <w:pStyle w:val="Heading2"/>
        <w:numPr>
          <w:ilvl w:val="1"/>
          <w:numId w:val="1"/>
        </w:numPr>
        <w:rPr/>
      </w:pPr>
      <w:bookmarkStart w:id="2" w:name="pg9087_85021"/>
      <w:bookmarkStart w:id="3" w:name="__RefHeading___Toc2684101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دراسات علمیة</w:t>
      </w:r>
    </w:p>
    <w:p>
      <w:pPr>
        <w:pStyle w:val="BookText"/>
        <w:rPr/>
      </w:pPr>
      <w:r>
        <w:rPr>
          <w:rFonts w:ascii="Amiri" w:hAnsi="Amiri" w:eastAsia="Amiri" w:cs="Amiri"/>
          <w:color w:val="111111"/>
          <w:sz w:val="28"/>
          <w:sz w:val="28"/>
          <w:szCs w:val="28"/>
          <w:rtl w:val="true"/>
          <w:lang w:bidi="ar-SA"/>
        </w:rPr>
        <w:t>مجلة نصف سنوية تعنى بالأبحاث التخصصية في الحوزة العلمية</w:t>
      </w:r>
    </w:p>
    <w:p>
      <w:pPr>
        <w:pStyle w:val="BookText"/>
        <w:rPr/>
      </w:pPr>
      <w:r>
        <w:rPr>
          <w:rFonts w:ascii="Amiri" w:hAnsi="Amiri" w:eastAsia="Amiri" w:cs="Amiri"/>
          <w:color w:val="111111"/>
          <w:sz w:val="28"/>
          <w:sz w:val="28"/>
          <w:szCs w:val="28"/>
          <w:rtl w:val="true"/>
          <w:lang w:bidi="ar-SA"/>
        </w:rPr>
        <w:t xml:space="preserve">تصدر عن المدرسة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الآخوند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 الأشرف</w:t>
      </w:r>
    </w:p>
    <w:p>
      <w:pPr>
        <w:pStyle w:val="BookText"/>
        <w:rPr/>
      </w:pPr>
      <w:r>
        <w:rPr>
          <w:rFonts w:ascii="IRNazanin" w:hAnsi="IRNazanin" w:eastAsia="IRNazanin"/>
          <w:color w:val="111111"/>
          <w:sz w:val="28"/>
          <w:sz w:val="28"/>
          <w:szCs w:val="28"/>
          <w:rtl w:val="true"/>
          <w:lang w:bidi="fa-IR"/>
        </w:rPr>
        <w:t>العدد الخامس</w:t>
      </w:r>
    </w:p>
    <w:p>
      <w:pPr>
        <w:pStyle w:val="BookText"/>
        <w:rPr/>
      </w:pP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84103_287045965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الايداع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الْمُؤْمِنُونَ لِيَنْفِرُوا كَافَّةً فَلَوْلَا نَفَرَ مِنْ كُلِّ فِرْقَةٍ مِنْهُمْ طَائِفَةٌ لِيَتَفَقَّهُوا فِي الدِّينِ وَلِيُنْذِرُوا قَوْمَهُمْ إِذَا رَجَعُوا إِلَيْهِمْ لَعَلَّهُمْ يَحْذَرُونَ 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7" w:name="pg9087_85024"/>
    </w:p>
    <w:p>
      <w:pPr>
        <w:pStyle w:val="Heading2"/>
        <w:numPr>
          <w:ilvl w:val="1"/>
          <w:numId w:val="1"/>
        </w:numPr>
        <w:rPr/>
      </w:pPr>
      <w:bookmarkStart w:id="8" w:name="__RefHeading___Toc2684105_2870459653"/>
      <w:bookmarkStart w:id="9" w:name="_Toc3"/>
      <w:bookmarkEnd w:id="7"/>
      <w:bookmarkEnd w:id="8"/>
      <w:r>
        <w:rPr>
          <w:rtl w:val="true"/>
        </w:rPr>
        <w:t>الأسس المعتمدة للنشر</w:t>
      </w:r>
      <w:bookmarkEnd w:id="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من القطع الوزيري بخطٍ متوسط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زاد عن ذلك يمكن تقسيمه الى أكثر من حلقة شريطة أن تتسلَّمَ المجلةُ البحثَ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يخضع البحث لمراجعة هيئة 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للمجلة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يُنشر في المجلة لا يعدو كونه مطارحات علمية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يُعبر بالضرورة عن رأي المجلة</w:t>
      </w:r>
      <w:r>
        <w:rPr>
          <w:rFonts w:eastAsia="Amiri" w:cs="Amiri" w:ascii="Amiri" w:hAnsi="Amiri"/>
          <w:color w:val="111111"/>
          <w:sz w:val="28"/>
          <w:szCs w:val="28"/>
          <w:rtl w:val="true"/>
          <w:lang w:bidi="ar-SA"/>
        </w:rPr>
        <w:t xml:space="preserve">. </w:t>
      </w:r>
      <w:bookmarkStart w:id="10" w:name="pg9087_85025"/>
    </w:p>
    <w:p>
      <w:pPr>
        <w:pStyle w:val="Heading2"/>
        <w:numPr>
          <w:ilvl w:val="1"/>
          <w:numId w:val="1"/>
        </w:numPr>
        <w:rPr/>
      </w:pPr>
      <w:bookmarkStart w:id="11" w:name="__RefHeading___Toc2684107_2870459653"/>
      <w:bookmarkStart w:id="12" w:name="_Toc4"/>
      <w:bookmarkEnd w:id="10"/>
      <w:bookmarkEnd w:id="11"/>
      <w:r>
        <w:rPr>
          <w:rtl w:val="true"/>
        </w:rPr>
        <w:t>محتويات العدد</w:t>
      </w:r>
      <w:bookmarkEnd w:id="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العدد</w:t>
      </w:r>
    </w:p>
    <w:p>
      <w:pPr>
        <w:pStyle w:val="BookText"/>
        <w:rPr/>
      </w:pPr>
      <w:r>
        <w:rPr>
          <w:rFonts w:ascii="Amiri" w:hAnsi="Amiri" w:eastAsia="Amiri" w:cs="Amiri"/>
          <w:color w:val="111111"/>
          <w:sz w:val="28"/>
          <w:sz w:val="28"/>
          <w:szCs w:val="28"/>
          <w:rtl w:val="true"/>
          <w:lang w:bidi="ar-SA"/>
        </w:rPr>
        <w:t xml:space="preserve">إدارة المجلة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نكاح الكتابية على المسلمة</w:t>
      </w:r>
    </w:p>
    <w:p>
      <w:pPr>
        <w:pStyle w:val="BookText"/>
        <w:rPr/>
      </w:pPr>
      <w:r>
        <w:rPr>
          <w:rFonts w:ascii="Amiri" w:hAnsi="Amiri" w:eastAsia="Amiri" w:cs="Amiri"/>
          <w:color w:val="111111"/>
          <w:sz w:val="28"/>
          <w:sz w:val="28"/>
          <w:szCs w:val="28"/>
          <w:rtl w:val="true"/>
          <w:lang w:bidi="ar-SA"/>
        </w:rPr>
        <w:t xml:space="preserve">الشيخ علي المحمداوي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قتل العمد بين الفقه الإسلامي وقانون العقوبات العراقي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الشيخ يحيى السعداوي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الإطلاقية</w:t>
      </w:r>
    </w:p>
    <w:p>
      <w:pPr>
        <w:pStyle w:val="BookText"/>
        <w:rPr/>
      </w:pPr>
      <w:r>
        <w:rPr>
          <w:rFonts w:ascii="Amiri" w:hAnsi="Amiri" w:eastAsia="Amiri" w:cs="Amiri"/>
          <w:color w:val="111111"/>
          <w:sz w:val="28"/>
          <w:sz w:val="28"/>
          <w:szCs w:val="28"/>
          <w:rtl w:val="true"/>
          <w:lang w:bidi="ar-SA"/>
        </w:rPr>
        <w:t xml:space="preserve">الشيخ نجم الترابي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دراسة حول الواسطة المبهمة</w:t>
      </w:r>
    </w:p>
    <w:p>
      <w:pPr>
        <w:pStyle w:val="BookText"/>
        <w:rPr/>
      </w:pPr>
      <w:r>
        <w:rPr>
          <w:rFonts w:ascii="Amiri" w:hAnsi="Amiri" w:eastAsia="Amiri" w:cs="Amiri"/>
          <w:color w:val="111111"/>
          <w:sz w:val="28"/>
          <w:sz w:val="28"/>
          <w:szCs w:val="28"/>
          <w:rtl w:val="true"/>
          <w:lang w:bidi="ar-SA"/>
        </w:rPr>
        <w:t>بين الحسن بن محمد بن سماعة و أبان بن عثمان</w:t>
      </w:r>
    </w:p>
    <w:p>
      <w:pPr>
        <w:pStyle w:val="BookText"/>
        <w:rPr/>
      </w:pPr>
      <w:r>
        <w:rPr>
          <w:rFonts w:ascii="Amiri" w:hAnsi="Amiri" w:eastAsia="Amiri" w:cs="Amiri"/>
          <w:color w:val="111111"/>
          <w:sz w:val="28"/>
          <w:sz w:val="28"/>
          <w:szCs w:val="28"/>
          <w:rtl w:val="true"/>
          <w:lang w:bidi="ar-SA"/>
        </w:rPr>
        <w:t xml:space="preserve">الشيخ علي سالم الناصري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المستمسك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الشيخ علي الغزي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التعبدي والتوصلي للميرزا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غسان الخرسان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087_85027"/>
      <w:bookmarkStart w:id="14" w:name="pg9087_85027"/>
      <w:bookmarkEnd w:id="14"/>
    </w:p>
    <w:p>
      <w:pPr>
        <w:pStyle w:val="Heading2"/>
        <w:numPr>
          <w:ilvl w:val="1"/>
          <w:numId w:val="1"/>
        </w:numPr>
        <w:rPr/>
      </w:pPr>
      <w:bookmarkStart w:id="15" w:name="pg9087_85027"/>
      <w:bookmarkStart w:id="16" w:name="__RefHeading___Toc2684109_2870459653"/>
      <w:bookmarkStart w:id="17" w:name="_Toc5"/>
      <w:bookmarkEnd w:id="15"/>
      <w:bookmarkEnd w:id="16"/>
      <w:r>
        <w:rPr>
          <w:rtl w:val="true"/>
        </w:rPr>
        <w:t>كلمة العدد</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لا يَخفى الدور الذي تؤديه البحوث العلمية الدورية في المجلات المنشأة لهذا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ففيها يَتجلّى جانب من الحراك العلمي في الحواضر العلمية التي تصدر فيها تلك المجلات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تُمثّل طوراً من أطوار نشاط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وتعكس صورة مركَّزة لفحوى النتاج العلمي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وتفاعل عناصر تطويره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تلتقي في تلك البحوث المادة الموروثة بإيجابياتها وقوتها مع أسباب تطويرها باتجاه الجوانب المُستجدِّة في النمو الفكري الذي تتهيأ بموجبه صياغةُ الأدوات العلمية والمبادئ الأحكامية بصورة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وأبلغ أثراً في بناء هيكل الفقه وأدواته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يفرضه الواقع الخارجي من تحديات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وأسئلة مطروحة تحتاج إلى الأجوبة المناسبة عاملٌ إضافيٌ لدواعي الاستمرار في إصدار المجلات ومنها مجلتنا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نأمل أن نرى مجهودات أهل العلم من العلماء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 سعيهم المبارك مما استفادوه ويفيدون به حاضراً في ثنايا ما تنشره هذه المجلَّة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ومُبرِزاً للآثار المحمودة المشار إليها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نحن نكرر الدعوة للباحثين والأفاضل من أهل العلم للتشمير عن ساعد الجدّ في هذه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والمساهمة في هذه الإطلالة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والمبادرة إلى إظهار تفكراتهم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من أشواط سعيهم العلمي قائماً في بحث من بحوثها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ورائداً من رواد غاياتها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كنّا أشرنا في افتتاحيات الأعداد السابقة إلى حاجة المهتم بالعلوم الدينية التخصّصية المرتبطة بالأحكام الشرعية ومنظومة الفقه إلى بحوث محددة </w:t>
      </w:r>
    </w:p>
    <w:p>
      <w:pPr>
        <w:pStyle w:val="BookText"/>
        <w:rPr/>
      </w:pPr>
      <w:r>
        <w:rPr>
          <w:rFonts w:ascii="Amiri" w:hAnsi="Amiri" w:eastAsia="Amiri" w:cs="Amiri"/>
          <w:color w:val="111111"/>
          <w:sz w:val="28"/>
          <w:sz w:val="28"/>
          <w:szCs w:val="28"/>
          <w:rtl w:val="true"/>
          <w:lang w:bidi="ar-SA"/>
        </w:rPr>
        <w:t>الجوانب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تستوعب الموضوعات الداخلة في نظام الحياة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فيها تظهر ركائز الفقه الجعفري وأصالته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ومرونة قواعده وغنى مادته ومسائله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الحاجة لصنع قرّاء جدد لهذا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وإخراج طرف منه من الاقتصار على المتخصصين والمتمرسين على فن أدواته وغاياته إلى المثقف العام الذي يتوق إلى تفهم صناعة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وفقه مبادئه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في تيسير هذه الغاية عن طريق كتابة البحوث التي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التخصص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اللغةَ المتقنة المعبرة بالبيان الرائق والأسلوب المقتصد توطئة لهذه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وباعثاً للارتقاء بفَهم المسلم لدينه وشؤون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بالصورة العلمية والتدوين المناسب للسان العصر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نكرر بقدر ما نذكّر بقولنا إن صناعة الفقه بأدواته الخاصة من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واللغة وما احتف به من بعض أطراف العلوم الأخرى التي يحتاج إليها في مقدمات بعض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كعلوم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التأريخ والطب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تتطلب مئات البحوث التخصصية الوافية باستيعاب أغراضها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مدخلية جهاتها في سعي الفقيه نحو هدفه في استخراج حكم الله تعالى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جانبها التطبيقي أم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البحث والنظر يدركون جيداً أهمية هذا الجانب وحيوية هذا المطلب لإحكام أصول المسألة الفقهية من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ومتانة حبل الدين الحنيف وحقّانية مبادئ المذهب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ما جرى الفقيه والباحث في مضمار العلوم لتحصيل الأدوات المناسبة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واستوعب جهات موضوع مسألته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تظهر له أسباب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له القاعدة الأم التي ينطلق منها أو يفتق الحكم من خاصرتها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بدوره أيضاً يظهر علم الدين والشريعة بالصبغة والرداء المتطور المواكب لمسلمات العصر ومدركاته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كانت الحجة والدليل حليف ذلك العلم ونداءه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كونه ديوان الدينونة لله سبحانه وكتابه التفصيلي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لاحتجاجه بالحجج والأحكام على الخلق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عالمهم وجاهلهم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ملوكهم ورعيتهم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وتجدر الإشارة إلى أننا نسعى في هذه المجلَّة إلى الوصول لكل مجهود يستحق النشر مما يُستطرف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ويُتشوق إلى مكنونه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ويقترب مضمونه من أهداف المجلَّة وأولوياتها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فبقدر ما نعتذر عن التأخر في تلبية آمال بعض الباحثين فيما يعرضونه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نأمل نحن أيضاً من جميع المشتغلين بالدراسة في الحوزة العلمية المباركة والتدريس فيها الالتفات إلى ضرورة منهج الكتابة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يترددوا في إرفادنا بطرائف كتاباتهم وما تجود به قرائحهم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خدمة للدين والمذهب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ونشراً لفضيلة الكتابة والتأليف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وسيجد القارئ في هذا العدد ما عودناه عليه من التنوع في الموضوعات من فقه وأصول ورجال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قام به بعض الفضلاء لذخيرة من ذخائر المحقق</w:t>
      </w:r>
    </w:p>
    <w:p>
      <w:pPr>
        <w:pStyle w:val="BookText"/>
        <w:rPr/>
      </w:pPr>
      <w:r>
        <w:rPr>
          <w:rFonts w:ascii="Amiri" w:hAnsi="Amiri" w:eastAsia="Amiri" w:cs="Amiri"/>
          <w:color w:val="111111"/>
          <w:sz w:val="28"/>
          <w:sz w:val="28"/>
          <w:szCs w:val="28"/>
          <w:rtl w:val="true"/>
          <w:lang w:bidi="ar-SA"/>
        </w:rPr>
        <w:t xml:space="preserve">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سيَطّلع عليها القارئ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ونحب أن نتوجه بالشكر الوافر لجناب اللجنة العلمية لما تقدمه من دعم لجهود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وتوجيه له دور في ظهور الأبحاث بالصورة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ونشكر أيضاً المساهمين من الأفاضل في النشر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يساهم بمجهوده ووقته من أجل إنجاح هذا المشروع الغض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آملين التوفيق لجميع العاملين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إدارة مجلة دراسات علمية</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087_85031"/>
      <w:bookmarkStart w:id="19" w:name="pg9087_85031"/>
      <w:bookmarkEnd w:id="19"/>
    </w:p>
    <w:p>
      <w:pPr>
        <w:pStyle w:val="Heading2"/>
        <w:numPr>
          <w:ilvl w:val="1"/>
          <w:numId w:val="1"/>
        </w:numPr>
        <w:rPr/>
      </w:pPr>
      <w:bookmarkStart w:id="20" w:name="pg9087_85031"/>
      <w:bookmarkStart w:id="21" w:name="__RefHeading___Toc2684111_2870459653"/>
      <w:bookmarkStart w:id="22" w:name="_Toc6"/>
      <w:bookmarkEnd w:id="20"/>
      <w:bookmarkEnd w:id="21"/>
      <w:r>
        <w:rPr>
          <w:rtl w:val="true"/>
        </w:rPr>
        <w:t xml:space="preserve">نكاح الكتابية على المسلمة </w:t>
      </w:r>
      <w:r>
        <w:rPr>
          <w:rtl w:val="true"/>
        </w:rPr>
        <w:t xml:space="preserve">- </w:t>
      </w:r>
      <w:r>
        <w:rPr>
          <w:rtl w:val="true"/>
        </w:rPr>
        <w:t>الشيخ علي المحمداوي دام عزه</w:t>
      </w:r>
      <w:bookmarkEnd w:id="22"/>
    </w:p>
    <w:p>
      <w:pPr>
        <w:pStyle w:val="Heading3"/>
        <w:numPr>
          <w:ilvl w:val="2"/>
          <w:numId w:val="1"/>
        </w:numPr>
        <w:rPr/>
      </w:pPr>
      <w:bookmarkStart w:id="23" w:name="__RefHeading___Toc2684113_2870459653"/>
      <w:bookmarkStart w:id="24" w:name="_Toc7"/>
      <w:bookmarkEnd w:id="23"/>
      <w:r>
        <w:rPr>
          <w:rtl w:val="true"/>
        </w:rPr>
        <w:t>اشارة</w:t>
      </w:r>
      <w:bookmarkEnd w:id="24"/>
    </w:p>
    <w:p>
      <w:pPr>
        <w:pStyle w:val="BookText"/>
        <w:rPr/>
      </w:pPr>
      <w:r>
        <w:rPr>
          <w:rFonts w:ascii="Amiri" w:hAnsi="Amiri" w:eastAsia="Amiri" w:cs="Amiri"/>
          <w:color w:val="111111"/>
          <w:sz w:val="28"/>
          <w:sz w:val="28"/>
          <w:szCs w:val="28"/>
          <w:rtl w:val="true"/>
          <w:lang w:bidi="ar-SA"/>
        </w:rPr>
        <w:t>مسألةٌ لم تُعنون في كثير من كتب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يُسلَّط عليها ولا على فروعها البحث الاستدلالي التفصيلي في الكتب الاستدلالية لعلمائنا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حكمها قد يختلف عن حكم أصل نكاح الكتابية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البحث دراسة للمسألة ولبعض ما يرتبط بها وفق الأدلة</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هذه المسألة من فروع مسألة نكاح الكتابية التي وقع الخلاف الكبير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وصلت الأقوال فيها إلى ستة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المشهور منها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نكاح الكتابية مطلقاً</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الدائم والمنقطع بالمنع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المتأخرين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في مسألتنا إنما ينفتح له المجال إذا لم نقل في أصل المسألة بالمنع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نكاح الكتابية غير جائز دواماً وانقطاعاً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معنى للبحث عن جوازه على المسلمة؛ لأن هذه المسألة من صغريات نكاح الكتابية الذي منعناه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أن مقتضى الأدلة هو الجواز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وانقطاعاً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المسألة وفاقاً لابن أبي عقيل</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والصدوقين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من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الجواهر</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وغيره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السيد الخوئي</w:t>
      </w:r>
      <w:r>
        <w:rPr>
          <w:rStyle w:val="FootnoteAnchor"/>
          <w:rtl w:val="true"/>
        </w:rPr>
        <w:footnoteReference w:id="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سرهم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نريد الدخول في ذلك البحث لأنه خارج عن محل كلامنا، ولنأخذ الجواز أصلاً موضوعياً مسلّماً في مسألتنا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الأدلة الخاصة نحاول تأسيس الأصل الذي يمكن أن يُرجع إليه في حالة الشك في تعيين حكم المسألة بالأدلة الخاصة، والظاهر أن الأصل هو الجواز لمن كانت عنده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بعض الأدلة التي أستدل بها على الجواز في أصل المسألة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أُحِلَّ لَكُمُ الطَّيِّبَاتُ وَطَعَامُ الَّذِينَ أُوتُوا الْكِتَابَ حِلٌّ لَكُمْ وَطَعَامُكُمْ حِلٌّ لَهُمْ وَالْمُحْصَنَاتُ مِنَ الْمُؤْمِنَاتِ وَالْمُحْصَنَاتُ مِنَ الَّذِينَ أُوتُوا الْكِتَابَ مِنْ قَبْلِكُمْ إِذَا آتَيْتُمُوهُنَّ أُجُورَهُنَّ مُحْصِنِينَ غَيْرَ مُسَافِحِينَ وَلَا مُتَّخِذِي أَخْدَانٍ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وإن وقع الكلام في كونها منسوخة بآية تحريم نكاح المشركات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بآية تحريم الإمساك بعصم الكوافر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الصحيح أنها ليست منسوخة لعدة أدلة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عمر ابن الخطاب أصحاب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تقولون في المسح على الخفين؟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المغيرة بن شعبة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على الخفين،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المائدة أو بعدها؟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فقال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الكتاب </w:t>
      </w:r>
    </w:p>
    <w:p>
      <w:pPr>
        <w:pStyle w:val="BookText"/>
        <w:rPr/>
      </w:pPr>
      <w:r>
        <w:rPr>
          <w:rFonts w:ascii="Amiri" w:hAnsi="Amiri" w:eastAsia="Amiri" w:cs="Amiri"/>
          <w:color w:val="111111"/>
          <w:sz w:val="28"/>
          <w:sz w:val="28"/>
          <w:szCs w:val="28"/>
          <w:rtl w:val="true"/>
          <w:lang w:bidi="ar-SA"/>
        </w:rPr>
        <w:t>الخفين إنما أُنزلتْ المائدة قبل أن يقبض بشهرين أو ثلاثة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والرواية ظاهرة في أن تمام سورة المائدة نزل قبل وفاة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بشهرين أو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المعروف أن سورة البقرة التي فيها آية حرمة المشركات هي أول سورة من المفصل أُنزلتْ في 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سورة الممتحنة التي فيها آية تحريم الإمساك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أنها أُنزلتْ قبل فتح مكة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فلا مجال لكون الآيتين ناسختين لآية المائدة؛ لأن الناسخ ينبغي أن يتأخر عن المنسوخ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ويؤيدها رواية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عيسى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القرآن ينسخ بعضه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كان يؤخذ من 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بآخره فكان آخر ما نزل عليه سورة المائدة نسخت ما قبلها ولم ينسخها شيء</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الآيتين عن نسخ آية المائدة؛ لأن آية المائدة لسانها لسان الامتنان على المسلمين بتحليل نكاح المحصنات من أهل الكتاب، وكون المنَّة مؤقتة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أن يسلب المولى هذه المنّة من المسلمين مع عدم حصول ما يوجب سلبها بحسب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الدلالة في الآيتين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آية الممتحنة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وإن كانت ظاهرة في حرمة البقاء على نكاح الكوافر والاستمرار عليه، إلا أنه لا يمكن الاستدلال بها؛ لأن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ادُعي</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قائم على جواز البقاء على نكاح الكتابية إذا </w:t>
      </w:r>
    </w:p>
    <w:p>
      <w:pPr>
        <w:pStyle w:val="BookText"/>
        <w:rPr/>
      </w:pPr>
      <w:r>
        <w:rPr>
          <w:rFonts w:ascii="Amiri" w:hAnsi="Amiri" w:eastAsia="Amiri" w:cs="Amiri"/>
          <w:color w:val="111111"/>
          <w:sz w:val="28"/>
          <w:sz w:val="28"/>
          <w:szCs w:val="28"/>
          <w:rtl w:val="true"/>
          <w:lang w:bidi="ar-SA"/>
        </w:rPr>
        <w:t>أسلم زوجها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عليه بعض النصوص كصحيحتي عبد الله بن سنان</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ومحمد بن مسلم</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وعليه فيختص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بالإمساك بعصمة الكافرة غير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يبقى فيها دلالة على عدم جواز نكاح الكتابية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لا تصلح لنسخ آية 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المشرك بحسب الاعتقاد وإن كان ينطبق على أهل الكتاب إلا أن المتبادر منه في كلام الشارع غير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هذا الكلام عطف المشركين على أهل الكتاب أو بالعكس في كثير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احتمال اختصاص الآية بغير أهل الكتاب احتمالاً معتداً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يمنع من الاستدلال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التي دلّت على أن الآية في سورة البقرة أو الآية في سورة الممتحنة هي الناسخة يقع التعارض بين المعتبر منها سنداً وهو روايتان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الجهم</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التي دلّت على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زرارة</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التي دلّت على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وقوع التعارض أن الناسخ لابد أن يكون أحدهما؛ لأنه مع تحقق النسخ بالأول لا يمكن أن يتحقق النسخ بالثاني</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واتفاقهما في حصول النسخ لا ينفي التعارض؛ لأن موثقة ابن الجهم تدل على أن النسخ إذا كان موجوداً فهو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 حَتَّىٰ يُؤْمِنَّ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وكذلك صحيحة زرارة فهي تدل على أنه إن كان موجوداً فهو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ويتساقطان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يرتبط بنسخ الآية في محل الكلام، وقد تبيَّن أنها ليست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دلالتها على الأصل في نكاح الكتابية على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الآية تدل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نكاح الكتابية مطلقاً دواماً وانقطاعاً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الجواز ثابت حتى لمن كانت عنده زوجة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فيدل عليه إطلاق حلية نكاح المحصنات من الذين أُوتوا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تُقيّد هذه الحلية بكون النكاح دائماً أو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الإطلاق شموله لهما فيثبت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تدل على جواز النكاح المنقطع خاصة ولا دلالة فيها على جواز الدائم؛ وذلك لوجود قرينة متصلة تمنع من انعقاد الإطلاق في المقام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آتَيْتُمُوهُنَّ أُجُورَهُنَّ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في نفس الآية، والأجر ظاهر في العوض في النكاح المنقطع فإن العوض في الدائم يسمى مهراً أو صداقاً أو نحلة أو فرضاً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فتكون الآية مختصة بتجويز النكاح المنقطع لا مطلق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ظهور للفظ الأجر في العوض في النكاح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أُطلق الأجر على العوض في مطلق النكاح في أكثر من آية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جُنَاحَ عَلَيْكُمْ أَنْ تَنْكِحُوهُنَّ إِذَا آتَيْتُمُوهُنَّ أُجُورَهُنَّ</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تتحدث عن النساء المسلمات المهاجرات من بلد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تركن أزواجهن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الآية لا تجوّز خصوص نكاحهن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تجوّز نكاحهن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ذكرت أنه لابد من إيتائهن الأجر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 وَآتُوهُنَّ أُجُورَهُنَّ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والآية واردة في سياق الآية التي تجوز نكاح الإماء في حالة عدم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وخوف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جوزت نكاح الإماء ذكرت أنه لابد أن يكون بإذن أهلهن مع إيتاء الأجر، والظاهر بمقتضى الإطلاق أن الذي جوزته الآية هو مطلق النكاح لا المنقطع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فتبقى آية المائدة على إطلاقها في تجويز نكاح الكتابية دواماً وانقطاعاً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قوله تعالى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أن الآية تتحدث مع المسلمين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وتحلل لهم ما ذكر فيها ومن جملته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الكتابيات المحصنات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ومقتضى إطلاقها هو عدم الفرق بين من كانت عنده زوجة مسلمة أو من لم تكن عنده، ولو كان الذين يجوز لهم النكاح بعض المسلمين وهم من لم يتزوجوا بمسلمة لكان المناسب أن تقول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وأحلَّ لبعضكم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والحال أن الآية عطفت على نفس الجمل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فلابد من أن نقدر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الواو أو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المحصنات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التقديرين يكون المخاطب عموم المسلمين بما فيهم من كانت عنده زوجة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فيكون الأصل الذي تدل عليه الآية في محل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نكاح الكتابية على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الدليل الأول على الأصل في محل الكلام</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معاوية بن وهب وغيره من أصحابنا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المؤمن يتزوج اليهودية والنصرانية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المسلمة فما يصنع باليهودية والنصرانية؟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له فيها الهوى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فعل </w:t>
      </w:r>
    </w:p>
    <w:p>
      <w:pPr>
        <w:pStyle w:val="BookText"/>
        <w:rPr/>
      </w:pPr>
      <w:r>
        <w:rPr>
          <w:rFonts w:ascii="Amiri" w:hAnsi="Amiri" w:eastAsia="Amiri" w:cs="Amiri"/>
          <w:color w:val="111111"/>
          <w:sz w:val="28"/>
          <w:sz w:val="28"/>
          <w:szCs w:val="28"/>
          <w:rtl w:val="true"/>
          <w:lang w:bidi="ar-SA"/>
        </w:rPr>
        <w:t>فليمنعها من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وأكل لحم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عليه في دينه غضاضة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وتقريب الاستدلال بها أن الرواية تدل بإطلاقها على جواز مطلق النكاح لليهودية والنصرانية دائماً كان أو منقطعاً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تدل على أن من يجوز له نكاح الكتابية هو مطلق الرجل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عنده مسلمة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الرواية يفهم منها أن المانع الوحيد من نكاحهن هو عدم الاحتياج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سد الحاجة بإصابة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المانع يرتفع إذا كان لديه هوى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الجواز في المقام بتنقيح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 باعتبار أن السؤال ذكر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قيد والسائل كما يمكن أن يسأل عن زواج الرجل الذي ليس عنده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يسأل عن الرجل الذي عنده مسلمة، ولو كان الحكم لمن كانت عنده مسلمة يختلف عن حكم من لم تكن عنده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لكان اللازم بيان الحكمين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إلا حكماً واحداً وترك الاستفصال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فحكم من عنده مسلمة ومن ليس عنده مسلمة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فالرواية تدل بمقتضى ترك الاستفصال على جواز مطلق نكاح اليهودية والنصرانية حتى لمن كانت عنده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يتمتع من اليهودية والنصرانية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فالمجوسية؟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المجوسية فلا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تامة سنداً؛ لأن الشيخ يرويها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إليه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وإسماعيل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الرواية مضمرة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يمكن الاعتماد عليها؛ لأن اهتمام الأصحاب بنقلها </w:t>
      </w:r>
    </w:p>
    <w:p>
      <w:pPr>
        <w:pStyle w:val="BookText"/>
        <w:rPr/>
      </w:pPr>
      <w:r>
        <w:rPr>
          <w:rFonts w:ascii="IRNazanin" w:hAnsi="IRNazanin" w:eastAsia="IRNazanin"/>
          <w:color w:val="111111"/>
          <w:sz w:val="28"/>
          <w:sz w:val="28"/>
          <w:szCs w:val="28"/>
          <w:rtl w:val="true"/>
          <w:lang w:bidi="fa-IR"/>
        </w:rPr>
        <w:t xml:space="preserve">وتدوينهم لها في كتبهم شاهد واضح على أنها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وأحمد بن محمد بن عيسى وإسماعيل بن سعد الأحوص كلاهما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فيناسب أن يروي إسماعيل لأحمد بن محمد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ويعني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فالرواية تامة من حيث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تقريب الاستدلال بها فهو أن السائل يسأل عن رجل يُحتمل فيه أن تكون عنده مسلمة كما يحتمل أن لا تكون عنده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يقيد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أجابه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بنفي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وتصحيح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يفصل الإمام في جوابه بين من كانت عنده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من ليس كذلك، ولو كان الحكم فيه اختلاف لكان هذا نوعاً من التغرير بالسائل، وعليه فتكون الرواية دالة على جواز التمتع بالكتابية مطلقاً سواء أكانت عنده مسلمة 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وتجويزها للتمتع بالكتابية مطلقاً لا ينافي ما تقدَّم من شمول الحكم للدائم أيضاً؛ لأنهما من قبيل المثبتين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أصل المسألة بمقتضى الأدلة العامة بقطع النظر عن الأدلة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اتضح أن الأصل هو جواز نكاح الكتابية لمن كانت عنده مسلمة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دواماً وانقطاعاً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المسألة بلحاظ الأدلة الخاصة فهي متمثلة بمجموعة من الروايات وهي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المانعة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الروايات التي تدل على عدم جواز نكاح الكتابية على المسلمة دواماً وانقطاعاً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أذنت المسلمة أم لا، وهي عدّة روايات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 اليهودية</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ولا النصرانية على المسلمة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صحة سند الرواية؛ لأن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عن محمد بن يحيى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تردد بين ابن عيسى أو ابن خالد إلا أن كلاً منهما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زرين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الاستدلال بالرواية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يقرأ بالبناء للمجهول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ويكون المراد حينئذ هو الإرشاد إلى بطلان هذا الزواج بلا فرق بين إذن المسلمة وبين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يقرأ بالبناء للمعلوم ولا يختلف الحال؛ لأن الجملة عندئذ أيضاً الغرض منها الإشارة إلى عدم صحة نكاح اليهودية والنصرانية على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والنتيجة أنه على كلا التقديرين الصحيحة بصدد الإرشاد إلى بطلان هذا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تقيّد ذلك بعدم رضا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فيمكن التمسك بإطلاقها لإثبات بطلان نكاح الكتابية دواماً وانقطاعاً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يفرق فيه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المسلمة أم لم تأذن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اليهودية والنصرانية أيتزوجها الرجل على المسلمة؟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ويتزوج المسلمة على اليهودية والنصرانية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وسند الرواية تام إلا من جهة الوقف في عثمان بن عيسى وسماعة الواقعين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من الثقات فلا يقدح كونهما من الواقفة في الاعتماد على الرواية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والاستدلال بها باعتبار أنها تمنع من الزواج باليهودية والنصرانية على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المنع كما تقدم إرشاد إلى عدم صحة هذا النكاح بلا فرق بين إذن المسلمة وعدمه؛ لأن الرواية لم تقيد المنع بحالة عدم رضا المسلمة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تتزوجوا اليهودية ولا النصرانية على حرّة متعة وغير متعة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يرويها الشيخ الصدوق قدس سره عن سعدان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عبد الرحمن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إليه هو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معروف وأحمد بن إسحاق بن سعد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الكلام في نفس سعدان حيث لم ينص على وثاقته أو ضعفه فهو مجهول وإن وقع في إسناد كامل الزيارات</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روى عنه علي بن إبراهيم بن هاشم في تفسيره في تفسير سورة الفاتحة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الظاهر أنه يمكن إثبات وثاقته برواية ابن أبي عمير عنه بسند صحيح</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بناءً على كبرى أن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يروون ولا يرسلون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الاعتماد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في الرواية أنها عن أبي بصير وهو مشترك بين جماعة فيهم الثقة وغيره إلا أن المعروف منهم اثنان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القاسم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وليث بن البختري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فتحمل على أحدهما ولا يقدح هذا الترديد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تامة سنداً ويمكن الاعتماد عليها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الدلالة فكيفية الاستدلال بها على الحكم هي نفس الكيفية السابقة في الروايات المتقدمة بأن يدعى إطلاق البطلان فيها لحالة إذن الحرّة </w:t>
      </w:r>
    </w:p>
    <w:p>
      <w:pPr>
        <w:pStyle w:val="BookText"/>
        <w:rPr/>
      </w:pPr>
      <w:r>
        <w:rPr>
          <w:rFonts w:ascii="Amiri" w:hAnsi="Amiri" w:eastAsia="Amiri" w:cs="Amiri"/>
          <w:color w:val="111111"/>
          <w:sz w:val="28"/>
          <w:sz w:val="28"/>
          <w:szCs w:val="28"/>
          <w:rtl w:val="true"/>
          <w:lang w:bidi="ar-SA"/>
        </w:rPr>
        <w:t>وعدم إذنها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وإن لم تذكر المسلمة إلا أنها هي المرادة من الحرة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هي إحدى أفرادها فيكون الحكم شاملاً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صريحة في شمول بطلان النكاح للدائم والمنقطع ولا تدل على ذلك بالظهور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تتزوجوا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متعة ولا غير متعة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ويؤيدها رواية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للرجل أن يتزوج النصرانية على المسلمة والأمة على الحرّة؟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يتزوج واحدة منهما على المسلمة </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في سندها عبد الله بن محمد المعروف ببنان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تثبت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تصلح للتأييد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ودلالتها كدلالة الرواية السابقة على المنع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أذنت المسلمة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ويؤيدها أيضا رواية الحسن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تُزّوج الحرّة على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تُزّوج الأمة على الحرّة، ولا النصرانية ولا اليهودية على المسلمة، فمن فعل ذلك فنكاحه باطل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يوجد في سندها من يتوقف فيه إلا الحسن بن زياد فهو مجهول؛ لأن الظاهر أنه الصيقل بقرينة رواية ابن مسكان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غير تامة من حيث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كيفية الاستدلال بها فإن الرواية يوجد فيها إطلاق من جانبين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نكاح الكتابية على المسلمة دواماً وانقطاعاً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المقدر بعد 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النصرانية واليهودية على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والتزوج أعم من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ويشمل حتى المنقطع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حكمت الرواية ببطلانه بصراحة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فنكاحه باطل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البطلان لحالتي إذن المسلمة وعدم إذنها في هذا النكاح؛ لأن الرواية حكمت بالبطلان من دون أن تقيده بعدم رضا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فيمكن التمسك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لإثبات بطلان نكاح الكتابية على المسلمة أذنت أم لم 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غير تامة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يمكن أن تكون مؤيدة لما دلّ على 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 من الروايات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الروايات المجوزة مطلقاً في باب التمتع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روايتان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الحسن بن علي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يتمتع الرجل باليهودية والنصرانية وعندهُ حرّة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ودلالتها واضحة على جواز التمتع باليهودية والنصرانية لمن كانت عندهُ زوجة 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بها المسلمة بحسب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أقل من كونها داخلة في إطلاق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لعلها أوضح المصاديق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الجواز مطلق من ناحية إذن الحرّة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سندها غير تام للإرسال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المرسل من بني فضال الذين ورد عن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حقهم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بما رووا وذروا ما رأوا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لأنه بعد الإغماض عمّا في سنده لا يدل على أكثر من توثيقهم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فمراسيلهم كمراسيل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يستدل بها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يتزوج اليهودية والنصرانية متعة وعنده امرأة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ودلالتها كدلالة الرواية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إبدال عنوان الحرّة بعنوان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دخول المسلمة في المرأة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في سندها محمد بن سنان ولم تثبت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تصلح للاستدلال بها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كانت عنده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إذنها أو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نكاح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عدمهما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رجل تزوج ذمية على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ويضرب ثمن حدّ الزاني اثني عشر سوطاً ونصفاً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رضيت المسلمة ضرب ثمن الحد ولم يفرّق بينهما،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يضرب النصف؟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يؤخذ السوط بالنّصف فيضرب به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وطريق الشيخ الصدوق إلى الحسن بن محبوب الراوي عن هشام في هذه الرواية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موسى بن المتوكل عن عبد الله بن جعفر الحميري وسعد ابن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 وليس هناك من يتوقف فيه إلا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أنه ثقة؛ لأن الشيخ الصدوق قد أكثر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ذكره في طريقه إلى ثمانية وأربعين كتاباً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كافٍ في حصول الاطمئنان بوثاقته، ويؤيد ذلك أنه قد وثّقه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وادعى ابن طاووس الاتفاق على وثاقته</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 ابن طاووس هذا كافٍ في إثبات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الطريق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الرواية صحيحة سنداً لوثاقة جميع رواتها</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كيفية الاستدلال بها فإن الرواية بظاهرها تفصل بين فرضين تحكم بالبطلان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وبالصحة في الثاني في موضوع مسألتنا وهو نكاح الكتابية </w:t>
      </w:r>
    </w:p>
    <w:p>
      <w:pPr>
        <w:pStyle w:val="BookText"/>
        <w:rPr/>
      </w:pPr>
      <w:r>
        <w:rPr>
          <w:rFonts w:ascii="Amiri" w:hAnsi="Amiri" w:eastAsia="Amiri" w:cs="Amiri"/>
          <w:color w:val="111111"/>
          <w:sz w:val="28"/>
          <w:sz w:val="28"/>
          <w:szCs w:val="28"/>
          <w:rtl w:val="true"/>
          <w:lang w:bidi="ar-SA"/>
        </w:rPr>
        <w:t>على المسلمة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 الذمية على المسلمة من دون رضاها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أو لاحقاً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بقرينة التفريع الآتي فإن مقتضى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الفرض السابق للفاء هو الفاقد لما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ما بعدها هو الرضا فما قبلها هو عدم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هذا الفرض حكم ببطلان النكاح لظاهر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ظاهر في عدم صحة هكذا نكاح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وجود الرضا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ذكر القرائن على كون الرضا لاحقاً للعقد في الصفحة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وظاهر الرواية هو الحكم بصحة النكاح حينئذ؛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في إمضاء نفس النكاح السابق لا تجديد نكاح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كان الرضا اللاحق يؤثر في تصحيح النكاح الذي من شأنه أن يقع باطلاً لولا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الرضا المقارن يصحح النكاح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فتكون الرواية مفصلة بين ما إذا لم ترض المسلمة مطلقاً فيحكم ببطلان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إذا رضيت المسلمة عند العقد أو بعده فيحكم بصحة النكاح</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ذمية على مسلمة ولم يستأمرها؟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أدب؟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اثنا عشر سوطاً ونصف ثمن حدّ الزاني وهو صاغر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رضيت المرأة الحرّة المسلمة بفعله بعدما كان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يضرب ولا يفرّق بينهما يبقيان على النكاح الأول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وتقريب الاستدلال بها كما ذكر في صحيحة هشام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كانت هذه الرواية أوضح في عدم إذنها له قبل التزويج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يستأمرها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لم يأخذ رأياها ولم يأخذ إذنها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حكمت الرواية ببطلان النكاح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إذا رضيت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 هنا هو المتأخر عن العقد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 بفعله بعدما كان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النكاح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تختلف هذه الرواية عن صحيحة هشام في أنها ترفع حتى التعزير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الصحيحة فإنها مع حكمها بصحة النكاح إلا أنها لم ترفع التعزير بل 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ثمن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هذه الرواية مرسلة؛ لأن الشيخ الكليني يرويها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منصور بن حازم، والارسال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بناءً على رواية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الكافي وأما على رواية الشيخ</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فإنه رواها بسنده عن علي ابن إبراهيم ولم يذكر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 عن صالح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ويوجد اختلاف في متن الرواية فإن الشيخ رواها بهذا الشكل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تزوّج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في رواية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رواية الشيخ الطوسي تكون الرواية أجنبية عن محل الكلام مضافاً إلى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على رواية الشيخ الكليني تكون من الروايات الخاصة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مرسلة وعلى هذا فهي تصلح للتأييد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اشتراط إذن الحرّة في صحة زواج الأمة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بضميمة ما دلّ على أن أهل الكتاب مماليك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وقد استدل العلماء على عدم جواز نكاح الأمة على الحرّة إلا بإذنها بصحيحة محمد بن إسماعيل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للرجل أن يتمتع من المملوكة بإذن أهلها وله امرأة حرّة؟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رضيت الحرّة،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أذنت الحرّة يتمتع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تمامية سند الرواية؛ لأن 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يرويها عن محمد بن يحيى العطار 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وهو وإن كان مردداً بين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الترديد لا يضر لأن كلاّ منهما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إسماعيل وهذا الاسم وإن كان مشتركاً بين جماعة من رواة الحديث إلا أن الظاهر بحسب طبقته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وبقرينة رواية أحمد بن محمد عنه أنه من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محمد بن إسماعيل بن بزيع الثقة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انصراف محمد بن إسماعيل إلى ابن بزيع إنما هو لكثرة الروايات عنه ومعروفيته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فالظاهر تمامية سند هذه الرواية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دلالتها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فتقريب الاستدلال بها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السؤال في الرواية هو الرجل الذي تزوج من حرّة ويريد أن يتزوج عليها أمة 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ذلك جائز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دلّت الرواية على جوازه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بشرط أن ترضى الحرّة بأن يتمتع بالأمة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والسائل أكد من جديد وسأل أنه مع إذنها هل يجوز أن يتمتع بالأمة فأجاب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فالرواية ظاهرة بشكل واضح في صحة التمتع بالأمة على الحرّة مع إذنها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وإن كان موردها هو التمتع إلا أنه يمكن التعدي إلى الدائم بناءً على 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فيجوز نكاح الأمة على الحرّة دواماً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إذنها، لأن هذا هو مقتضى تسرية الحكم بأن تسرى الخصوصيات التي </w:t>
      </w:r>
    </w:p>
    <w:p>
      <w:pPr>
        <w:pStyle w:val="BookText"/>
        <w:rPr/>
      </w:pPr>
      <w:r>
        <w:rPr>
          <w:rFonts w:ascii="Amiri" w:hAnsi="Amiri" w:eastAsia="Amiri" w:cs="Amiri"/>
          <w:color w:val="111111"/>
          <w:sz w:val="28"/>
          <w:sz w:val="28"/>
          <w:szCs w:val="28"/>
          <w:rtl w:val="true"/>
          <w:lang w:bidi="ar-SA"/>
        </w:rPr>
        <w:t>يرتبط بتحققها تحقق الحكم المسرّى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الجواز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مع الإذن، مضافاً إلى أن اشتراط الإذن في التمتع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أهون على الحرّة من النكاح الدائم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اشتراطه في الدائم من باب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الرواية الأهم والمعتمد عليها في الاستدلال على اشتراط إذن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صاحب الجواهر الإجماع على هذا الحكم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وأما ما دلّ على أن أهل الكتاب مماليك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فثلاث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أبي بصير المرادي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له امرأة نصرانية، له أن يتزوج عليها يهودية؟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الكتاب مماليك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موسع منّا عليكم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أن يتزوّج،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تزوّج عليها أمة،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يصلح له أن يتزوج ثلاث إماء</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وهي ظاهرة في أن أهل الكتاب مماليك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حقيقة أو على أقل تقدير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تنزيلهم منزلة مماليك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السؤال عن الزواج باليهودية وهي كتابية فتكون من مماليك الإمام بحسب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إذن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المالك المشترط في جواز التزوج بأمته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خص شيعته بالإذن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وذلك موسع منا عليكم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فالإمام بعد أن أعطى القاعدة الكلية وهي أن أهل الكتاب مماليك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 بإذنه في زواج الكتابية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يحصل الترابط بين كونهم مماليك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التوسيع على الشيعة بالزواج بنسائهم؛ لأنه إن لم يأذن لم يصح الزواج بهن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تحقق شرطه وهو إذن المالك</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ويؤكد هذا التنزيل منع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الزواج بالأمة على النصرانية واليهودية 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له أن يتزوج ثلاث 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في العقد الدائم كما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ظاهر جداً في أن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افترضهما أمتين ولهذا </w:t>
      </w:r>
    </w:p>
    <w:p>
      <w:pPr>
        <w:pStyle w:val="BookText"/>
        <w:rPr/>
      </w:pPr>
      <w:r>
        <w:rPr>
          <w:rFonts w:ascii="Amiri" w:hAnsi="Amiri" w:eastAsia="Amiri" w:cs="Amiri"/>
          <w:color w:val="111111"/>
          <w:sz w:val="28"/>
          <w:sz w:val="28"/>
          <w:szCs w:val="28"/>
          <w:rtl w:val="true"/>
          <w:lang w:bidi="ar-SA"/>
        </w:rPr>
        <w:t>لم يسوغ الزواج بالأمة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كالمسألة التطبيقية لتلك القاعدة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نصرانية كانت تحت نصراني فطلقها هل عليها عدَّة منه مثل عدّة المسلمة؟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لأن أهل الكتاب مماليك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ترى أنهم يؤدون الجزية، كما يؤدي العبد الضريبة إلى مواليه؟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أسلم منهم فهو حرّ تطرح عنه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عدّتها إن أراد المسلم أن يتزوجها؟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عدّتها عدّة الأمة حيضتان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خمسة وأربعون قبل أن تسلم</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تمامية سندها؛ لأن الشيخ الكليني يرويها عن علي بن ابراهيم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رئاب وابن بكير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في سندها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ابن بكير في سندها لا يجعلها موثقة؛ لأن ابن محبوب يرويها عن ابن رئاب وابن بكير جميعاً عن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الموجود في الكافي المطبوع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ابن رئاب 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تكون موثقة؛ لأن ابن بكير فطحي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ثقة فيمكن الاعتماد على روايته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من ناحية دلالة الرواية فهي أيضاً تصرّح بأن أهل الكتاب مماليك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إما إخبار عن كونهم كذلك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تعبداً وتنزيلاً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أن الرواية تذكر تطبيقاً يقرّب فيه مسألة كونهم مماليك للإمام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ترى أنهم يؤدون 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يؤدي العبد الضريبة إلى مواليه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سؤال السائل عن عدتها إذا أراد المسلم أن يتزوجها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وجواب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يتضح أيضاً حكم آخر تشترك فيه الكتابية مع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عدتها عدّة الأمة في الطلاق حيضتان أو خمسة وأربعون يوماً</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ولاد التي نقلها الشيخ الكليني عن محمد بن يحيى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أحمد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أبيه جميعاً عن ابن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فيما بين أهل الذمة معاقلة فيما يجنون من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يؤخذ ذلك من أموالهم، فإن لم يكن لهم مال رجعت الجناية على إمام المسلمين؛ لأنهم يؤدون إليه الجزية كما يؤدي العبد الضريبة إلى سيده،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مماليك للإمام فمن أسلم منهم فهو حر</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أيضا تدل بوضوح على أن أهل 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أهل الكتاب بشرائط خاصة لا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مماليك للإمام وهو إخبار بكونهم كذلك إما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الرق يرتفع عنهم إذا أسلموا ويصبحون أحراراً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وكشواهد لاتحاد الأمة والكتابية في الأحكام نذكر بعض التطبيقات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الزيادة على اثنين منهن في العقد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على ذلك الصحيحة الأولى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عدتهما في الطلاق واحدة وهي حيضتان وتدل عليه الصحيحة الثانية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باب القسمة إن المسلمة لها ثلثان وللأمة والنصرانية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وتدل عليه رواية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للرجل أن يتزوج النصرانية على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والأمة على الحّرة؟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تزوّج واحدة منهما على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المسلمة على الأمة والنصرانية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وللمسلمة الثلثان وللأمة والنصرانية الثلث</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الإرث من الزوج</w:t>
      </w:r>
    </w:p>
    <w:p>
      <w:pPr>
        <w:pStyle w:val="BookText"/>
        <w:rPr/>
      </w:pPr>
      <w:r>
        <w:rPr>
          <w:rFonts w:ascii="Amiri" w:hAnsi="Amiri" w:eastAsia="Amiri" w:cs="Amiri"/>
          <w:color w:val="111111"/>
          <w:sz w:val="28"/>
          <w:sz w:val="28"/>
          <w:szCs w:val="28"/>
          <w:rtl w:val="true"/>
          <w:lang w:bidi="ar-SA"/>
        </w:rPr>
        <w:t xml:space="preserve">ويدل على عدم إرث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المتزوجة من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زوجها صحيحة محمد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حكيم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زوّج أمته من رجل آخر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زوجك فأنت حرّة، فمات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الزوج فهي حرّة تعتد منه عدّة الحرّة المتوفى عنها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ميراث لها منه؛ لأنها صارت حرّة بعد موت الزوج</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ويدل على عدم إرث الكتابية من زوجها صحيحة أبي ولاّد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 يرث امرأته الذمية وهي لا ترثه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موارد يظهر منها اتحاد الأمة مع الكتابية في الحكم في مسائل النكاح وتوابعه من القسمة والإرث والعدّة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تؤيد التنزيل المذكور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تم هذا التنزيل تكون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وصحيحة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أدلة اشتراط إذن الحرة في صحة نكاح الأمة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في الأمة فرداً جديداً وهو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يجوز نكاح الكتابية لمن كانت عنده زوجة حرّة مسلمة إلا بإذنها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يقال في تقريب الاستدلال بهذا الدليل، إلا أن الظاهر عدم صحة التنزيل المذكور على نحو الموجبة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ثبت بالأدلة أن الشارع تعامل في بعض الموارد مع أهل الكتاب تعاملاً يختلف عن تعامله مع المماليك ومن هذه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باب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العبد إذا زنى فإن عليه نصف حدّ الحرّ، بينما الذمي إذا فَجَر بمسلمة فحكمه القتل</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المسلم إذا قتل عبداً مسلماً يقاد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يقاد إذا قتل ذمياً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وتدل على ذلك إطلاقات المنع من قتل المسلم بالذمي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الكافر الواردة في روايات متعددة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يجوز له أن يتزوج بالمسلمة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الذمي فلا يجوز له ذلك</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فلا يصح تنزيل أهل الكتاب منزلة المماليك بلحاظ جميع الآثار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إن هذه الموارد لا تعد نقضاً على القاعدة الكلية المطروحة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أهل الكتاب نزّلوا منزلة المماليك الكفار لا المماليك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الموارد كلها في المماليك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إذا كان كذلك فينبغي أن نسرّي إليهم أحكام المماليك الكفرة الواضحة والمسلّمة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منها جواز نكاح الأمة الكافرة على الحرة؛ لأنها إن كانت غير كتابية فلا يجوز الزواج بها مطلقاً حتى لمن ليس عنده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كانت كتابية فإن نكاحها وان كان جائزاً بحسب ما رجحناه في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جواز نكاحها على الحرّة ليس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في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بصدد إثبات كون الكفر مانعاً من صحة نكاحها على المسلمة أو عدم 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المقصود تنزيل أهل الكتاب منزلة مطلق المماليك فهذا غير تام للنقض الذي أوردناه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نزلوا منزلة الكفار من المماليك فلا يمكن الاستدلال بهذه الرواية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تمت دلالتها على ذلك؛ لأن هذا الحكم في المنزل عليه غير واضح</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فهمنا من الروايات السابقة وما ذكر من موارد كمؤيدات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بصدد تنزيل الكتابية منزلة الأمة في ما يرتبط بالنكاح وتوابعه من القسمة، والعدد، والإرث، والعدّة أمكن أيضاً الاستدلال بهذه الروايات بنفس البيان السابق وتثبت بذلك حكومتهما على دليل اشتراط إذن الحرة في صحة نكاح الأمة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ولكنّه أيضاً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في باب نكاح الأمة من أنه جائز مع شرطين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الطول وعدم القدرة على نكاح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العنت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وقع الكلام في اشتراط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الآية والروايات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يشترط هذان الشرطان في صحة نكاح الكتابية كما هو واضح، ولو كان التنزيل بخصوص ما يرتبط بالنكاح لكان اللازم اشتراطهما في جواز نكاح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يظهر من بعض الروايات أنه يجوز نكاح الكتابية مع التمكن من نكاح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صحيحة معاوية بن وهب</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المتقدمة في الاستدلال على الأصل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الروايات ألسنتها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يستفاد التنزيل من جميعها لأن صحيحة أبي ولاّد الواردة في نفس إرث الزوجة الذميّة ليس فيها أي نظر لأدلة عدم إرث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تبين حكماً مشابهاً فقط</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رواية عبد الرحمن فهي تثبت أن حكمهما واحد في أن لهما الثلث من الليالي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وللمسلمة الثلثان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صحيحة زرارة بعد نفي التنزيل بنحو الموجبة الكلية لا يبقى فيها إلا أنها ذكرت أن عدتها عدة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يدل هذا على تنزيلها منزلة الأمة في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يدل على اتحادهما في هذا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صحيحة أبي بصير المرادي ظاهرة في تنزيل الكتابية منزلة الأمة بقطع النظر عمّا ورد في صدرها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أهل الكتاب مماليك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الإمام نزل الكتابية منزلة الأمة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له أن يتزوج ثلاث 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هذا التنزيل مردد بين أن يكون بلحاظ جميع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قلنا إنه لا يمكن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أن يختص هذا التنزيل بمورده فقط في عدم جواز الزيادة على الاثنتين من الكتابيات في العقد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يصلح هذا التنزيل للاستدلال به كما هو واضح</w:t>
      </w:r>
      <w:r>
        <w:rPr>
          <w:rFonts w:eastAsia="IRNazanin" w:cs="IRNazanin"/>
          <w:color w:val="111111"/>
          <w:sz w:val="28"/>
          <w:szCs w:val="28"/>
          <w:rtl w:val="true"/>
          <w:lang w:bidi="fa-IR"/>
        </w:rPr>
        <w:t xml:space="preserve">. </w:t>
      </w:r>
      <w:bookmarkStart w:id="25" w:name="pg9087_85055"/>
    </w:p>
    <w:p>
      <w:pPr>
        <w:pStyle w:val="Heading3"/>
        <w:numPr>
          <w:ilvl w:val="2"/>
          <w:numId w:val="1"/>
        </w:numPr>
        <w:rPr/>
      </w:pPr>
      <w:bookmarkStart w:id="26" w:name="__RefHeading___Toc2684115_2870459653"/>
      <w:bookmarkStart w:id="27" w:name="_Toc8"/>
      <w:bookmarkEnd w:id="25"/>
      <w:bookmarkEnd w:id="26"/>
      <w:r>
        <w:rPr>
          <w:rtl w:val="true"/>
        </w:rPr>
        <w:t>الجمع بين الأدلة</w:t>
      </w:r>
      <w:bookmarkEnd w:id="27"/>
    </w:p>
    <w:p>
      <w:pPr>
        <w:pStyle w:val="BookText"/>
        <w:rPr/>
      </w:pPr>
      <w:r>
        <w:rPr>
          <w:rFonts w:ascii="Amiri" w:hAnsi="Amiri" w:eastAsia="Amiri" w:cs="Amiri"/>
          <w:color w:val="111111"/>
          <w:sz w:val="28"/>
          <w:sz w:val="28"/>
          <w:szCs w:val="28"/>
          <w:rtl w:val="true"/>
          <w:lang w:bidi="ar-SA"/>
        </w:rPr>
        <w:t>بعد أن استعرضنا طوائف الروايات اتضح أنها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المانعة من نكاح الكتابية على المسلمة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دواماً وانقطاعاً مع الإذن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هو تام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المجوزة للتمتع بالكتابية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أذنت المسلمة أم لم 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ما هو تام سنداً وإن كان فيها ما هو تام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المفصّلة بالمنع من نكاح الكتابية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دواماً وانقطاعاً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إذن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وجواز نكاحها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دواماً وانقطاعاً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إذن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ما هو تام سنداً ودلالةً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يقع الكلام في كيفية الجمع بين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الثانية فللضعف السندي في رواياتها لا تصلح لمعارضة روايات الطائفتين الأولى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ملاحظة النسبة بين الطائفة الأولى المانعة مطلقاً وبين الطائفة الثالثة المفصّلة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مفاد الطائفة الأولى هو المنع مع الرضا وعدمه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الطائفة الثالثة الجواز مع الرضا مطلقاً تكون الثالثة أخص مطلقاً فتقدَّم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بحسب الفهم العرفي تكون الروايات المفصّلة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بنظر العرف على عدم إرادة الإطلاق في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فيختص المنع فيها بحالة عدم رضا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رضاها فيجوز نكاح الكتابية دواماً وانقطاعاً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النتيجة النهائية في المسألة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يمكن أن يذكر في كيفية الجمع بين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الظاهر من كلام لصاحب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حمل الروايات الدالة على المنع من نكاح الكتابية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هذه الكراهة تتفاوت شدة وضعفاً، ففي حال وجود الزوجة </w:t>
      </w:r>
    </w:p>
    <w:p>
      <w:pPr>
        <w:pStyle w:val="BookText"/>
        <w:rPr/>
      </w:pPr>
      <w:r>
        <w:rPr>
          <w:rFonts w:ascii="Amiri" w:hAnsi="Amiri" w:eastAsia="Amiri" w:cs="Amiri"/>
          <w:color w:val="111111"/>
          <w:sz w:val="28"/>
          <w:sz w:val="28"/>
          <w:szCs w:val="28"/>
          <w:rtl w:val="true"/>
          <w:lang w:bidi="ar-SA"/>
        </w:rPr>
        <w:t>المسلمة تكون الكراهة أشد، وفي حال عدم وجودها تكون الكراهة أضعف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في ضمن كلامه عمّا يؤدي إليه التحقيق في مسألة نكاح الكتابية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التحقيق الجواز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للحسن والصدوقين على كراهة متفاوتة في الشدّة والضعف بالنسبة إلى الدائم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اليمين، وبالنسبة إلى من يستطيع نكاح المسلمة وغيره، وبالنسبة لمن يكون عنده المسلمة وغيره وبالنسبة إلى البله منهن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أومأت إلى ذلك كله النصوص</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أنه لا يبعد الكراهة في نكاحها على المسلمة احتراماً لها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ودليل صاحب الجواهر على هذا التحقيق الذي ذكره 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 مِنْ قَبْلِكُمْ</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أضاف إليها في طيات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النصوص المستفيضة أو المتواترة الدالة على جواز نكاح الكتابية منطوقاً ومفهوماً</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الكلمات وإن كانت واردة في أصل جواز نكاح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من بعضها أن صاحب الجواهر حمل أخبار المنع من نكاح الكتابية على المسلمة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النهي عن نكاحها على المسلمة إنما هو لأجل احترام المسلمة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وعليه فيكون جمعاً بين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وجهه هو أن الآية ظاهرة في تجويز نكاح الكتابية ومقتضى إطلاقها عدم الفرق في التجويز بين من كانت عنده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لم تكن عنده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فتكون الآية ظاهرة في جواز نكاح الكتابية على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يكون هذا شاهداً على حمل المنع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الأدلة المانعة من نكاح الكتابية على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لأن مقتضى القاعدة إذا كان أحد الدليلين يدل على جواز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يدل على حرمته أن يحمل ما دلّ على الحرمة على خلاف ظاهره وهو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ظهور المجوّز في الجواز نصّاً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أقوى من ظهور المانع في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حمل الروايات المانعة من أصل نكاح الكتابية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دلّ على المنع من نكاح الكتابية على المسلمة على الكراهة بدرجة أشد من الكراهة في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هذا الوجه هو الذي استند عليه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اتضح مما سبق ظهور الروايات الخاصة في أنها تتحدث عن الحكم الوضعي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البطلان مع عدم الإذن من قبل المسلمة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تحمل هذه الروايات على الحكم التكليفي وهو الكراهة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واضح في ما دلّ على المنع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الحسن بن زياد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فنكاحه باطل</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صحيحة هشام بن سالم المانعة من الزواج مع عدم رضا المسلمة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بينهما وضرب ثمن الحد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المقصود بالمنع في هذه الروايات هو البطلان فلا يصار إلى الحمل على الكراهة الشديدة؛ لأن البطلان ليس له مراتب حتى نحمله على بعضها دون البعض الآخر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فيبقى جمعنا الذي ذكرناه أولاً هو الأولى والأجدر بحسب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مطلق نكاح الكتابية على المسلمة جائزاً مع رضا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جائز مع عدم رضاها</w:t>
      </w:r>
      <w:r>
        <w:rPr>
          <w:rFonts w:eastAsia="Amiri" w:cs="Amiri" w:ascii="Amiri" w:hAnsi="Amiri"/>
          <w:color w:val="111111"/>
          <w:sz w:val="28"/>
          <w:szCs w:val="28"/>
          <w:rtl w:val="true"/>
          <w:lang w:bidi="ar-SA"/>
        </w:rPr>
        <w:t xml:space="preserve">. </w:t>
      </w:r>
      <w:bookmarkStart w:id="28" w:name="pg9087_85058"/>
    </w:p>
    <w:p>
      <w:pPr>
        <w:pStyle w:val="Heading3"/>
        <w:numPr>
          <w:ilvl w:val="2"/>
          <w:numId w:val="1"/>
        </w:numPr>
        <w:rPr/>
      </w:pPr>
      <w:bookmarkStart w:id="29" w:name="__RefHeading___Toc2684117_2870459653"/>
      <w:bookmarkStart w:id="30" w:name="_Toc9"/>
      <w:bookmarkEnd w:id="28"/>
      <w:bookmarkEnd w:id="29"/>
      <w:r>
        <w:rPr>
          <w:rtl w:val="true"/>
        </w:rPr>
        <w:t>تتمة نذكر فيها أُموراً ترتبط بأصل البحث</w:t>
      </w:r>
      <w:bookmarkEnd w:id="30"/>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الرضا للمقارن للعقد واللاحق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يقع الكلام أولاً في ما تقتضيه القاعدة عند الشك في الاختصاص بالرضا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الاعتناء بالرضا اللاحق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وثانياً في ما تدل عليه الأدلة من الاختصاص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فالظاهر أن الأدلة اشترطت الرضا من قبل المسلمة بنكاح الكتابية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المتيقن منه هو الرضا المقارن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شككنا في أن الرضا هل يشمل المتأخر عن العقد أم لا فالأصل عدم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تصحيح العقد بالرضا المتأخر من المسلمة موافق لمقتضى القاعدة في العقد الفضولي؛ وذلك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هنا من باب صحة العقد الفضولي حيث إن نكاح الكتابية من دون إذن المسلمة كان فاقداً لشرطه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الرضا ولو متأخراً فإن العقد سيؤثر أثره ويكون نافذاً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كانت الإجازة المتأخرة عن العقد مصححة للعقد الفضولي السابق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الالتزام بصحة النكاح مع الرضا المتأخر موافقاً للقاعدة في العقد الفضولي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محل الكلام يختلف عن موارد العقد الفضولي، حيث إن الإجازة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موارد العقد الفضولي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حصلت فإنها توجب استناد العقد إلى نفس المجيز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العقد قد صدر من أهله، وأمّا في محل الكلام فإن إجازة المسلمة لو تحققت فهي لا توجب استناد العقد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تصحح عقداً صدر من غيرها فلا يكون التصحيح هنا على مقتضى القاعدة في الفضولي أيضاً، وعليه فلابد من وجود ما يدل على الاكتفاء بالرضا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يمكن الالتزام بكونه مصححاً للعقد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فالصحيح بلحاظ الأدلة أن رضا المسلمة مصحح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مقارناً له أم لاحقاً، وذلك لنفس أدلة اشتراط الرضا من قبل المسلمة في صحة نكاح الكتابية عليها، ويظهر ذلك من صحيحة هشام بن سالم</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المتقدمة حيث أن الظاهر من الرضا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تُذكر على ذلك قرائن موجودة في نفس الرواية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رضيت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مقتضى التفريع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الحالة السابقة عليها هي حالة عدم الرضا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يُحتمل أن تكون حالة عدم الرضا سابقة للعقد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والرضا المذكور في الرواية هو المقارن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تصلح هذه القرينة بمفردها لإثبات تأخر الرضا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ثمن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يتصور أن تكون قد رضيت بالعقد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يستحق الضرب، فيكون التعزير موجباً لظهور الرواية في أن الرضا الوارد فيها هو ما بعد العقد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في إمضاء نفس النكاح السابق لا تجديد نكاح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 عدم كونها قرينة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يفهم منه إلا الحكم بالصحة في حالة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القرينة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هذه الصحيحة رواية منصور بن حازم</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وهي أصرح في تأخر الرضا عن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قول السائل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ذميّة على مسلمة ولم يستأمرها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تحقق الرضا المقارن للعقد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رضيت المرأة الحرّة بفعله بعدما كان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تحقق الرضا بعد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فتكون صحيحة هشام مع رواية منصور المؤيدة لها دالة على كفاية الرضا المتأخر في تصحيح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نخرج عن مقتضى القاعدة الذي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اشتراط رضا المسلمة من قبيل الحكم لا الحق</w:t>
      </w:r>
    </w:p>
    <w:p>
      <w:pPr>
        <w:pStyle w:val="BookText"/>
        <w:rPr/>
      </w:pPr>
      <w:r>
        <w:rPr>
          <w:rFonts w:ascii="Amiri" w:hAnsi="Amiri" w:eastAsia="Amiri" w:cs="Amiri"/>
          <w:color w:val="111111"/>
          <w:sz w:val="28"/>
          <w:sz w:val="28"/>
          <w:szCs w:val="28"/>
          <w:rtl w:val="true"/>
          <w:lang w:bidi="ar-SA"/>
        </w:rPr>
        <w:t>ورد في كثير من الكلمات التعبير عن بعض التشريعات بالأحكام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بعضها الآخر بالحقوق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أن هناك تقابلاً بين الحكم والحق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فمعنى أحدهما يباين معنى الآخر ولا ينطبقان على شيء واحد، إلا أن الصحيح أن الحق أيضاً حكم شرعي جعل من قبل الشارع كأي حكم آخر في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يكون الحق مقابلاً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أحد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باعتبار أن الحكم الشرعي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أمره بيد الشارع المقدس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يكون لأحد رفعه ولا إسقاطه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أمره بيد المكلف من حيث الإبقاء والإسقاط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أجل تعيين أحدهما وتمييزه عن الآخر عبّر في كلماتهم عن الأوّل بالحكم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الثاني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محل كلامنا من قبيل الأول أو الثاني، والثمرة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بناءً على كونه من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الاصطلاح فإنه لا يقبل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اشترط على المسلمة في عقد لازم أن تسقط اعتبار رضاها في تصحيح العقد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كونه من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الاصطلاح فإنه سيقبل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أسقطت المسلمة اعتبار رضاها في تصحيح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العقد على الكتابية سيكون صحيحاً حتى مع عدم رضاها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ولأجل معرفة أن اعتبار رضا المسلمة هل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لابد من مراجعة الأدلة التي دلّت على اعتبار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نرى أنها تدل على أي منهما، وبعبارة أخرى هل يستفاد من الأدلة أن لها إسقاط اعتبار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ما تدل عليه الأدلة، ما هو مقتضى القاعدة في حالات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وتعذّر تعيين ذلك من الأدلة؟</w:t>
      </w:r>
    </w:p>
    <w:p>
      <w:pPr>
        <w:pStyle w:val="BookText"/>
        <w:rPr/>
      </w:pPr>
      <w:r>
        <w:rPr>
          <w:rFonts w:ascii="Amiri" w:hAnsi="Amiri" w:eastAsia="Amiri" w:cs="Amiri"/>
          <w:color w:val="111111"/>
          <w:sz w:val="28"/>
          <w:sz w:val="28"/>
          <w:szCs w:val="28"/>
          <w:rtl w:val="true"/>
          <w:lang w:bidi="ar-SA"/>
        </w:rPr>
        <w:t>يبدو أن الأصل في الأحكام هو أن يكون رفعها وإسقاطها بيد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أغلب الأحكام الشرعية، وخروج بعض الأحكام عن 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وثبوت كون رفعها وإسقاطها بيد المكلف إنما هو لقرائن خاصة موجودة في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يأتي دليل يدل على حكم من الأحكام فإن الأصل فيه كونه من قبيل الحكم لا من قبيل الحق؛ لأن كونه حقاً يحتاج إلى مؤنة وقرينة ودليل، وحينئذٍ إذا لم نعثر في الأدلة على قرينة تدل على كونه من قبيل الحق فلا يكون الدليل مجملاً، بل يحمل على كونه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فرضنا في محل كلامنا عدم القرينة على كونه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 اعتبار رضا المسلمة يكون بحسب مقتضى القاعدة والأصل من قبيل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يكون في الروايات قرينة على كونه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فنرفع اليد عن مقتضى القاعدة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نلاحظ الأدلة الخاصة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الروايات الخاصة في محل الكلام تدل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العقد على الكتابية مع رضا المسلمة، وتدل على ذلك الروايات المفصلة في الطائفة الثالثة المتقدمة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بطلان العقد على الكتابية مع عدم رضا المسلمة ولو لاحقاً، وهذا ما تدل عليه الروايات المانعة من نكاح الكتابية على المسلمة التي خرج منها </w:t>
      </w:r>
    </w:p>
    <w:p>
      <w:pPr>
        <w:pStyle w:val="BookText"/>
        <w:rPr/>
      </w:pPr>
      <w:r>
        <w:rPr>
          <w:rFonts w:ascii="Amiri" w:hAnsi="Amiri" w:eastAsia="Amiri" w:cs="Amiri"/>
          <w:color w:val="111111"/>
          <w:sz w:val="28"/>
          <w:sz w:val="28"/>
          <w:szCs w:val="28"/>
          <w:rtl w:val="true"/>
          <w:lang w:bidi="ar-SA"/>
        </w:rPr>
        <w:t>حالات رضا المسلمة بالنكاح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الباقي على المنع والبطلان وهي روايات الطائفة الأولى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الحكم لا يقبل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يقبل الإسقاط فلابد من تحقيق معنى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ليس بمعنى أن تشترط على نفسها أن ترضى بالعقد إذا أراد أن يوقعه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تمانع من إنفاذه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ليس إسقاطاً لاعتبار رضاها في تصحيح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إبقاءً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أن هذا الاشتراط –إذا كان في عقد 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بالرضا في وقته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شرط صحة النكاح؛ لأن النكاح من دون رضاها يكون باطلاً، فإذا كان الإسقاط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خارج عن محل كلامنا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معنى الإسقاط أن تسقط اعتبار رضاها في صحة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لرضاها أو عدمه أثر في تصحيح العقد أو إبطاله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الرضا في المقام ليس من باب اعتبار رضا المالك لعين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لفعل من الأفعال في جواز التصرّف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يتوقف على أن نفهم من الدليل ملكها لعين 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حكم بتوقف صحة العقد على رضا المسلمة بنكاح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 الدليل هو ثبوت التوقف على الرضا حتى بعد الإسقاط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ليس حقاً بل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توقف صحة العقد على الرضا في المقام ونحوه هو اعتبار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ملاكه الاحترام ورعاية جانب من اعتبر رضاه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ولكونه كذلك كان من أهم خصوصياته المقوّمة له قبوله الإسقاط من قبله؛ لأن الشارع إنما اعتبره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تنازل عنه كان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يحكم الشارع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يصر على إبقائه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فالتوقف يسقط شرعاً إذا أسقطه من اعتبر رضاه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فالنكاح في المقام لا يعتبر فيه رضاها بعد الإسقاط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حتى إذا لم ترضَ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ملاك الحكم في المقام هو ما ذُكر غير واضح؛ لأن الخصوصية قد تكون للإسلام لا للمسلمة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ليس لها أن تُسقط اعتبار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وتظل صحة العقد متوقفةً على رضاها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إطلاق الدليل على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فيكون اعتبار رضا المسلمة في صحة العقد على الكتابية من قبيل الحكم لا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إن هذا الاستدلال يبتني على أن الإسقاط لا يلازم الرضا كما 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إسقاط اعتبار رضاها لا يعني تحقق الرضا الذي اعتبرته الروايات كمصحح للعقد وهو الرضا الفعلي بالعقد، لأنها قد تسقط اعتبار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لا ترضى بالعقد في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للمسلمة أن تمضي عقد الكتابية وأن لا تمضيه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فسخ عقد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بادر إلى تزوج الكتابية بدون استئذان المسلمة كان للمسلمة أن تصحح هذا التزويج برضاها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أن لا تصححه فلا ترضى، وهذا التخيير قد دلّت عليه أدلة اعتبار رضا المسلمة في صحة نكاح الكتابية عليها ومنها صحيحة هشام ابن سالم المتقدمة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تزوّج ذمية على مسلمة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ظاهر في عدم صحة النكاح بقرينة التفريق بينهما وحيث إن الرواية صححت النكاح الذي يلحقه الرضا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رضيت المسلمة ضرب ثمن الحدّ ولم يفرق بينهما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يكون المراد بالنكاح الذي حكم فيه بالتفريق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الفاقد للرضا سابقاً ولاحقاً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فالرواية تدل على أن رضا المسلمة مطلقاً مصحح للعقد، وعدم الرضا </w:t>
      </w:r>
    </w:p>
    <w:p>
      <w:pPr>
        <w:pStyle w:val="BookText"/>
        <w:rPr/>
      </w:pPr>
      <w:r>
        <w:rPr>
          <w:rFonts w:ascii="Amiri" w:hAnsi="Amiri" w:eastAsia="Amiri" w:cs="Amiri"/>
          <w:color w:val="111111"/>
          <w:sz w:val="28"/>
          <w:sz w:val="28"/>
          <w:szCs w:val="28"/>
          <w:rtl w:val="true"/>
          <w:lang w:bidi="ar-SA"/>
        </w:rPr>
        <w:t>مطلقاً يوجب بطلان ذلك العقد، وعليه فالصحة والبطلان تدور مدار الرضا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الرضا هو فعل المسلمة وتابع لاختيارها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ملزمة بأن ترضى ولها أن لا ترضى، كانت بالخيار في تصحيح عقد الكتابية برضاها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تصحيحه بعدم رضاها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تعليق الحكم بالبطلان والصحة على رضاها وعدمه هو ثبوت الخيار لها بين إمضاء عقد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عدم إمضائه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ما يستفاد من هذه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من رواية منصور بن حازم</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المؤيدة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المسلمة لها بالإضافة إلى ذلك أن تفسخ عقد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بالخيار بين عدم إمضاء عقد الكتابية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فسخ عقد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موجود في مسألة نكاح الأمة على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ونكاح بنت الأخ على العمة أو 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به هناك الشيخان وأتباعهما</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نقل عن الشيخ المفيد أن المسلمة التي تتزوج عليها الكتابية حكمها حكم الحرّة التي تتزوج عليها الأَمة، وبما أنه يقول في الحرّة بأن لها أن تفسخ عقد نفسها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يعني أن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المسلمة بالخيار في أن تفسخ عقد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لا ترضى بعقد الكتابية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لها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أن نعرف أن المسلمة هل لها أن تفسخ عقد نفسها أو لا؟ لابد من مراجعة أدلة اعتبار إذنها في نكاح الكتابية عليها، وما ذكر من الأدلة هناك هو صحيحة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منصور بن حازم وليس فيهما أن المسلمة لها أن تفسخ </w:t>
      </w:r>
    </w:p>
    <w:p>
      <w:pPr>
        <w:pStyle w:val="BookText"/>
        <w:rPr/>
      </w:pPr>
      <w:r>
        <w:rPr>
          <w:rFonts w:ascii="Amiri" w:hAnsi="Amiri" w:eastAsia="Amiri" w:cs="Amiri"/>
          <w:color w:val="111111"/>
          <w:sz w:val="28"/>
          <w:sz w:val="28"/>
          <w:szCs w:val="28"/>
          <w:rtl w:val="true"/>
          <w:lang w:bidi="ar-SA"/>
        </w:rPr>
        <w:t>عقد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دالة على اعتبار رضاها في تصحيح العقد الذي وقع على الكتابية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رضيت صح العقد وإلا فلا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يمكن أن تكون هذه الروايات هي مستند ما نسب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نعم بناء على تمامية تنزيل الكتابية منزلة الأمة يمكن أن يستدل على أن للمسلمة فسخ عقد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دلّ على أن الحرّة لها ذلك إذا تزوج عليها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رواية واحدة رواها الشيخ بإسناده عن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يحيى اللحام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تزوّج أمة على 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شاءت الحرّة أن تقيم مع الأمة أقامت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شاءت ذهبت إلى أهلها،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ترضَ بذلك وذهبت إلى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عليها سبيل إذا لم ترض بالمقام؟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له عليها إذا لم ترضَ حين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فذهابها إلى أهلها طلاقها؟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خرجت من منزله اعتدت ثلاثة أشهر و ثلاثة قروء ثم تتزوج إن شاءت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تمامية سند الرواية لأن الشيخ يرويها عن الحسن بن محبوب وأحد طرقه إليه في المشيخة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اللحام منصوص على وثاقته، فالرواية معتبرة سنداً فيمكن الاعتماد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ودلالتها واضحة في تخيير الحرَّة بين أن تبقى مع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تفسخ عقد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بقينا نحن وهذه الرواية بهذا الشكل لأمكن الالتزام بأن للمسلمة الحرَّة أن تفسخ عقدها بعد تسليم تمامية التنزيل المذكور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هذه الرواية مروية في الكافي بنفس السند من الحسن بن محبوب إلى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وبنفس العبارات إلا في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رجل تزوّج امرأة حرّة وله </w:t>
      </w:r>
    </w:p>
    <w:p>
      <w:pPr>
        <w:pStyle w:val="BookText"/>
        <w:rPr/>
      </w:pPr>
      <w:r>
        <w:rPr>
          <w:rFonts w:ascii="Amiri" w:hAnsi="Amiri" w:eastAsia="Amiri" w:cs="Amiri"/>
          <w:color w:val="111111"/>
          <w:sz w:val="28"/>
          <w:sz w:val="28"/>
          <w:szCs w:val="28"/>
          <w:rtl w:val="true"/>
          <w:lang w:bidi="ar-SA"/>
        </w:rPr>
        <w:t>امرأة أمة ولم تعلم الحرّة أن له امرأة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وتطابق الروايتين في الرواة من الحسن بن محبوب إلى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تطابق الألفاظ بشكل كبير يجعلنا نستبعد كونهما 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هما رواية واحدة خصوصاً وأن الشيخ يرويها بحسب الظاهر عن كتاب ابن محبوب؛ لأنه بدأ به سند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ذكرنا أن طريقه إلى هذا الكتاب يمر بالشيخ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استبعدنا تعدد الرواية يقع الكلام في أن أي النسختين أصح إذ لا يمكن صحتهما معاً كما هو واضح، فإن قلنا بترجيح ما يرويه الشيخ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يرويه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لكون الأول أضبط تكون الرواية خارجة عن محل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فإن الرواية تكون مجملة لأننا لا ندري أن موضوع كلام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هو عقد الحرّة المتأخر عن عقد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يمكن الاعتماد على هذه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يبقى ما يمكن أن يستدل به على أن للحرة أن تفسخ عقد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وأن عقدها محكوم باللزوم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وزوال هذا اللزوم يحتاج إلى دليل وهو مفقود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أن المسلمة لها الخيار في إمضاء عقد الكتابية أو إبطاله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مسائل تلحق بهذه المسألة نذكرها بالعناوين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أذنت المسلمة عند العقد ولم ترضَ بعد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يؤثر عدم 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المسلمة صغيرة أو مجنونة بطل العقد على الكتابية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المسلمة غائبة لم يسقط اعتبار رضاها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ماتت المسلمة قبل أن ترضى بالعقد حكم ببطلانه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يتم ما نقل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تجويز العقد على الكتابية تمتعاً لوقت قصير كساعة أو ساعتين من دون استئذان المسلمة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يَشترط رضا المسلمة في صحة التمتع بالكتابية عليها؟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محمد وآله الطيّبين الطاهرين</w:t>
      </w:r>
      <w:r>
        <w:rPr>
          <w:rFonts w:eastAsia="Amiri" w:cs="Amiri" w:ascii="Amiri" w:hAnsi="Amiri"/>
          <w:color w:val="111111"/>
          <w:sz w:val="28"/>
          <w:szCs w:val="28"/>
          <w:rtl w:val="true"/>
          <w:lang w:bidi="ar-SA"/>
        </w:rPr>
        <w:t xml:space="preserve">. </w:t>
      </w:r>
      <w:bookmarkStart w:id="31" w:name="pg9087_85068"/>
    </w:p>
    <w:p>
      <w:pPr>
        <w:pStyle w:val="Heading3"/>
        <w:numPr>
          <w:ilvl w:val="2"/>
          <w:numId w:val="1"/>
        </w:numPr>
        <w:rPr/>
      </w:pPr>
      <w:bookmarkStart w:id="32" w:name="__RefHeading___Toc2684119_2870459653"/>
      <w:bookmarkStart w:id="33" w:name="_Toc10"/>
      <w:bookmarkEnd w:id="31"/>
      <w:bookmarkEnd w:id="32"/>
      <w:r>
        <w:rPr>
          <w:rtl w:val="true"/>
        </w:rPr>
        <w:t>المصادر</w:t>
      </w:r>
      <w:bookmarkEnd w:id="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البرهان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التأريخ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السادسة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 لإحياء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صادق الروحاني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للطباعة والتوزيع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مختلف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الثالثة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القاسم الخوئي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الثامنة والعشرون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9087_85071"/>
      <w:bookmarkStart w:id="35" w:name="pg9087_85071"/>
      <w:bookmarkEnd w:id="35"/>
    </w:p>
    <w:p>
      <w:pPr>
        <w:pStyle w:val="Heading2"/>
        <w:numPr>
          <w:ilvl w:val="1"/>
          <w:numId w:val="1"/>
        </w:numPr>
        <w:rPr/>
      </w:pPr>
      <w:bookmarkStart w:id="36" w:name="pg9087_85071"/>
      <w:bookmarkStart w:id="37" w:name="__RefHeading___Toc2684121_2870459653"/>
      <w:bookmarkStart w:id="38" w:name="_Toc11"/>
      <w:bookmarkEnd w:id="36"/>
      <w:bookmarkEnd w:id="37"/>
      <w:r>
        <w:rPr>
          <w:rtl w:val="true"/>
        </w:rPr>
        <w:t>قتل العمد بين الفقه الإسلامي وقانون العقوبات العراقي</w:t>
      </w:r>
      <w:r>
        <w:rPr>
          <w:rtl w:val="true"/>
        </w:rPr>
        <w:t>(</w:t>
      </w:r>
      <w:r>
        <w:rPr>
          <w:rtl w:val="true"/>
        </w:rPr>
        <w:t>الحلقة الثالثة</w:t>
      </w:r>
      <w:r>
        <w:rPr>
          <w:rtl w:val="true"/>
        </w:rPr>
        <w:t xml:space="preserve">) - </w:t>
      </w:r>
      <w:r>
        <w:rPr>
          <w:rtl w:val="true"/>
        </w:rPr>
        <w:t>الشيخ يحيى السعداوي دام عزه</w:t>
      </w:r>
      <w:bookmarkEnd w:id="38"/>
    </w:p>
    <w:p>
      <w:pPr>
        <w:pStyle w:val="Heading3"/>
        <w:numPr>
          <w:ilvl w:val="2"/>
          <w:numId w:val="1"/>
        </w:numPr>
        <w:rPr/>
      </w:pPr>
      <w:bookmarkStart w:id="39" w:name="__RefHeading___Toc2684123_2870459653"/>
      <w:bookmarkStart w:id="40" w:name="_Toc12"/>
      <w:bookmarkEnd w:id="39"/>
      <w:r>
        <w:rPr>
          <w:rtl w:val="true"/>
        </w:rPr>
        <w:t>اشارة</w:t>
      </w:r>
      <w:bookmarkEnd w:id="40"/>
    </w:p>
    <w:p>
      <w:pPr>
        <w:pStyle w:val="BookText"/>
        <w:rPr/>
      </w:pPr>
      <w:r>
        <w:rPr>
          <w:rFonts w:ascii="Amiri" w:hAnsi="Amiri" w:eastAsia="Amiri" w:cs="Amiri"/>
          <w:color w:val="111111"/>
          <w:sz w:val="28"/>
          <w:sz w:val="28"/>
          <w:szCs w:val="28"/>
          <w:rtl w:val="true"/>
          <w:lang w:bidi="ar-SA"/>
        </w:rPr>
        <w:t>دراسة مقارنة بين المذاهب الفقهية الإسلامية وقانون العقوبات العراقي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تُعرّفنا بالتشريع الجنائي الإسلامي ومدى مواكبته المستحدثات ووقائع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وتبيّن مدى ارتكاز قانون العقوبات العراقي عليه أو مفارقته بالكامل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ويتضح من خلالها إنْ كان قانون العقوبات العراقي قد جعل التشريع الجنائي الإسلامي مصدراً أساسياً في تشريعاته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مطابقاً لما نص عليه الدستور العراقي الجديد في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087_85073"/>
      <w:bookmarkStart w:id="42" w:name="pg9087_85073"/>
      <w:bookmarkEnd w:id="42"/>
    </w:p>
    <w:p>
      <w:pPr>
        <w:pStyle w:val="Heading3"/>
        <w:numPr>
          <w:ilvl w:val="2"/>
          <w:numId w:val="1"/>
        </w:numPr>
        <w:rPr/>
      </w:pPr>
      <w:bookmarkStart w:id="43" w:name="pg9087_85073"/>
      <w:bookmarkStart w:id="44" w:name="__RefHeading___Toc2684125_2870459653"/>
      <w:bookmarkStart w:id="45" w:name="_Toc13"/>
      <w:bookmarkEnd w:id="43"/>
      <w:bookmarkEnd w:id="44"/>
      <w:r>
        <w:rPr>
          <w:rtl w:val="true"/>
        </w:rPr>
        <w:t>المبحث الثالث</w:t>
      </w:r>
      <w:bookmarkEnd w:id="45"/>
    </w:p>
    <w:p>
      <w:pPr>
        <w:pStyle w:val="Heading4"/>
        <w:numPr>
          <w:ilvl w:val="3"/>
          <w:numId w:val="1"/>
        </w:numPr>
        <w:rPr/>
      </w:pPr>
      <w:bookmarkStart w:id="46" w:name="__RefHeading___Toc2684127_2870459653"/>
      <w:bookmarkStart w:id="47" w:name="_Toc14"/>
      <w:bookmarkEnd w:id="46"/>
      <w:r>
        <w:rPr>
          <w:rtl w:val="true"/>
        </w:rPr>
        <w:t>أولا ً</w:t>
      </w:r>
      <w:r>
        <w:rPr>
          <w:rtl w:val="true"/>
        </w:rPr>
        <w:t xml:space="preserve">: </w:t>
      </w:r>
      <w:r>
        <w:rPr>
          <w:rtl w:val="true"/>
        </w:rPr>
        <w:t>مصاديق القتل العمد وتطبيقاته في قانون العقوبات العراقي</w:t>
      </w:r>
      <w:bookmarkEnd w:id="47"/>
    </w:p>
    <w:p>
      <w:pPr>
        <w:pStyle w:val="BookText"/>
        <w:rPr/>
      </w:pPr>
      <w:r>
        <w:rPr>
          <w:rFonts w:ascii="Amiri" w:hAnsi="Amiri" w:eastAsia="Amiri" w:cs="Amiri"/>
          <w:color w:val="111111"/>
          <w:sz w:val="28"/>
          <w:sz w:val="28"/>
          <w:szCs w:val="28"/>
          <w:rtl w:val="true"/>
          <w:lang w:bidi="ar-SA"/>
        </w:rPr>
        <w:t>بعد ذكر التعريف والأركان، وشرح النصوص نريد هنا تطبيقها على ما ذكر من وسائل للقتل العمد وعلى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بالمحدد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أنه كل آلة محددة جارحة، أو طاعنة لها مؤر في البدن أي تفرق أجزاء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أن يكون المحدد من مادة معينة؛ فيصح كونه من الحديد، أو النحاس، أو الرصاص، أو الذهب، أو الفضة، أو الزجاج، أو الخشب، أو القصب، أو العظم، أو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وأمثلته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 والرمح والبندقية والسهم والقنبلة والسيف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الآلات بطبيعتها قاتلة غالباً بل بعضها معد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وعلمنا سابقاً أن القانون العراقي لم يبين نوع الفعل، ولم يحدد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فعل غير محدد لا بطبيعته، ولا بوسيلته؛ ولذا ذهب الشرّاح إلى أن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أحصل بوسيلة قاتلة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كالمحدد من السلاح الناري أم الآلة القاطعة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غير القاتلة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يذكر بعض الشرّاح أن هذا الأمر لا تأثير له على قيام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الوسيلة القاتلة بطبيعتها تكون في الغالب الدليل الأول في إثبات قصد القتل</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فالمحدد الذي هو قاتل بطبيعته دليل أول على قصد القتل؛ فالقصد الجنائي أمر داخلي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اختصاص وسلطة قاضي الموضوع يستنبطها من ظروف كل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ضمن استدلالاته الوسيلة المستعملة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فالمحدد الذي هو قاتل </w:t>
      </w:r>
    </w:p>
    <w:p>
      <w:pPr>
        <w:pStyle w:val="BookText"/>
        <w:rPr/>
      </w:pPr>
      <w:r>
        <w:rPr>
          <w:rFonts w:ascii="Amiri" w:hAnsi="Amiri" w:eastAsia="Amiri" w:cs="Amiri"/>
          <w:color w:val="111111"/>
          <w:sz w:val="28"/>
          <w:sz w:val="28"/>
          <w:szCs w:val="28"/>
          <w:rtl w:val="true"/>
          <w:lang w:bidi="ar-SA"/>
        </w:rPr>
        <w:t>بطبيعته يمكن أن يستدل به على نية الجاني سواء أقصد القتل أم لم يقصد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توفرت الأركان الأخرى فهو قتل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فاستعمال المحدد يكون من القتل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بالمثقل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ليس له حد كالعصي والحجر، وهذه الوسائل غير قاتلة بطبيعتها، ولكن بظروف معينة وهي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الاستمرار بالضرب وتكراره يمكن استظهار نية الجاني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كون استعمال المثقل قتلاً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بتوفر أركانه وأهمها قصد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بعض الشرّاح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يتخذ الجاني وسيلة غير قاتلة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تؤدي إلى الموت بحسب استعمالها كالضرب بعصا أو الضرب على الوجه وبالحصى الصغيرة</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حين أن الوسيلة غير القاتلة بطبيعتها قد تكون الدليل الأول في نفي هذا القصد</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فيكون القتل بالمثقل مع توفر الأركان قتلاً عمداً ولو كان حصاة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بعض الشرّاح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الضرب في عصا أو غيرها في مكان قاتل وكان قاصداً للقتل فيتحقق العمد</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الإلقاء في مهلكة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يجمع بينه وبين أسد، أو ينهشه كلب، أو سبع، أو حية، أو يلسعه عقرب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الإلقاء في المهلكة وسيلة من الوسائل القاتلة بطبيعتها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قصد إزهاق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إثبات علاقة السببية بين هذا الفعل والوفاة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w:t>
      </w:r>
    </w:p>
    <w:p>
      <w:pPr>
        <w:pStyle w:val="BookText"/>
        <w:rPr/>
      </w:pPr>
      <w:r>
        <w:rPr>
          <w:rFonts w:ascii="Amiri" w:hAnsi="Amiri" w:eastAsia="Amiri" w:cs="Amiri"/>
          <w:color w:val="111111"/>
          <w:sz w:val="28"/>
          <w:sz w:val="28"/>
          <w:szCs w:val="28"/>
          <w:rtl w:val="true"/>
          <w:lang w:bidi="ar-SA"/>
        </w:rPr>
        <w:t>أمام جريمة قتل عمد، حيث يقول بعض الشرّاح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ووسائل القتل متعددة منها ما يكون قاتلاً 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الإلقاء من على شاهق أو الإلقاء في الماء</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يكفي لتحقق القتل العمد أن الوفاة حصلت بسبب هذا الفعل والقصد الجنائي، وكون هذا الفعل هو السبب المباشر للقتل، وهذه الأفعال وهي الإلقاء في مهلكة أو في مسبعة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قام الدليل المقنع على توافر قصد القتل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عمد، بل إذا مات المجني عليه نتيجة لخوفه من هذه الأمور فهو عمد فسببها أولى؛ ولذا يقول بعض الشرّاح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قد تكون وسيلة القتل غير مادية بل معنوية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أمور تكفي لقيام الجريمة على أرجح الآراء متى ثبت قصد القتل، ورابطة السببية بين الفعل والموت</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الإحراق والإغراق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الإلقاء في الماء سواء أكان نهراً أم بحراً أم غيرهما، وسواء أكانت هذه النار كبيرة أم 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وقانون العقوبات بحسب ما جاء في بعض الشروح يعتبر الإحراق والإغراق من الأمور القاتلة بطبيعتها ولذا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ما يكون قاتلاً 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الإلقاء في الماء</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يحصل بوسيلة قاتلة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الإلقاء في اليم</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فتعد الدليل الأول في إثبات قصد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جميع صوره ما دام قصد القتل متوفراً واستندت الوفاة إليه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المقصود به منع خروج النَفَس بأي وسيلة سواء أشنق الجاني المجني عليه بحبل، أو خنقه بيده، أو بحبل، أو غمَّه بوسادة، أو بأي شيء وضعه </w:t>
      </w:r>
    </w:p>
    <w:p>
      <w:pPr>
        <w:pStyle w:val="BookText"/>
        <w:rPr/>
      </w:pPr>
      <w:r>
        <w:rPr>
          <w:rFonts w:ascii="Amiri" w:hAnsi="Amiri" w:eastAsia="Amiri" w:cs="Amiri"/>
          <w:color w:val="111111"/>
          <w:sz w:val="28"/>
          <w:sz w:val="28"/>
          <w:szCs w:val="28"/>
          <w:rtl w:val="true"/>
          <w:lang w:bidi="ar-SA"/>
        </w:rPr>
        <w:t>على فيه وأنفه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فشراح القانون يعدون الخنق من الوسائل القاتلة بطبيعتها، فيعد الدليل الأول على القتل العمد ويتحقق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فعل مادي أدى إلى الوفاة وقصد القتل متوفر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لم يستند القتل إلى الخنق كما إذا تخلله زمن ومات بسبب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ظاهر من اشتراط السببية بين الفعل والوفاة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 بعض الشرّاح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ما يكون قاتلاً 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الخنق</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ومنع الطعام 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الجريمة عمدية إذا توافر القصد الجرمي لدى فاعلها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 الجريمة عمدية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القانون أو الاتفاق واجباً على شخص، وامتنع عن أدائه قاصداً إحداث الجريمة التي نشأت مباشرة عن هذا الامتناع</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وبعض الشرّاح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فالسجان الذي يمتنع عن تقديم الطعام إلى السجين بقصد قتله فيموت جوعاً يعتبر قاتلاً</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والسجان هو الشخص المشرف على السجن سواء أكان هذا السجن من قبل الحكومة أم من له سلطة شرعية أم غير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فيعد قتلاً عمداً باعتبار أن الذي يحبس شخصاً يكون مسؤولاً عن طعامه وشرابه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المسؤولية تجعله سبباً لحصول الوفاة، فإذا توفر القصد الجنائي وعلاقة السببية فنحن أمام جريمة قتل عمد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القبيل الأم</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تمتنع عن إطعام وليدها التي تقصد قتله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خصص المشرع العراقي فقرة خاصة باستعمال المادة السامة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يعاقب بالإعدام من قتل نفساً عمداً في إحدى الحالات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القتل باستعمال مادة سامة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شرح هذه الفقرة وقلنا إن المادة السامة هي التي تسبب الموت عاجلاً أو آجلاً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هذه المادة سامة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يستوي أن تكون من السموم الحيوانية، أو العضوية، أو المعدنية إذا كان من شأنها إحداث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يكون سماً بطبيعتها ولكنها بظروف معينة تسبب التسمم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وتعيين ما يعد سماً وما لا يعد سماً أمر علمي يحدده أهل الفن طبقاً لسلطة محكمة الموضوع</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 لتوافر الظرف المشدد أن تكون المادة المعطاة سماً بطبيعته، إذ العبرة فيما يترتب على إعطاء المادة في ظروف معينة لا بالطبيعة السامة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يثبت بأن المادة غير السامة أدت إلى التسمم، ثم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لتوافر الطرق المشددة أن تكون المواد قاتلة بغير طريق التسمم؛ لأن المادة ذكرت مادة 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ويميز القانون بين مباشرة دس السم وبين التسبيب؛ ولذا يعدُ قاتلاً بالسم إذا وضعه لشخص معين وقدمه إليه، أما إذا أعطى لثالث أي لشخص آخر فلا مسؤولية جنائية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المسبب، ولكن لو وضع الطعام أو الشراب المسموم تحت تصرف شخص معين فتناوله آخر ومات بسببه فيعد قاتلاً بالسم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يعد قاتلاً بالسم إلا بعد تحضيره وجعله تحت تصرف المجني عليه </w:t>
      </w:r>
    </w:p>
    <w:p>
      <w:pPr>
        <w:pStyle w:val="BookText"/>
        <w:rPr/>
      </w:pPr>
      <w:r>
        <w:rPr>
          <w:rFonts w:ascii="Amiri" w:hAnsi="Amiri" w:eastAsia="Amiri" w:cs="Amiri"/>
          <w:color w:val="111111"/>
          <w:sz w:val="28"/>
          <w:sz w:val="28"/>
          <w:szCs w:val="28"/>
          <w:rtl w:val="true"/>
          <w:lang w:bidi="ar-SA"/>
        </w:rPr>
        <w:t>أو بتقديمه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نلاحظ أن اعتبار تقديم السم، أو خلطه بالطعام والشراب، وتقديمه يعدها القانون قتلاً عمداً بظرف مشدد يوجب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 القانوني لا يميز بين العالم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والجاهل، ولا بين المميز وغير المميز، ولا الأعجمي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الجميع بإطلاقه سواء أكرهه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القانون ينظر إليه كونه أقدم على جريمة خطرة حقق أركانها وبغض النظر عن وفاة المقصود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وعلة تشديد العقوبة في حالة ارتكاب جريمة القتل باستعمال مادة سامة هي أن استخدام السم وسيلة غادرة لا يتاح للمجني عليه أن يفطن إليها، كما أنها لا تأتي عادة إلا لأشخاص يطمئن إليهم المجني عليه بحكم صلتهم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يقترن التسميم عادة بسبق الإصرار وقد يقع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بوسيلة 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النص القانوني الذي لم يبين نوع الفعل، ولم يحدد صفاته أنه فعل غير محدد لا بطبيعته ولا بوسيلته</w:t>
      </w:r>
      <w:r>
        <w:rPr>
          <w:rStyle w:val="FootnoteAnchor"/>
          <w:rtl w:val="true"/>
        </w:rPr>
        <w:footnoteReference w:id="79"/>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توسع الشرّاح في صدق الركن الأول من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يشترطون أن تكون الوسيلة مادية، يقول أحدهم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يشترط أن يتم القتل بفعل مادي ووسيلة مادية، بل يمكن أن يتم بفعل معنوي إذ ليس في القانون ما يمنع اعتبار الأساليب النفسية من وسائل القتل، فمن يثابر على تنغيص زوجته وأثقالها بالهموم والأحزان لقتلها، يمكن تطبيق عقوبة القتل العمد عليه، ومن يلقي بنبإٍ مؤلم إلى شخص مريض بالقلب، أو ضعيف الأعصاب بقصد قتله فيموت يمكن تطبيق عقوبة القتل العمد عليه، وكذلك من يضع طفلاً صغيراً في حالة ذعر شديد قاصداً قتله بذلك، أو من يطلق عيارات نارية على عدوه بقصد قتله فلا يصيبه ومع ذلك يموت المجني عليه من شدة الفزع، أو يموت شخص ثالث تحت تأثير الفزع فالجناة في هذه الصور المتقدمة يمكن معاقبتهم على القتل العمد، إذا توافرت العلاقة </w:t>
      </w:r>
    </w:p>
    <w:p>
      <w:pPr>
        <w:pStyle w:val="BookText"/>
        <w:rPr/>
      </w:pPr>
      <w:r>
        <w:rPr>
          <w:rFonts w:ascii="Amiri" w:hAnsi="Amiri" w:eastAsia="Amiri" w:cs="Amiri"/>
          <w:color w:val="111111"/>
          <w:sz w:val="28"/>
          <w:sz w:val="28"/>
          <w:szCs w:val="28"/>
          <w:rtl w:val="true"/>
          <w:lang w:bidi="ar-SA"/>
        </w:rPr>
        <w:t xml:space="preserve">السببية بين الفعل والنتيجة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القصد الجنائي ثابتاً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تكون وسيلة القتل غير مادية، بل معنوية صرفة، كاختلاق نبإٍ مؤلم بغتة على شيخ مريض بقصد قتله، أو مثل وضع طفل صغير في حالة ذعر للقضاء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أمور تكفي لقيام الجريمة على أرجح الآراء متى ثبت قصد القتل، ورابطة السببية بين الفعل والموت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بسبب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عندما يشهد شخص أمام القاضي على أن فلاناً مرتد، أو زنا بالمحصنة فالشريعة توجب قتلهما، فيقتلان بسبب شرعي، أما في القانون فلا يحكم بقتلهما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شهد الشهود على جريمة عمد بسبق الإصرار وحكم على الجاني بالقتل، ثم بعد تنفيذ الحكم اتضح كذب الشهود فهل هؤلاء الشهود يعتبرون قاتلين عمداً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المادة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شهد زوراً في جريمة لمتهم أو عليه يعاقب بالحبس والغرامة أو بإحدى هاتين العقوبتين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ترتب على الشهادة الحكم على المتهم عوقب الشاهد بالعقوبة المقررة للجريمة التي أدين المتهم بها</w:t>
      </w:r>
      <w:r>
        <w:rPr>
          <w:rStyle w:val="FootnoteAnchor"/>
          <w:rtl w:val="true"/>
        </w:rPr>
        <w:footnoteReference w:id="82"/>
      </w:r>
      <w:r>
        <w:rPr>
          <w:rFonts w:ascii="Amiri" w:hAnsi="Amiri" w:eastAsia="Amiri" w:cs="Amiri"/>
          <w:color w:val="111111"/>
          <w:sz w:val="28"/>
          <w:sz w:val="28"/>
          <w:szCs w:val="28"/>
          <w:rtl w:val="true"/>
          <w:lang w:bidi="ar-SA"/>
        </w:rPr>
        <w:t>وظاهر النص أن شاهد الزور يعاقب بنفس العقوبة التي سببها فإذا كانت شهادته سببت الإعدام، فيحكم بالإعدام وإذا سببت السجن المؤبد فيحكم بالسجن المؤبد وهكذا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هنا بصدد الشاهد الذي سبب الإعدام فهل يعد قتلاً عمداً أم لا؟ الجواب نعم يعد قتلاً عمداً، أو يحكم بالإعدام بحسب ظاهر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 سؤال آخر وهو أنه هل الحاكم الذي يحكم بالإعدام على متهم وهو يعلم براءته يعد قاتلاً عمداً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نصت المادة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يعاقب بالحبس وبالغرامة أو بإحدى هاتين العقوبتين كل حاكم أو قاض أصدر حكماً ثبت أنه غير حق وكان ذلك نتيجة التوسط لديه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فالحاكم لا يحكم بنفس الحكم الذي أصدره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حكم بالإعدام لا يحكم بالإعدام وإنما بالحبس الذي هو أقل من خمس سنوات أو الغرامة أو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يعد قتلاً عمداً، أو يعد قتلاً عمداً لكن لكونه قاضياً يعتبرونه ظرفاً مخففا والظاهر أن المشرّع لم يعتبرها قتلاً عمداً وإنما اعتبرها من الجرائم المخلة بسير العدالة، ولها مساس بسير القضاء فحدد لها عقوبة غير عقوبة القتل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المجني عليه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رضا المجني عليه بالقتل يجعل الجريمة مباحة أم لا؟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يرتكز الجواب على أن الرضا ركن في إباحة تلك الجريمة أم 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الرضا ركناً في إباحة الجريمة كالسرقة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فالرضا بالسرقة يجعل السرقة مباحة، فإذا رضي المجني عليه بأخذ أمواله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يكون أخذ أمواله مباحاً فلا تكون سرقة أصلاً ولا يعاقب عليها القانون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الرضا ركناً في إباحة الجريمة كالقتل وإنما يكون ركناً في العفو عن العقوبة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فالقتل والضرب ليس الرضا ركناً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يعتبر القتل برضا المجني عليه مباحاً، ولكن له حق العفو عن الجاني هو وولي الدم؛ لأنه يتوقف على رضاهما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بعض الشرّاح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 يجب التفرقة بين حالة الإشراك في الانتحار، وحالة من يقتل آخر برضائه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هذه الحالة الأخيرة وان كان القتل واقعاً برضا المجني عليه، إلا إن القتيل اتخذ موقفاً سلبياً ولم يقارف أي عمل من الأعمال المكونة للجريمة، فلا يعتبر فاعلاً لجناية القتل، وإنما الفاعل الأصلي هو الذي أحدث الموت وهذا هو مقتضى تطبيق قواعد الاشتراك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تعاون عشيقان مثلاً على الانتحار ومفارقة الحياة معاً وأعدا لذلك سلاحين ناريين اتفقا على إطلاقهما في لحظة واحدة، وأطلق كل منهما النار على صاحبه فمن ينجو منهما جازت محاكمته عن جناية قتل عمد</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نصت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فاعلاً للجريمة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ارتكبها وحده أو مع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ساهم في ارتكابها إذا كانت من جملة أفعال فقام عمداً أثناء ارتكابها بعمل من الأعمال المكونة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دفع بأية وسيلة شخصاً على تنفيذ الفعل المكون للجريمة، إذا كان هذا الشخص غير مسؤول جزائياً عنها لأي سبب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يعد شريكاً في الجريمة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حرض على ارتكابها فوقعت بناء على هذا التحريض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اتفق مع غيره على ارتكابها فوقعت على هذا الاتفاق</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أعطى الفاعل سلاحاً، أو آلات، أو أي شيء آخر مما استعمل في ارتكاب الجريمة مع علمه بها، أو ساعده عمداً بأي طريقة أخرى في الأعمال </w:t>
      </w:r>
      <w:bookmarkStart w:id="48" w:name="pg9087_85082"/>
    </w:p>
    <w:p>
      <w:pPr>
        <w:pStyle w:val="BookText"/>
        <w:rPr/>
      </w:pPr>
      <w:bookmarkEnd w:id="48"/>
      <w:r>
        <w:rPr>
          <w:rFonts w:ascii="Amiri" w:hAnsi="Amiri" w:eastAsia="Amiri" w:cs="Amiri"/>
          <w:color w:val="111111"/>
          <w:sz w:val="28"/>
          <w:sz w:val="28"/>
          <w:szCs w:val="28"/>
          <w:rtl w:val="true"/>
          <w:lang w:bidi="ar-SA"/>
        </w:rPr>
        <w:t>المجهزة، أو المسهلة، أو المتممة لارتكابها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فاعلاً للجريمة كل شريك بحكم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حاضراً أثناء ارتكابها، أو ارتكاب أي فعل من الأفعال المكونة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ساهم بوصفه فاعلاً أو شريكاً في ارتكاب جريمة يعاقب بالعقوبة المقررة لها، ما لم ينص القانون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المواد القانونية بينت القتل بالاشتراك واعتبرت الشريك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أعان، أو حرض، أو أعطى سلاحاً، أو حضر أثناء ارتكابها، بل يسري ظرف التشديد والتخفيف على الفاعل والشريك كما نصت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توافرت في الجريمة ظروف مادية من شأنها تشديد العقوبة، أو تخفيفها سرت آثارها على كل من ساهم في ارتكابها فاعلاً كان، أو شريكاً علم بها أو لم يعلم</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2684129_2870459653"/>
      <w:bookmarkStart w:id="50" w:name="_Toc15"/>
      <w:bookmarkEnd w:id="49"/>
      <w:r>
        <w:rPr>
          <w:rtl w:val="true"/>
        </w:rPr>
        <w:t>ثانياً</w:t>
      </w:r>
      <w:r>
        <w:rPr>
          <w:rtl w:val="true"/>
        </w:rPr>
        <w:t xml:space="preserve">: </w:t>
      </w:r>
      <w:r>
        <w:rPr>
          <w:rtl w:val="true"/>
        </w:rPr>
        <w:t>العقوبات المقررة قانوناً للقتل العمد</w:t>
      </w:r>
      <w:bookmarkEnd w:id="50"/>
    </w:p>
    <w:p>
      <w:pPr>
        <w:pStyle w:val="BookText"/>
        <w:rPr/>
      </w:pPr>
      <w:r>
        <w:rPr>
          <w:rFonts w:ascii="Amiri" w:hAnsi="Amiri" w:eastAsia="Amiri" w:cs="Amiri"/>
          <w:color w:val="111111"/>
          <w:sz w:val="28"/>
          <w:sz w:val="28"/>
          <w:szCs w:val="28"/>
          <w:rtl w:val="true"/>
          <w:lang w:bidi="ar-SA"/>
        </w:rPr>
        <w:t xml:space="preserve">العقوبة الأصلية للقتل العمد هو السجن المؤبد أو المؤقت حيث نصت المادة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عمداً يعاقب بالسجن المؤبد أو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فالعقوبة الأولى هي السجن المؤبد أو المؤقت</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والسجن كما بينته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السجن هو إيداع المحكوم عليه في إحدى المنشآت العقابية المخصصة قانوناً لهذا الغرض، لمدة عشرين سنة إن كان مؤبداً، والمدد المبينة في الحكم إن كان مؤقتاً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ومدة السجن المؤقت أكثر من خمس سنوات إلى خمس عشرة سنة ما لم ينص القانون على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يزيد مجموع مدد العقوبات السالبة للحرية على خمس وعشرين سنة في جميع الأحوال، وإذا أطلق القانون لفظ السجن عد ذلك سجناً مؤقتاً، ويكلف </w:t>
      </w:r>
    </w:p>
    <w:p>
      <w:pPr>
        <w:pStyle w:val="BookText"/>
        <w:rPr/>
      </w:pPr>
      <w:r>
        <w:rPr>
          <w:rFonts w:ascii="Amiri" w:hAnsi="Amiri" w:eastAsia="Amiri" w:cs="Amiri"/>
          <w:color w:val="111111"/>
          <w:sz w:val="28"/>
          <w:sz w:val="28"/>
          <w:szCs w:val="28"/>
          <w:rtl w:val="true"/>
          <w:lang w:bidi="ar-SA"/>
        </w:rPr>
        <w:t>المحكوم عليه بالسجن المؤبد، أو المؤقت بأداء الأعمال المقررة في قانون المنشآت العقابية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وعقوبة السجن المؤبد، أو المؤقت إذا لم تكن الجريمة في ظروف مشددة أو مخففة وإلا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عقوبة الجرائم في الظروف المشددة التي ذكرتها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والإعدام كما نصت عليه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عقوبة الإعدام هي شنق المحكوم عليه حتى الموت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بينت المادة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المشددة وتم شرحها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الإعدام أو السجن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أحوال معينة وهي إذا أدى فعله إلى قتل شخصين فأكثر، وإذا مثل بجثة</w:t>
      </w:r>
    </w:p>
    <w:p>
      <w:pPr>
        <w:pStyle w:val="BookText"/>
        <w:rPr/>
      </w:pPr>
      <w:r>
        <w:rPr>
          <w:rFonts w:ascii="Amiri" w:hAnsi="Amiri" w:eastAsia="Amiri" w:cs="Amiri"/>
          <w:color w:val="111111"/>
          <w:sz w:val="28"/>
          <w:sz w:val="28"/>
          <w:szCs w:val="28"/>
          <w:rtl w:val="true"/>
          <w:lang w:bidi="ar-SA"/>
        </w:rPr>
        <w:t>المجني عليه، أو كان محكوماً بالسجن المؤبد وارتكب جريمة قتل عمدي خلال مدة تنفيذ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والإعدام تقدم توضيحه وكذا السجن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 شرح هذه الفقرة من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سبق، وأنها تدل على التعدد الصوري الحقيقي،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المقصود بها من كان محكوماً واكتسب الحكم الدرجة النهائية ودخل في التنفيذ، وإلا إذا لم يكتسب الحكم الدرجة النهائية فلا يطبق هذا الظرف المشدد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الظروف المخففة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المدة لا تزيد عن عشر سنين أو الحبس مدة لا تقل عن سنة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تعاقب بالسجن مدة لا تزيد على عشر سنين، أو بالحبس مدة لا تقل عن سنة الأم التي تقتل طفلها حديث العهد بالولادة اتقاء للعار أو كانت قد حملت </w:t>
      </w:r>
    </w:p>
    <w:p>
      <w:pPr>
        <w:pStyle w:val="BookText"/>
        <w:rPr/>
      </w:pPr>
      <w:r>
        <w:rPr>
          <w:rFonts w:ascii="Amiri" w:hAnsi="Amiri" w:eastAsia="Amiri" w:cs="Amiri"/>
          <w:color w:val="111111"/>
          <w:sz w:val="28"/>
          <w:sz w:val="28"/>
          <w:szCs w:val="28"/>
          <w:rtl w:val="true"/>
          <w:lang w:bidi="ar-SA"/>
        </w:rPr>
        <w:t>به سفاحا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 شرح هذه المادة، إلا العقوبة وسوف نشرحها الآن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السجن فقد تقدم، وأما الحبس فهو أما شديد، أو بسيط أما الشديد فهو بمدة لا تقل عن ثلاثة أشهر ولا تزيد عن خمس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البسيط لا تقل مدته عن أربع وعشرين ساعة ولا تزيد على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الحبس الشديد هو إيداع المحكوم عليه في إحدى المنشآت العقابية المخصصة قانوناً لهذا الغرض المدة المقررة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المحكمة إن تحكم بالحبس الشديد كلما كانت مدة الحبس المحكوم بها أكثر من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ويكلف المحكوم عليه بالحبس الشديد بأداء الأعمال المقررة قانوناً في المنشآت العقابية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الحبس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 مدة لا تزيد على سبع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العقوبة يصدق عليها السجن المؤقت، وقد تم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مدة لا تزيد على ثلاث سنوات وقد تقدم توضيح الحبس وهذه العقوبة داخلة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عقوبات القتل العمد في القانون العراقي 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وتعديلاته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والعقوبات هي إما السجن المؤبد، أو المؤقت، أو الإعدام أو 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عقوبات أصلية كما نص عليها القانون في مادته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عقوبات القوانين الوضعية</w:t>
      </w:r>
      <w:r>
        <w:rPr>
          <w:rFonts w:eastAsia="Amiri" w:cs="Amiri" w:ascii="Amiri" w:hAnsi="Amiri"/>
          <w:color w:val="111111"/>
          <w:sz w:val="28"/>
          <w:szCs w:val="28"/>
          <w:rtl w:val="true"/>
          <w:lang w:bidi="ar-SA"/>
        </w:rPr>
        <w:t xml:space="preserve">. </w:t>
      </w:r>
      <w:bookmarkStart w:id="51" w:name="pg9087_85085"/>
    </w:p>
    <w:p>
      <w:pPr>
        <w:pStyle w:val="Heading3"/>
        <w:numPr>
          <w:ilvl w:val="2"/>
          <w:numId w:val="1"/>
        </w:numPr>
        <w:rPr/>
      </w:pPr>
      <w:bookmarkStart w:id="52" w:name="__RefHeading___Toc2684131_2870459653"/>
      <w:bookmarkStart w:id="53" w:name="_Toc16"/>
      <w:bookmarkEnd w:id="51"/>
      <w:bookmarkEnd w:id="52"/>
      <w:r>
        <w:rPr>
          <w:rtl w:val="true"/>
        </w:rPr>
        <w:t>الفصل الثالث</w:t>
      </w:r>
      <w:r>
        <w:rPr>
          <w:rtl w:val="true"/>
        </w:rPr>
        <w:t xml:space="preserve">: </w:t>
      </w:r>
      <w:r>
        <w:rPr>
          <w:rtl w:val="true"/>
        </w:rPr>
        <w:t>المقارنة بين القتل العمد في المذاهب الفقهية، وقانون العقوبات العراقي</w:t>
      </w:r>
      <w:bookmarkEnd w:id="53"/>
    </w:p>
    <w:p>
      <w:pPr>
        <w:pStyle w:val="Heading4"/>
        <w:numPr>
          <w:ilvl w:val="3"/>
          <w:numId w:val="1"/>
        </w:numPr>
        <w:rPr/>
      </w:pPr>
      <w:bookmarkStart w:id="54" w:name="__RefHeading___Toc2684133_2870459653"/>
      <w:bookmarkStart w:id="55" w:name="_Toc17"/>
      <w:bookmarkEnd w:id="54"/>
      <w:r>
        <w:rPr>
          <w:rtl w:val="true"/>
        </w:rPr>
        <w:t>اشارة</w:t>
      </w:r>
      <w:bookmarkEnd w:id="55"/>
    </w:p>
    <w:p>
      <w:pPr>
        <w:pStyle w:val="BookText"/>
        <w:rPr/>
      </w:pPr>
      <w:r>
        <w:rPr>
          <w:rFonts w:ascii="Amiri" w:hAnsi="Amiri" w:eastAsia="Amiri" w:cs="Amiri"/>
          <w:color w:val="111111"/>
          <w:sz w:val="28"/>
          <w:sz w:val="28"/>
          <w:szCs w:val="28"/>
          <w:rtl w:val="true"/>
          <w:lang w:bidi="ar-SA"/>
        </w:rPr>
        <w:t>بعدما تقدَّم في الفصلين السابقين من بيان المقصود بالقتل العمد، وما يلحق به من مباحث نستطيع الآن أن نجري المقارنة بين المباحث المتقدمة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التقسيمات والتعاريف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الأركان والتطبيقات والمصاديق</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العقوبات</w:t>
      </w:r>
      <w:r>
        <w:rPr>
          <w:rFonts w:eastAsia="Amiri" w:cs="Amiri" w:ascii="Amiri" w:hAnsi="Amiri"/>
          <w:color w:val="111111"/>
          <w:sz w:val="28"/>
          <w:szCs w:val="28"/>
          <w:rtl w:val="true"/>
          <w:lang w:bidi="ar-SA"/>
        </w:rPr>
        <w:t xml:space="preserve">. </w:t>
      </w:r>
      <w:bookmarkStart w:id="56" w:name="pg9087_85086"/>
    </w:p>
    <w:p>
      <w:pPr>
        <w:pStyle w:val="Heading4"/>
        <w:numPr>
          <w:ilvl w:val="3"/>
          <w:numId w:val="1"/>
        </w:numPr>
        <w:rPr/>
      </w:pPr>
      <w:bookmarkStart w:id="57" w:name="__RefHeading___Toc2684135_2870459653"/>
      <w:bookmarkStart w:id="58" w:name="_Toc18"/>
      <w:bookmarkEnd w:id="56"/>
      <w:bookmarkEnd w:id="57"/>
      <w:r>
        <w:rPr>
          <w:rtl w:val="true"/>
        </w:rPr>
        <w:t>المبحث الأول</w:t>
      </w:r>
      <w:bookmarkEnd w:id="58"/>
    </w:p>
    <w:p>
      <w:pPr>
        <w:pStyle w:val="BookText"/>
        <w:rPr/>
      </w:pPr>
      <w:r>
        <w:rPr>
          <w:rFonts w:ascii="Amiri" w:hAnsi="Amiri" w:eastAsia="Amiri" w:cs="Amiri"/>
          <w:color w:val="111111"/>
          <w:sz w:val="28"/>
          <w:sz w:val="28"/>
          <w:szCs w:val="28"/>
          <w:rtl w:val="true"/>
          <w:lang w:bidi="ar-SA"/>
        </w:rPr>
        <w:t>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تقسيمات القتل في المذاهب الفقهية الإسلامية وقانون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المذاهب الفقهية عندها القتل على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العمد، وشبهه،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مشهور أهل العلم سواء عند الامامية أم المذاهب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الإمامية فاستدلوا بالكتاب وبروايات عن أئمتهم كما ذكرنا هناك، وأما المذاهب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ابن قدامة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القتل على ثلاثة أوجه عمد وشبه العمد وخطأ</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أهل العلم يرون القتل منقسماً إلى هذه الأقسام الثلاثة واستدلوا بالكتاب وروايات عن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القانون العراقي فقد قسم القتل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والضرب المفضي إلى الموت،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القانون العراقي موافقاً للمذاهب في التقسيم الثلاثي، ولكن الاختلاف في المصطلح، فالمذاهب تطلق عليه شبه العمد، والقانون يطلق عليه الضرب المفضي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المقصود واحد أم مختلف؟ أما المذاهب فيقصدون من شبه العمد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الإمامية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القتل شبه العمد هو أن يكون عامداً في فعله مخطئاً في قصده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المذهب الحنفي</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تعمدت ضربه بالعصا أو السوط أو الحجر أو اليد أو غير ذلك مما يفضي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هذا الفعل معنيين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العمد باعتبار قصد الفاعل إلى الضرب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الخطأ باعتبار انعدام قصد الفاعل إلى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الشافعي</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عمداً في الفعل خطأ في القتل أي كل فعل لم يقصد به القتل تولد عنه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المذهب الحنبلي</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الجناية بما لا يقتل غالباً فيقتل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مالك فلا يرى هذا القسم أصلاً كما ذكرنا سابقاً، بل أنكره</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مستدلاً بالكتاب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تعاريف القوم انه ضرب، أو أي فعل مقصود أدى إلى الموت خطأ، لأن الفاعل لم يقصد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أشار إليه المشرع العراقي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اعتدى على آخر بالضرب، أو بالجرح، أو بالعنف، أو بإعطاء مادة ضارة، أو بارتكاب أي فعل آخر مخالفاً للقانون</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المعنى الأول الذي ذكره القوم بأنه قاصد للفعل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غير محصور بالضرب كما هي التسمية فلماذا سمي الضرب المفضي إلى الموت؟</w:t>
      </w:r>
    </w:p>
    <w:p>
      <w:pPr>
        <w:pStyle w:val="BookText"/>
        <w:rPr/>
      </w:pPr>
      <w:r>
        <w:rPr>
          <w:rFonts w:ascii="Amiri" w:hAnsi="Amiri" w:eastAsia="Amiri" w:cs="Amiri"/>
          <w:color w:val="111111"/>
          <w:sz w:val="28"/>
          <w:sz w:val="28"/>
          <w:szCs w:val="28"/>
          <w:rtl w:val="true"/>
          <w:lang w:bidi="ar-SA"/>
        </w:rPr>
        <w:t xml:space="preserve">ومن هنا يتفق المشرع بكون الفعل مقصوداً، ويتفق أيضاً بأنه لم يقصد القتل حيث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يقصد من ذلك قتله ولكنه أفضى إلى موته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نعلم إن المقصود بشبه العمد، والضرب المفضي للموت واحد، وهو قصد الفعل وتعمده وخطأ في القتل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يتفق المشرع العراقي مع أغلب المذاهب الإسلامية في تقسيم القتل </w:t>
      </w:r>
    </w:p>
    <w:p>
      <w:pPr>
        <w:pStyle w:val="BookText"/>
        <w:rPr/>
      </w:pPr>
      <w:r>
        <w:rPr>
          <w:rFonts w:ascii="Amiri" w:hAnsi="Amiri" w:eastAsia="Amiri" w:cs="Amiri"/>
          <w:color w:val="111111"/>
          <w:sz w:val="28"/>
          <w:sz w:val="28"/>
          <w:szCs w:val="28"/>
          <w:rtl w:val="true"/>
          <w:lang w:bidi="ar-SA"/>
        </w:rPr>
        <w:t>إلى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المفضي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حدود القتل العمد بين المذاهب الفقهية الإسلامية، وقانون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ذكرنا سابقاً المناقشة بين تعريفي القتل العمد في نظر الامامية والمذاهب الأخرى وخلصنا إلى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اتفقت المذاهب الإسلامية على أن إزهاق الروح وهو خروجها ركن في تعريف القتل العمد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المذاهب الإسلامية على أن النفس المزهقة لابد أن تتصف بصفات معينة وهي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معصومة ومكافأة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والمعصومة من حيث اللفظ متفق عليه بين المذاهب إلا إن الخلاف في 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فالامامية عندهم ما لا يجوز إتلافها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والشافعي وأحمد ومالك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النفس التي لا يباح إتلافها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وأساسها عندهم الإسلام والأمان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 فإن العصمة عنده عصمة الدار ومنعة الإسلام والأمان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والامامية تطلق العصمة لكل مالا يباح دمه، ولكنهم لا يوجبون القصاص على غير المكافئ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فالمكافأة عندهم شرط ويقصدون به الإسلام والحرية وكذلك المذاهب الأخرى الشافعي ومالك وأحمد، وأما أبو حنيفة فيرى أن المكافأة بالإسلام فقط دون الحرية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الحي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متفق عليه وهو أن الحياة تبدأ من بعد تمام الولادة حتى الوفاة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العدوان عند الإمامية ومالك وربما يكون المقصود بغير حق أو الظلم الصراح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هناك أن لا حاجة إلى هذا القيد كما بينت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هناك إن تعريف المذاهب الفقهية جميعها ناظر إلى تعريف القتل العمد الموجب للقصاص، وليس تعريفاً لحقيقة القتل العمد، فيكون تعريف المذاهب بقيوده للقصاص لا إلى القتل العمد كجريمة مستقلة يقطع النظر عن عقوبتها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الإمامية عندهم قصد القتل كما عند الشافعي وأحمد، وأن الآلة ما تقتل غالباً، أما أبو حنيفة فعنده أن تكون معدة للقتل، ومالك عنده قصد العدوان سواء أكانت تقتل غالباً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والإمامية عندهم استعمال الآلة التي تقتل عادة وان لم يقصد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القانون فيعرف القتل العمد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إزهاق لروح إنسان 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التعريف يتفق مع تعريف المذاهب في إخراج النفس بأي فعل مادي، وان حياة الإنسان من بعد تمام الولادة حتى يموت، ويقصد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هذا ظاهر من التعريف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يخلو هذا التعريف من قيدي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المعصومة والمكافأة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فيشمل التعريف قتل المرتد والحربي والذمي والمستأمن والرجل للمرأة والمرأة للرجل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نقول إن هذا التعريف هو تعريف حقيقة القتل العمد، فيكون اشمل وأوسع مصاديقاً من تعريف المذاهب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الرأي مقارب لرأي أبي حنيفة الذي لا يجعل الإسلام شرطاً في العصمة ولكنه يشترط المكافأة وعنده يقتل المسلم بالذمي وكذلك الذمي بالمسلم إلا المستأمن فلا يقتل به المسلم</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الحي الآدمي يتوافق مع القانون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التعريف الذي يشمل الطفل بعد تمام الولادة إلى الموت وهذه الفوارق بين التعريفين تسبب </w:t>
      </w:r>
    </w:p>
    <w:p>
      <w:pPr>
        <w:pStyle w:val="BookText"/>
        <w:rPr/>
      </w:pPr>
      <w:r>
        <w:rPr>
          <w:rFonts w:ascii="Amiri" w:hAnsi="Amiri" w:eastAsia="Amiri" w:cs="Amiri"/>
          <w:color w:val="111111"/>
          <w:sz w:val="28"/>
          <w:sz w:val="28"/>
          <w:szCs w:val="28"/>
          <w:rtl w:val="true"/>
          <w:lang w:bidi="ar-SA"/>
        </w:rPr>
        <w:t>الاختلاف في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فالمسلم لا يقتل بالذمي عند المذاهب، لكن القانون لا ينظر إلى هذا الأمر وإنما ينظر إلى كون الظروف المحيطة بالجريمة، هل كانت ظروفاً مشددة فيستحق الإعدام أم لا فتكون العقوبة أخف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 ينظر إليه القانون غير ما تنظر إليه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فالمسلم إذا قتل الذمي بظروف غير مشددة لا يعدم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والمسلم إذا قتل المرتد بظروف مشددة يعدم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والمرتد إذا قتل المسلم بظروف غير مشددة لا يعدم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تترتب فوارق كثيرة بسبب الاختلاف في صدق التعريف الذي يعتبر الضابطة الكلية التي تدور عليها صدق العمد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والسبب في هذا الفرق الكبير هو أن المشرع العراقي لم يأخذ ولم يجعل الشريعة الإسلامية مصدراً لقانون العقوبات، ولذلك أصبح الفرق شاسعاً بينهما، وربما يكون المشرع العراقي أخذ من الدول المتقدمة كالمشرع الفرنسي، ليواكب التطور الحاصل في الدول المتقدمة، ولتكوين الدولة الحديثة التي تكون حاكمة على مواطنيها بقانون المفروض انه يساوي بينهم ويحكم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بين مسلم وغيره ولا بين حر وعبد ما داموا يعيشون على أراضيها وتحت سلطتها وسيطرتها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يعني هذا أن أحكام الشريعة الإسلامية لا تتلائم مع تطور مفهوم الدولة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والله اختارها كرسالة عالمية لتحكم العالم بما انزل الله إلى يوم القيامة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إن الذي جعلها بهذا الحال أنها لم تُصغ بصياغة علمية قانونية تتلائم وتطورات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هجرت الشريعة من المسلمين فضلاً عن غيرهم بالإضافة إلى الاستعمار الذي سيطر على كل نواحي الحياة آنذاك، وحارب الشريعة الإسلامية ما استطاع إلى ذلك سبيلاً</w:t>
      </w:r>
      <w:r>
        <w:rPr>
          <w:rFonts w:eastAsia="Amiri" w:cs="Amiri" w:ascii="Amiri" w:hAnsi="Amiri"/>
          <w:color w:val="111111"/>
          <w:sz w:val="28"/>
          <w:szCs w:val="28"/>
          <w:rtl w:val="true"/>
          <w:lang w:bidi="ar-SA"/>
        </w:rPr>
        <w:t xml:space="preserve">. </w:t>
      </w:r>
      <w:bookmarkStart w:id="59" w:name="pg9087_85091"/>
    </w:p>
    <w:p>
      <w:pPr>
        <w:pStyle w:val="Heading4"/>
        <w:numPr>
          <w:ilvl w:val="3"/>
          <w:numId w:val="1"/>
        </w:numPr>
        <w:rPr/>
      </w:pPr>
      <w:bookmarkStart w:id="60" w:name="__RefHeading___Toc2684137_2870459653"/>
      <w:bookmarkStart w:id="61" w:name="_Toc19"/>
      <w:bookmarkEnd w:id="59"/>
      <w:bookmarkEnd w:id="60"/>
      <w:r>
        <w:rPr>
          <w:rtl w:val="true"/>
        </w:rPr>
        <w:t>المبحث الثاني</w:t>
      </w:r>
      <w:bookmarkEnd w:id="61"/>
    </w:p>
    <w:p>
      <w:pPr>
        <w:pStyle w:val="Heading5"/>
        <w:numPr>
          <w:ilvl w:val="4"/>
          <w:numId w:val="1"/>
        </w:numPr>
        <w:rPr/>
      </w:pPr>
      <w:bookmarkStart w:id="62" w:name="__RefHeading___Toc2684139_2870459653"/>
      <w:bookmarkStart w:id="63" w:name="_Toc20"/>
      <w:bookmarkEnd w:id="62"/>
      <w:r>
        <w:rPr>
          <w:rtl w:val="true"/>
        </w:rPr>
        <w:t>اشارة</w:t>
      </w:r>
      <w:bookmarkEnd w:id="63"/>
    </w:p>
    <w:p>
      <w:pPr>
        <w:pStyle w:val="BookText"/>
        <w:rPr/>
      </w:pPr>
      <w:r>
        <w:rPr>
          <w:rFonts w:ascii="Amiri" w:hAnsi="Amiri" w:eastAsia="Amiri" w:cs="Amiri"/>
          <w:color w:val="111111"/>
          <w:sz w:val="28"/>
          <w:sz w:val="28"/>
          <w:szCs w:val="28"/>
          <w:rtl w:val="true"/>
          <w:lang w:bidi="ar-SA"/>
        </w:rPr>
        <w:t>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الأركان للقتل العمد بين المذاهب الفقهية، وقانون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أركان القتل العمد عند المذاهب الفقهية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 الإمامية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المادي وهو الركن المادي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 فعل يؤدي إلى إزهاق الروح ويشمل حتى الامتناع والترك والوسيلة المادية والمعنوية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الجريمة أي وقوعه على نفس معصومة مكافئة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المعنوي وهو القصد الجنائي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 القتل، أو ما يظهر من استعمال آلة قاتلة عادة أو غالبا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المذاهب الأخرى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المادي المؤدي إلى إزهاق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الركن المادي ويشمل الوسائل المعنوية والترك والامتناع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الجريمة إنسان حي ذو نفس معصومة مكافأة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الجنائي وهو الركن المعنوي للجريمة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 القتل، وإحداث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القانون العراقي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المادي وهو الركن المادي ويشمل الوسيلة المادية، والمعنوية والترك والامتناع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الجريمة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المعنوي وهو القصد الجرمي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وعناصر إرادة الفعل المادي إرادة 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ذكرناه في الفصلين السابقين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والذي نلاحظه أن لا فرق بين أركان القتل العمد، إلا أن محل الجريمة في القانون هو الإنسان سواء أكانت نفسه معصومة أم لا مكافأة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المذاهب محل الجريمة إنسان ذا نفس معصومة ومكافئة للجاني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والركن الأول والثالث يتوافق عليه القانون مع المذاهب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فجريمة القتل العمد إذا وقعت على إنسان مرتد لا يصدق عليه قتل عمد عند المذاهب، ولكن يصدق عليه في القانون انه قتل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قتل المسلم ذمياً فانه وان صدق عليه انه ذا نفس معصومة إلا انه غير مكافئ للجاني، فالركن الثاني وهو محل الجريمة غير متوفر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القانون يصدق عليه أنه قتل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المترتبة نفس النتيجة المترتبة على التعريف، حيث إن القانون يصدق عنده القتل العمد سواء أكان القاتل مسلماً والمقتول ذمياً أم بالعكس، وسواء أكان مرتداً أم حربياً حراً أم عبداً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لي من خلال ذكر العقوبات البدلية أن القتل العمد يصدق إلا انه لا يوجب القصاص؛ ولذا تراهم يأمرون بالتعزير تارة، وبالدية أخرى، ومنع الإرث والوصية وما شابه ذلك،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محل الجريمة لجريمة القتل العمد الموجب للقصاص تختلف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عدم إيجاب القصاص، وإيجاب عقوبة أخرى هذا يعني بنظر القانون ظرفاً مخففاً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فالعقوبة البدلية هي ظرف مخفف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أستطيع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أركان الجريمة للقتل العمد هي متساوية، ولكن القتل الموجب للقصاص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مقارنة تطبيقات القتل العمد بين المذاهب الفقهية، وقانون العقوبات العراقي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صدق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عند المذاهب الفقهية أم في قانون العقوبات العراقي بتوافر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توفرت أركانه فيتحقق القتل العمد، وإذا </w:t>
      </w:r>
      <w:bookmarkStart w:id="64" w:name="pg9087_85093"/>
    </w:p>
    <w:p>
      <w:pPr>
        <w:pStyle w:val="BookText"/>
        <w:rPr/>
      </w:pPr>
      <w:bookmarkEnd w:id="64"/>
      <w:r>
        <w:rPr>
          <w:rFonts w:ascii="Amiri" w:hAnsi="Amiri" w:eastAsia="Amiri" w:cs="Amiri"/>
          <w:color w:val="111111"/>
          <w:sz w:val="28"/>
          <w:sz w:val="28"/>
          <w:szCs w:val="28"/>
          <w:rtl w:val="true"/>
          <w:lang w:bidi="ar-SA"/>
        </w:rPr>
        <w:t>تخلف ركن أو ركنان لا يتحقق، وبما إن الفرق بين أركان القتل العمد عند المذاهب يختلف عن أركان القتل العمد في قانون العقوبات العراقي، وخاصة محل الجريمة، فيمكن اتفاقهما في الركن المادي والمعنوي، ولكن هذا لا يحقق القتل العمد من دون محل الجريمة، ولكن بينا في السابق أن المقصود من القتل العمد عند المذاهب أنه الموجب للقصاص لا مطلقاً، وأما القانون فهو القتل العمد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سوف نتطرق إلى بعض الوسائل التي تحقق الركن المادي المتفق عليه بينهما، وبعض أنواع القتل الخاصة كالقتل برضا المجني عليه، والقتل بسبب شرعي، ونرى هل يتفقان أم لا؟</w:t>
      </w:r>
    </w:p>
    <w:p>
      <w:pPr>
        <w:pStyle w:val="Heading5"/>
        <w:numPr>
          <w:ilvl w:val="4"/>
          <w:numId w:val="1"/>
        </w:numPr>
        <w:rPr/>
      </w:pPr>
      <w:bookmarkStart w:id="65" w:name="__RefHeading___Toc2684141_2870459653"/>
      <w:bookmarkStart w:id="66" w:name="_Toc21"/>
      <w:bookmarkEnd w:id="65"/>
      <w:r>
        <w:rPr/>
        <w:t>1</w:t>
      </w:r>
      <w:r>
        <w:rPr>
          <w:rtl w:val="true"/>
        </w:rPr>
        <w:t xml:space="preserve">- </w:t>
      </w:r>
      <w:r>
        <w:rPr>
          <w:rtl w:val="true"/>
        </w:rPr>
        <w:t>القتل بالمحدد</w:t>
      </w:r>
      <w:bookmarkEnd w:id="66"/>
    </w:p>
    <w:p>
      <w:pPr>
        <w:pStyle w:val="BookText"/>
        <w:rPr/>
      </w:pPr>
      <w:r>
        <w:rPr>
          <w:rFonts w:ascii="Amiri" w:hAnsi="Amiri" w:eastAsia="Amiri" w:cs="Amiri"/>
          <w:color w:val="111111"/>
          <w:sz w:val="28"/>
          <w:sz w:val="28"/>
          <w:szCs w:val="28"/>
          <w:rtl w:val="true"/>
          <w:lang w:bidi="ar-SA"/>
        </w:rPr>
        <w:t>والمحدد هو كل آلة محددة جارحة أو طاعنة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مور في البدن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تفرق أجزاء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أن يكون المحدد من مادة معينة فيصح أن تكون من الحديد، أو النحاس، أو الرصاص، أو الذهب، أو الفضة، أو الزجاج، أو الخشب، أو القصب، أو العظم، أو غير ذلك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 والرمح والبندقية والسهم والقنبلة والسيف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المذاهب لا خلاف بينهم في أن هذه الوسيلة تعتبر دليلاً أول على قصد القتل، باعتباره وسيلة قاتلة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الركن الأول، فإذا توافر الركنان فهو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الفقه والقانون في ذلك، إلا أن الفرق هو كون الفاعل إذا كان مسلماً واستعملها لقتل مرتد يصدق القتل العمد عند المذاهب ويصدق في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والفاعل إذا كان مسلحاً واستعملها لقتل حربي يصدق القتل العمد عند المذاهب، ويصدق في القانون، ولكن لا مسؤولية عليه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المسؤولية في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الحر إذا استعملها لقتل العبد يصدق في الفقه وكذلك في القانون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الملاحظ أن صدقه هذا ليس للقتل العمد الموجب للقصاص، وإنما لغيره وبعقوبة بدلية</w:t>
      </w:r>
      <w:r>
        <w:rPr>
          <w:rFonts w:eastAsia="Amiri" w:cs="Amiri" w:ascii="Amiri" w:hAnsi="Amiri"/>
          <w:color w:val="111111"/>
          <w:sz w:val="28"/>
          <w:szCs w:val="28"/>
          <w:rtl w:val="true"/>
          <w:lang w:bidi="ar-SA"/>
        </w:rPr>
        <w:t xml:space="preserve">. </w:t>
      </w:r>
      <w:bookmarkStart w:id="67" w:name="pg9087_85094"/>
    </w:p>
    <w:p>
      <w:pPr>
        <w:pStyle w:val="BookText"/>
        <w:rPr/>
      </w:pPr>
      <w:bookmarkEnd w:id="67"/>
      <w:r>
        <w:rPr>
          <w:rFonts w:ascii="Amiri" w:hAnsi="Amiri" w:eastAsia="Amiri" w:cs="Amiri"/>
          <w:color w:val="111111"/>
          <w:sz w:val="28"/>
          <w:sz w:val="28"/>
          <w:szCs w:val="28"/>
          <w:rtl w:val="true"/>
          <w:lang w:bidi="ar-SA"/>
        </w:rPr>
        <w:t>فنقول يتفق الفقه والقانون على صدق القتل العمد بالمحدد، إلا أن الفقه بعض مصاديقه توجب القصاص، كما إذا قتل مسلم مسلماً آخر بالمحدد، وبعضها الآخر لا يوجب القصاص، كما إذا قتل المسلم ذمياً فإنه قتل عمد، ولكنه لا يوجب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يشبه بعض مصاديق القانون في القتل الموصوف بالظرف المشدد فيوجب الإعدام والقتل غير الموصوف بالظرف المشدد فيوجب السجن المؤبد أو المؤقت</w:t>
      </w:r>
      <w:r>
        <w:rPr>
          <w:rFonts w:eastAsia="Amiri" w:cs="Amiri" w:ascii="Amiri" w:hAnsi="Amiri"/>
          <w:color w:val="111111"/>
          <w:sz w:val="28"/>
          <w:szCs w:val="28"/>
          <w:rtl w:val="true"/>
          <w:lang w:bidi="ar-SA"/>
        </w:rPr>
        <w:t>.</w:t>
      </w:r>
    </w:p>
    <w:p>
      <w:pPr>
        <w:pStyle w:val="Heading5"/>
        <w:numPr>
          <w:ilvl w:val="4"/>
          <w:numId w:val="1"/>
        </w:numPr>
        <w:rPr/>
      </w:pPr>
      <w:bookmarkStart w:id="68" w:name="__RefHeading___Toc2684143_2870459653"/>
      <w:bookmarkStart w:id="69" w:name="_Toc22"/>
      <w:bookmarkEnd w:id="68"/>
      <w:r>
        <w:rPr/>
        <w:t>2</w:t>
      </w:r>
      <w:r>
        <w:rPr>
          <w:rtl w:val="true"/>
        </w:rPr>
        <w:t xml:space="preserve">- </w:t>
      </w:r>
      <w:r>
        <w:rPr>
          <w:rtl w:val="true"/>
        </w:rPr>
        <w:t>القتل بالمثقل</w:t>
      </w:r>
      <w:bookmarkEnd w:id="69"/>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له حد كالعصا أو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اختلف فيه الفقهاء فضلاً عن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فمالك يعده قتلاً عمداً سواء أكان هذا المثقل يقتل غالباً أم لا، مادام الفعل متعمداً على وجه العدوان لا على وجه اللعب والتأديب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الشافعي وأحمد أن الضرب بالمثقل إذا كان يقتل غالباً فهو قتل عمد إذا أدى إلى الموت كالعصا الغليظة، والحجر الكبير، وعمود الحديد ويلحق به ما يعمل عمله كإلقاء حائط، أو سقف، والإلقاء من شاهق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قتلاً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بمثقل صغير كحصا خفيفة، أو حجر صغير، أو لكزة يد في مقتل، أو في حال ضعف المضروب لمرض، أو صغر، أو حر مفرط، أو برد شديد ولو ضربه ضربة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يعد قاتلاً عمداً ولو لم يكن الضرب في مقتل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المضروب ضعيفاً، أو صغيراً في حالة تكرار الضرب؛ لأن تكرار الضرب وموالاته يقتل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لما تقدم من أن القاعدة في الفعل المادي عندهما هو أنه يقتل غالباً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أبو حنيفة فيرى القتل بالمثقل شبه عمد أياً كان المثقل ثقيلاً أو خفيفاً، لأنه يشترط أن تكون الآلة قاتلة غالباً، وان تكون معدة للقتل والمثقل وان كان يقتل غالباً إلا أنه غير معد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وعنده المثقل الحديد يعده قتلاً عمداً، لأنه </w:t>
      </w:r>
    </w:p>
    <w:p>
      <w:pPr>
        <w:pStyle w:val="BookText"/>
        <w:rPr/>
      </w:pPr>
      <w:r>
        <w:rPr>
          <w:rFonts w:ascii="Amiri" w:hAnsi="Amiri" w:eastAsia="Amiri" w:cs="Amiri"/>
          <w:color w:val="111111"/>
          <w:sz w:val="28"/>
          <w:sz w:val="28"/>
          <w:szCs w:val="28"/>
          <w:rtl w:val="true"/>
          <w:lang w:bidi="ar-SA"/>
        </w:rPr>
        <w:t>كالسلاح وكذلك يلحق ما في معناه كالنحاس وجعل حكمه حكم المحدد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في المثقل، إلا أن يكون قتله بالنار وعنه في مثقل الحديد روايتان</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الإمامية فعندهم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ضربه بآلة واستمر على ضربه بها حتى مات، أو شدد في الضرب بما لا يتحمله فمات، أو كان لا يتحمل أصل الضرب بعارض فيه فمات بأصل الضرب كل ذلك من العمد</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لصدق تعمد القتل في ذلك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يشترط الامامية في المثقل التكرار والاستمرار، وأما إذا ضربه ضربة واحدة قبل أن يتكلم فهو شبيه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ضربه بعود خفيف، أو رماه بحصاة فاتفق موته لم يتحقق العمد؛ لأنه لا يقتل عادة، هذا إذا لم يكن قاصداً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تحقق الركن الثالث عند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فالإمامية عندهم المثقل مع قصد القتل يتحقق به العمد، ومع عدم قصد القتل فإن كرر واستمر به فهو عمد، وان كان لا يقتل عادة ولم يقصد القتل فلا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الضرب بعصاً أو غيرها في مكان قاتل، وكان قاصداً للقتل فيتحقق العمد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والمثقل وان كان من الوسائل غير القاتلة بطبيعتها ولكن بظروف معينة كالتكرار والاستمرار بالضرب يمكن استظهار نية الجاني، ويمكن كون استعمال المثقل قتلاً عمداً، ولكن بتوفر أركانه وأهمها قصد القتل</w:t>
      </w:r>
      <w:r>
        <w:rPr>
          <w:rFonts w:eastAsia="Amiri" w:cs="Amiri" w:ascii="Amiri" w:hAnsi="Amiri"/>
          <w:color w:val="111111"/>
          <w:sz w:val="28"/>
          <w:szCs w:val="28"/>
          <w:rtl w:val="true"/>
          <w:lang w:bidi="ar-SA"/>
        </w:rPr>
        <w:t xml:space="preserve">. </w:t>
      </w:r>
      <w:bookmarkStart w:id="70" w:name="pg9087_85096"/>
    </w:p>
    <w:p>
      <w:pPr>
        <w:pStyle w:val="BookText"/>
        <w:rPr/>
      </w:pPr>
      <w:bookmarkEnd w:id="70"/>
      <w:r>
        <w:rPr>
          <w:rFonts w:ascii="Amiri" w:hAnsi="Amiri" w:eastAsia="Amiri" w:cs="Amiri"/>
          <w:color w:val="111111"/>
          <w:sz w:val="28"/>
          <w:sz w:val="28"/>
          <w:szCs w:val="28"/>
          <w:rtl w:val="true"/>
          <w:lang w:bidi="ar-SA"/>
        </w:rPr>
        <w:t xml:space="preserve">ويقول بعض الشرّاح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يتخذ الجاني وسيلة غير قاتلة بطبيعتها، ولكنها تؤدي إلى الموت بحسب استعمالها كالضرب بعصا، أو الضرب على الوجه أو بالحصى الصغيرة</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فالمثقل يثبت القتل العمد، وهنا يتفق الفقه والقانون فيه بخلاف أبي حنيفة حيث إنه شبه عمد عنده إلا بعض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اختلاف بين ما تذهب إليه المذاهب الفقهية وقانون العقوبات العراقي بحسب ما ذكره الشرّاح في ذلك، إلا أن الاختلاف بالتأكيد يكون من جهة العقوبة كما سيأتي</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684145_2870459653"/>
      <w:bookmarkStart w:id="72" w:name="_Toc23"/>
      <w:bookmarkEnd w:id="71"/>
      <w:r>
        <w:rPr/>
        <w:t>3</w:t>
      </w:r>
      <w:r>
        <w:rPr>
          <w:rtl w:val="true"/>
        </w:rPr>
        <w:t xml:space="preserve">- </w:t>
      </w:r>
      <w:r>
        <w:rPr>
          <w:rtl w:val="true"/>
        </w:rPr>
        <w:t>الإلقاء في مهلكة</w:t>
      </w:r>
      <w:bookmarkEnd w:id="72"/>
    </w:p>
    <w:p>
      <w:pPr>
        <w:pStyle w:val="BookText"/>
        <w:rPr/>
      </w:pPr>
      <w:r>
        <w:rPr>
          <w:rFonts w:ascii="Amiri" w:hAnsi="Amiri" w:eastAsia="Amiri" w:cs="Amiri"/>
          <w:color w:val="111111"/>
          <w:sz w:val="28"/>
          <w:sz w:val="28"/>
          <w:szCs w:val="28"/>
          <w:rtl w:val="true"/>
          <w:lang w:bidi="ar-SA"/>
        </w:rPr>
        <w:t>كأن يجمع بينه وبين أسد أو ينهشه كلب أو سبع أو حية أو يلسعه 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يذهب أحمد إلى أنه إذا فعل به السبع فعلاً يقتل مثله فهو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كتفه وألقاه فهو عمد أيضاً، وكذا الحيّات أو العقارب فإذا كان الفعل يقتل غالباً فهو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والشافعي عنده إذا كان السبع ضارياً فهو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عنده أنه عمد على كل حال مادام بقصد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حنيفة عنده شبه عمد على كل حال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الإمامية فيقول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ألقاه في منجم فحم مهلك، أو في حقل كهربائي خطر، أو في محل فيه حية قتاله، أو سبع كذلك، أو نحوها من المهالك فان أمكنه الخلاص أو الفرار ولم يفر أو لم يتخلص تكاسلاً فلا عمد عليه، وإلا إذا لم يستطع التخلص ولم يمكنه الفرار فهو عمد</w:t>
      </w:r>
      <w:r>
        <w:rPr>
          <w:rFonts w:eastAsia="Amiri" w:cs="Amiri" w:ascii="Amiri" w:hAnsi="Amiri"/>
          <w:color w:val="111111"/>
          <w:sz w:val="28"/>
          <w:szCs w:val="28"/>
          <w:rtl w:val="true"/>
          <w:lang w:bidi="ar-SA"/>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73" w:name="pg9087_85097"/>
    </w:p>
    <w:p>
      <w:pPr>
        <w:pStyle w:val="BookText"/>
        <w:rPr/>
      </w:pPr>
      <w:bookmarkEnd w:id="73"/>
      <w:r>
        <w:rPr>
          <w:rFonts w:ascii="Amiri" w:hAnsi="Amiri" w:eastAsia="Amiri" w:cs="Amiri"/>
          <w:color w:val="111111"/>
          <w:sz w:val="28"/>
          <w:sz w:val="28"/>
          <w:szCs w:val="28"/>
          <w:rtl w:val="true"/>
          <w:lang w:bidi="ar-SA"/>
        </w:rPr>
        <w:t>وبهذا يكون أحمد والشافعي ومالك والامامية يقيدونه بعدم إمكان التخلص، فيعد قتلاً عمداً بخلاف أبي حنيفة، فما هو رأي القانون العراقي؟</w:t>
      </w:r>
    </w:p>
    <w:p>
      <w:pPr>
        <w:pStyle w:val="BookText"/>
        <w:rPr/>
      </w:pPr>
      <w:r>
        <w:rPr>
          <w:rFonts w:ascii="Amiri" w:hAnsi="Amiri" w:eastAsia="Amiri" w:cs="Amiri"/>
          <w:color w:val="111111"/>
          <w:sz w:val="28"/>
          <w:sz w:val="28"/>
          <w:szCs w:val="28"/>
          <w:rtl w:val="true"/>
          <w:lang w:bidi="ar-SA"/>
        </w:rPr>
        <w:t>لم أجد من يذكر الإلقاء في مهلكة ولكن يمكننا من خلال ما ذكره الفقهاء</w:t>
      </w:r>
    </w:p>
    <w:p>
      <w:pPr>
        <w:pStyle w:val="BookText"/>
        <w:rPr/>
      </w:pPr>
      <w:r>
        <w:rPr>
          <w:rFonts w:ascii="Amiri" w:hAnsi="Amiri" w:eastAsia="Amiri" w:cs="Amiri"/>
          <w:color w:val="111111"/>
          <w:sz w:val="28"/>
          <w:sz w:val="28"/>
          <w:szCs w:val="28"/>
          <w:rtl w:val="true"/>
          <w:lang w:bidi="ar-SA"/>
        </w:rPr>
        <w:t>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مما يقتل غالباً، خاصة إذا لم يستطع التخلص، فنقول إنه من الوسائل القاتلة بطبيعتها أو مما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تحقق كونه كذلك وحصلت الوفاة بسببه وأثبتنا علاقة السببية فهو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احد الشرّاح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قد تكون وسيلة القتل غير مادية، بل معنوية صرفة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أمور تكفي لقيام الجريمة على أرجح الآراء متى ما ثبت قصد القتل ورابطة السببية بين الفعل والموت</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فالقانون إذاً يجعله قتلاً عمداً كما عليه الفقه ما عدا أبا حنيفة حيث جعله شبه عمد فلا خلاف بين الفقه والقانون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قرار الحكم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القانون يعتبر الخوف من هذه الأمور قتلاً عمداً فسببه أولى</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2684147_2870459653"/>
      <w:bookmarkStart w:id="75" w:name="_Toc24"/>
      <w:bookmarkEnd w:id="74"/>
      <w:r>
        <w:rPr/>
        <w:t>4</w:t>
      </w:r>
      <w:r>
        <w:rPr>
          <w:rtl w:val="true"/>
        </w:rPr>
        <w:t xml:space="preserve">- </w:t>
      </w:r>
      <w:r>
        <w:rPr>
          <w:rtl w:val="true"/>
        </w:rPr>
        <w:t>الإغراق والإحراق</w:t>
      </w:r>
      <w:bookmarkEnd w:id="75"/>
    </w:p>
    <w:p>
      <w:pPr>
        <w:pStyle w:val="BookText"/>
        <w:rPr/>
      </w:pPr>
      <w:r>
        <w:rPr>
          <w:rFonts w:ascii="Amiri" w:hAnsi="Amiri" w:eastAsia="Amiri" w:cs="Amiri"/>
          <w:color w:val="111111"/>
          <w:sz w:val="28"/>
          <w:sz w:val="28"/>
          <w:szCs w:val="28"/>
          <w:rtl w:val="true"/>
          <w:lang w:bidi="ar-SA"/>
        </w:rPr>
        <w:t>وهما الإلقاء في الماء سواء كان بحراً أم نهراً أم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والإلقاء في النار سواء كانت صغيرة أم كبيرة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الفقه يرتكز صدق القتل العمد بهذه الأمور على كونه متمكناً من التخلص أم لا؟ فان كان متمكناً من التخلص فقد أعان على نفسه فلا مسؤولية على الجاني، وإلا فهو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تمكنه من التخلص إما لأنه كتّفه وألقاه، أو أعجزه عن الخروج منها، أو منعه الجاني من الخروج أو كونه في حفرة لا يمكنه الخروج منها أو بئر عميق فإن أدى هذا الفعل إلى الموت فهو عمد، لأنه يقتل غالباً وهذا ما عليه الشافعي وأحمد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والإمامية كذلك، حيث يقول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طرحه في النار، أو ألقاه في البحر، فأعجزه عن الخروج حتى مات، أو منعه عن ذلك فمات، قتل به، لصدق التعمد إلى قتله بذلك فيشمله إطلاق أدلة القتل العمدي</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مالك فعنده الإغراق والإحراق قتل عمد دائماً سواء أكان الفعل مهلكاً غالباً أم لا، مادام الفعل قد أدى إلى الموت ولم يكن على وجه اللعب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حنيفة </w:t>
      </w:r>
      <w:r>
        <w:rPr>
          <w:rStyle w:val="FootnoteAnchor"/>
          <w:rtl w:val="true"/>
        </w:rPr>
        <w:footnoteReference w:id="107"/>
      </w:r>
      <w:r>
        <w:rPr>
          <w:rFonts w:ascii="Amiri" w:hAnsi="Amiri" w:eastAsia="Amiri" w:cs="Amiri"/>
          <w:color w:val="111111"/>
          <w:sz w:val="28"/>
          <w:sz w:val="28"/>
          <w:szCs w:val="28"/>
          <w:rtl w:val="true"/>
          <w:lang w:bidi="ar-SA"/>
        </w:rPr>
        <w:t>فانه يفرق بين الإغراق والإحراق وذلك لأنه يلحق الإحراق بالسلاح إذ يعمل فيفرق أجزاء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فالنار معدة للقتل فإن كانت تقتل غالباً فالفعل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لا تهلك غالباً فالفعل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ويلحقه كذلك الماء المغلي والأشياء المصهورة والوضع في الفرن المحمي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الإغراق فلا يعده أبو حنيفة معداً للقتل فهو شبه عمد لا عمد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يكون الإغراق والإحراق قتل عمد عند الشافعي وأحمد والإمامية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الثلاثة ومالك هو أنهم يقيدونهما بعدم إمكان التخلص، وأما مالك فيجعل كل الصور قتل عمد، وأما أبو حنيفة فعنده الإحراق قتل عمد ويلحق به ما ذكر والإغراق شبه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قانون العقوبات العراقي فيعد الإلقاء في الماء أو في النار من الوسائل القاتلة بطبيعتها يقول بعض الشرّاح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ما يكون قاتلاً 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الإلقاء في الماء</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يحصل بوسيلة قاتلة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أوالإلقاء في اليم</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76" w:name="pg9087_85099"/>
    </w:p>
    <w:p>
      <w:pPr>
        <w:pStyle w:val="BookText"/>
        <w:rPr/>
      </w:pPr>
      <w:bookmarkEnd w:id="76"/>
      <w:r>
        <w:rPr>
          <w:rFonts w:ascii="Amiri" w:hAnsi="Amiri" w:eastAsia="Amiri" w:cs="Amiri"/>
          <w:color w:val="111111"/>
          <w:sz w:val="28"/>
          <w:sz w:val="28"/>
          <w:szCs w:val="28"/>
          <w:rtl w:val="true"/>
          <w:lang w:bidi="ar-SA"/>
        </w:rPr>
        <w:t>وبما أنهما كذلك فيعدان دليلاً أولاً على قصد القتل فهو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جميع صوره ما دام قصد القتل متوفراً، واستناد الوفاة إليهما سواء كان المجني عليه يمكنه التخلص أم لا؟</w:t>
      </w:r>
    </w:p>
    <w:p>
      <w:pPr>
        <w:pStyle w:val="BookText"/>
        <w:rPr/>
      </w:pPr>
      <w:r>
        <w:rPr>
          <w:rFonts w:ascii="Amiri" w:hAnsi="Amiri" w:eastAsia="Amiri" w:cs="Amiri"/>
          <w:color w:val="111111"/>
          <w:sz w:val="28"/>
          <w:sz w:val="28"/>
          <w:szCs w:val="28"/>
          <w:rtl w:val="true"/>
          <w:lang w:bidi="ar-SA"/>
        </w:rPr>
        <w:t>وبهذا لا يختلف القانون العراقي من جهة صدق القتل العمد بهاتين الوسيلتين عن الفقه، إلا أن الفقه يقيدهما بعدم إمكان التخلص والقانون يطلق</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2684149_2870459653"/>
      <w:bookmarkStart w:id="78" w:name="_Toc25"/>
      <w:bookmarkEnd w:id="77"/>
      <w:r>
        <w:rPr/>
        <w:t>5</w:t>
      </w:r>
      <w:r>
        <w:rPr>
          <w:rtl w:val="true"/>
        </w:rPr>
        <w:t xml:space="preserve">- </w:t>
      </w:r>
      <w:r>
        <w:rPr>
          <w:rtl w:val="true"/>
        </w:rPr>
        <w:t>الخنق</w:t>
      </w:r>
      <w:bookmarkEnd w:id="78"/>
    </w:p>
    <w:p>
      <w:pPr>
        <w:pStyle w:val="BookText"/>
        <w:rPr/>
      </w:pPr>
      <w:r>
        <w:rPr>
          <w:rFonts w:ascii="Amiri" w:hAnsi="Amiri" w:eastAsia="Amiri" w:cs="Amiri"/>
          <w:color w:val="111111"/>
          <w:sz w:val="28"/>
          <w:sz w:val="28"/>
          <w:szCs w:val="28"/>
          <w:rtl w:val="true"/>
          <w:lang w:bidi="ar-SA"/>
        </w:rPr>
        <w:t>ويقصد به منع خروج النفس بأي وسيلة سواء أشنق الجاني المجني عليه بحبل أم خنقه بيده، أو بحبل أو غمه بوسادة، أو بأي شيء وضعه على فيه وانفه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الشافعي وأحمد يذهبان إلى إن هذا الفعل إذا كان في مدة يموت في مثلها فهو قتل عمد،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يقتل غالباً، وإذا كان في مدة لا يموت بمثلها فهو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خنقه وتركه متألماً حتى مات فهو عمد، أما إذا تنفس وصح بعد ذلك ثم مات فلا يسأل الجاني عن الموت لأنه لم يكن من الخنق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مالك فعنده الخنق قتل عمد في كل الأحوال ما دام قد وقع بقصد العدوان، ولم يكن على وجه اللعب والمزاح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 حنيفة فيعد الخنق في كل الأحوال قتلاً شبه عمد؛ لان هذه الوسيلة عنده غير معدة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الإمامية فقد 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القبيل ما إذا خنقه بحبل ولم يرخه عنه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الموارد وأشباهها داخلة في القتل العمدي</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وملاك العمد في القتل هو إيجاد عمل يقصد به القتل، أو يترتب عليه الموت غالباً وهو متحقق في جميع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فالخنق عندهم مما يقتل غالباً فهو قتل عمدي</w:t>
      </w:r>
      <w:r>
        <w:rPr>
          <w:rFonts w:eastAsia="Amiri" w:cs="Amiri" w:ascii="Amiri" w:hAnsi="Amiri"/>
          <w:color w:val="111111"/>
          <w:sz w:val="28"/>
          <w:szCs w:val="28"/>
          <w:rtl w:val="true"/>
          <w:lang w:bidi="ar-SA"/>
        </w:rPr>
        <w:t xml:space="preserve">. </w:t>
      </w:r>
      <w:bookmarkStart w:id="79" w:name="pg9087_85100"/>
    </w:p>
    <w:p>
      <w:pPr>
        <w:pStyle w:val="BookText"/>
        <w:rPr/>
      </w:pPr>
      <w:bookmarkEnd w:id="79"/>
      <w:r>
        <w:rPr>
          <w:rFonts w:ascii="Amiri" w:hAnsi="Amiri" w:eastAsia="Amiri" w:cs="Amiri"/>
          <w:color w:val="111111"/>
          <w:sz w:val="28"/>
          <w:sz w:val="28"/>
          <w:szCs w:val="28"/>
          <w:rtl w:val="true"/>
          <w:lang w:bidi="ar-SA"/>
        </w:rPr>
        <w:t xml:space="preserve">ويقول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خنقه بحبل ولم يرفعه عنه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من الأسباب المتلفة كل ذلك من العمد يكون فيها القود، ولا فرق في ذلك كله بين إن مات بنفس هذا العمل بلا تخلل زمان، أو مات موتاً مستنداً إليه وذلك لأنه قصد فعلاً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 من العمد ويصدق استناد الموت</w:t>
      </w:r>
    </w:p>
    <w:p>
      <w:pPr>
        <w:pStyle w:val="BookText"/>
        <w:rPr/>
      </w:pPr>
      <w:r>
        <w:rPr>
          <w:rFonts w:ascii="Amiri" w:hAnsi="Amiri" w:eastAsia="Amiri" w:cs="Amiri"/>
          <w:color w:val="111111"/>
          <w:sz w:val="28"/>
          <w:sz w:val="28"/>
          <w:szCs w:val="28"/>
          <w:rtl w:val="true"/>
          <w:lang w:bidi="ar-SA"/>
        </w:rPr>
        <w:t>إلى فعله عرفاً مع كون الفعل مما يقتل وان تخلل زمان به غالباً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وتفترق الإمامية عن الشافعي وأحمد بكون ما يتخلله الزمان قتلاً عمداً وكذا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 الجميع أبو حنيفة حيث يعد الخنق قتلاً شبه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فالخنق فيه من الوسائل القاتلة بطبيعتها كما يعده الشرّاح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ما يكون قاتلاً بطبيعته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الخنق</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كذلك فهو دليل أول على قصد القتل في القانون، فيتحقق به القتل العمد، ولكن إذا لم يستند القتل إلى الخنق، كما إذا تخلله زمن ومات بسبب آخر فهو ليس بعمد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ظاهر من اشتراط السببية بين الفعل والوفاة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يتفق مع مالك والشافعي وأحمد والإمامية ولكنه يختلف في مسألة تخلل الزمان مع الامامية في صدق القتل العمد</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684151_2870459653"/>
      <w:bookmarkStart w:id="81" w:name="_Toc26"/>
      <w:bookmarkEnd w:id="80"/>
      <w:r>
        <w:rPr/>
        <w:t>6</w:t>
      </w:r>
      <w:r>
        <w:rPr>
          <w:rtl w:val="true"/>
        </w:rPr>
        <w:t xml:space="preserve">- </w:t>
      </w:r>
      <w:r>
        <w:rPr>
          <w:rtl w:val="true"/>
        </w:rPr>
        <w:t>الحبس ومنع الطعام والشراب</w:t>
      </w:r>
      <w:bookmarkEnd w:id="8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الشافعي وأحمد يعدانهما قتلاً عمداً، ولكن إذا مات المحبوس في مدة يموت في مثلها غالباً وهذا يختلف باختلاف الناس والأزمنة والأحوال، فإذا منع عنه الماء في شدة الحر مات عطشاً في الزمن القليل وان كان الوقت بارداً أو معتدلاً </w:t>
      </w:r>
    </w:p>
    <w:p>
      <w:pPr>
        <w:pStyle w:val="BookText"/>
        <w:rPr/>
      </w:pPr>
      <w:r>
        <w:rPr>
          <w:rFonts w:ascii="Amiri" w:hAnsi="Amiri" w:eastAsia="Amiri" w:cs="Amiri"/>
          <w:color w:val="111111"/>
          <w:sz w:val="28"/>
          <w:sz w:val="28"/>
          <w:szCs w:val="28"/>
          <w:rtl w:val="true"/>
          <w:lang w:bidi="ar-SA"/>
        </w:rPr>
        <w:t>لم يمت إلا في الزمن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والكبير يتحمل أكثر من الصغير والمتقشف قد يصير اكد من المرفه فتراعى هذه الاعتبارات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مات في مدة لا يموت في مثلها غالباً فهو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ما لو عزله أو منعه عن الاستظلال حتى قتله البرد أو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كان به جوع أو عطش سابق على حبسه وعلم السجان بذلك فالقتل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الغرض أن مجموع المدتين بلغ المدة القاتلة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لم يعلم السجان ففي المسألة رأيان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قتل عمد، لأن الحبس أهلك المحبوس فهو كما لو ضرب المريض ضرباً يهلكه دون الصحيح وهو جاهل بمرضه فانه يسأل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يعده قتلاً شبه عمد لانتفاء قصد الإهلاك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الفاعل لم يأتِ بفعل مهلك، أي إن المدة التي حبس فيها الجاني المجني عليه لا تهلك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مالك فإنه يعد هذا الفعل قتلاً عمداً في كل حال ما دام قد صدر على وجه 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 فلا يرى أنه قتل عمد ولا غيره، لأن الموت حصل بالجوع والعطش لا بالحبس والجاني لم يفعل إلا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حبسه في مكان ومنع عنه الطعام والشراب حتى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الموارد وأشباهها داخلة في القتل العمدي</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وملاك العمد في القتل هو إيجاد عمل يقصد به القتل، أو يترتب عليه الموت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متحقق في جميع هذه الموارد ويقول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منعه عن الطعام والشراب مدة لا يتحمل مثله فيها عن ذلك عادة فمات فهو عمد</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وان كان يتحمل مثله عادة لذلك فمات، أو أعقبه مرض فمات به فإن قصد الجاني القتل به ولو رجاءً يكون عمداً، وإلا فهو شبه عمد، لصدق تعمد القتل عرفاً مضافاً لظهور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الجريمة عمدية إذا توافر القصد الجرمي لدى فاعلها، وتعد الجريمة عمدية كذلك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القانون أو الاتفاق واجباً على شخص وامتنع</w:t>
      </w:r>
    </w:p>
    <w:p>
      <w:pPr>
        <w:pStyle w:val="BookText"/>
        <w:rPr/>
      </w:pPr>
      <w:r>
        <w:rPr>
          <w:rFonts w:ascii="Amiri" w:hAnsi="Amiri" w:eastAsia="Amiri" w:cs="Amiri"/>
          <w:color w:val="111111"/>
          <w:sz w:val="28"/>
          <w:sz w:val="28"/>
          <w:szCs w:val="28"/>
          <w:rtl w:val="true"/>
          <w:lang w:bidi="ar-SA"/>
        </w:rPr>
        <w:t>عن أدائه قاصداً إحداث الجريمة التي نشأت مباشرة عن هذا الامتناع</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يبيّن حكم القتل بالترك أو الامتناع عند المشرع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الشرّاح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فالسجّان الذي يمتنع عن تقديم الطعام إلى السجين بقصد قتله فيموت جوعاً يعتبر قاتلاً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النص أنه سواء أكان السجّان موظفاً بالدولة، وكون الإطعام واجباً عليه أو ليس كذلك، بل يفرض إطعامه الاتفاق كما يفرضه العرف إن من حبس شخصاً فعليه إطعامه واشرابه</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يتفق المشرع العراقي على كون هذا الأمر من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يختلف عنهم في الشروط؛ فالقانون يشترط كون الطعام والشراب واجباً على الممتنع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هذا الواجب قد فرضه القانون كالموظفين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العرف حيث عبر عنهما بالاتفاق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فإن كان ذلك ليس من واجبه لا قانوناً ولا شرعاً ولا عرفاً؛ فلا قتل عمد عليه في حين أن المذاهب لا تشترط ذلك بل تشترط كون المدة التي منعه فيها الطعام والشراب تقتل مثلها غالباً كما ذهب أحمد والشافعي والإمامية، وأما مالك فإنه يحكم بأنه قتل عمد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يذهب أبو حنيفة إلى عدم مسؤوليته عن ذلك أصلاً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فالخلاف يكون في صدق القتل العمد من ناحية شرطه وتعليقه؛ وبهذا </w:t>
      </w:r>
      <w:bookmarkStart w:id="82" w:name="pg9087_85103"/>
    </w:p>
    <w:p>
      <w:pPr>
        <w:pStyle w:val="BookText"/>
        <w:rPr/>
      </w:pPr>
      <w:bookmarkEnd w:id="82"/>
      <w:r>
        <w:rPr>
          <w:rFonts w:ascii="Amiri" w:hAnsi="Amiri" w:eastAsia="Amiri" w:cs="Amiri"/>
          <w:color w:val="111111"/>
          <w:sz w:val="28"/>
          <w:sz w:val="28"/>
          <w:szCs w:val="28"/>
          <w:rtl w:val="true"/>
          <w:lang w:bidi="ar-SA"/>
        </w:rPr>
        <w:t>تكون المسؤولية على الجاني، ويكون سبباً للوفاة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توفر القصد الجنائي وعلاقة السببية فنحن أمام جريمة قتل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الأم</w:t>
      </w:r>
      <w:r>
        <w:rPr>
          <w:rStyle w:val="FootnoteAnchor"/>
          <w:rtl w:val="true"/>
        </w:rPr>
        <w:footnoteReference w:id="117"/>
      </w:r>
      <w:r>
        <w:rPr>
          <w:rFonts w:ascii="Amiri" w:hAnsi="Amiri" w:eastAsia="Amiri" w:cs="Amiri"/>
          <w:color w:val="111111"/>
          <w:sz w:val="28"/>
          <w:sz w:val="28"/>
          <w:szCs w:val="28"/>
          <w:rtl w:val="true"/>
          <w:lang w:bidi="ar-SA"/>
        </w:rPr>
        <w:t>التي تمتنع عن إطعام وليدها التي تقصد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قتل بالامتناع</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2684153_2870459653"/>
      <w:bookmarkStart w:id="84" w:name="_Toc27"/>
      <w:bookmarkEnd w:id="83"/>
      <w:r>
        <w:rPr/>
        <w:t>7</w:t>
      </w:r>
      <w:r>
        <w:rPr>
          <w:rtl w:val="true"/>
        </w:rPr>
        <w:t xml:space="preserve">- </w:t>
      </w:r>
      <w:r>
        <w:rPr>
          <w:rtl w:val="true"/>
        </w:rPr>
        <w:t>التسميم</w:t>
      </w:r>
      <w:bookmarkEnd w:id="84"/>
    </w:p>
    <w:p>
      <w:pPr>
        <w:pStyle w:val="BookText"/>
        <w:rPr/>
      </w:pPr>
      <w:r>
        <w:rPr>
          <w:rFonts w:ascii="Amiri" w:hAnsi="Amiri" w:eastAsia="Amiri" w:cs="Amiri"/>
          <w:color w:val="111111"/>
          <w:sz w:val="28"/>
          <w:sz w:val="28"/>
          <w:szCs w:val="28"/>
          <w:rtl w:val="true"/>
          <w:lang w:bidi="ar-SA"/>
        </w:rPr>
        <w:t>لا يخصص فقهاء الشريعة فصلاً خاصاً للتسميم مكتفين بتطبيق القواعد العامة على هذا النوع من وسائل القتل، بخلاف النصوص القانونية التي تخصص فصلاً خاصاً بالتسميم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هو أن الفقهاء طبقاً لأحكام الشريعة يرون عقوبة التسميم ونحوه من الأمور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اختلاف عندهم بين التسميم وغيره، ولذا لا يخصصون فصلاً خاصاً به بخلاف القانون، فيعده ظرفاً مشدداً وتختلف عقوبته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الفرق الأول بين الفقه والقانون من ناحية التسميم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يصدق عليه القتل العمد أم لا؟</w:t>
      </w:r>
    </w:p>
    <w:p>
      <w:pPr>
        <w:pStyle w:val="BookText"/>
        <w:rPr/>
      </w:pPr>
      <w:r>
        <w:rPr>
          <w:rFonts w:ascii="Amiri" w:hAnsi="Amiri" w:eastAsia="Amiri" w:cs="Amiri"/>
          <w:color w:val="111111"/>
          <w:sz w:val="28"/>
          <w:sz w:val="28"/>
          <w:szCs w:val="28"/>
          <w:rtl w:val="true"/>
          <w:lang w:bidi="ar-SA"/>
        </w:rPr>
        <w:t>فيرى مالك أن القتل بالسم قتل عمد في كل حال، سواء أكانت المادة سامة كثيراً أم قليلاً، وسواء أكانت تقتل غالباً أم كثيراً أم نادراً ما دام الجاني قد نوى قتل المجني عليه بهذه الوسيلة، وما دام المجني عليه قد مات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عنده بين تقديم الطعام أو الشراب أو اللباس المسموم بنفسه للمجني عليه، أو بواسطة آخر، أو وضعه في طعامه أو شرابه أو لباسه دون أن يقدمه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قاتل عمداً في كل حال، إلا في صورة علم المجني عليه بأن الطعام أو الشراب مسموم ثم تناوله مع علمه فهو القاتل لنفسه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أحمد أن الجاني إذا سقى المجني عليه السم كرهاً، أو خلطه بطعامه، أو شرابه فأكله دون أن يعلم بأنه سم فالجاني مسؤول عن القتل العمد إذا كان </w:t>
      </w:r>
    </w:p>
    <w:p>
      <w:pPr>
        <w:pStyle w:val="BookText"/>
        <w:rPr/>
      </w:pPr>
      <w:r>
        <w:rPr>
          <w:rFonts w:ascii="Amiri" w:hAnsi="Amiri" w:eastAsia="Amiri" w:cs="Amiri"/>
          <w:color w:val="111111"/>
          <w:sz w:val="28"/>
          <w:sz w:val="28"/>
          <w:szCs w:val="28"/>
          <w:rtl w:val="true"/>
          <w:lang w:bidi="ar-SA"/>
        </w:rPr>
        <w:t>السم مما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السم مما لا يقتل غالباً فهو شبه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خلط الجاني السم بطعام نفسه، فدخل إنسان منزله دون أذنه واكله فلا مسؤولية على صاحب المنزل، وإذا دخل المنزل بأذنه وأكل الطعام المسموم دون إذنه فالحكم 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ويتفق الشافعي مع أحمد في حالة 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سقى الجاني المجني عليه السم كرهاً فهو قاتل عمداً إذا كان السم مما يقتل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يقتل غالباً فهو شبه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لو أكرهه إنسان على أن يشرب السم بشرط أن لا يعلم بأنه 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الشافعي مع أحمد فيما عدا ذلك، أي في حالة تقديم الطعام المسموم للمجني عليه، أو وضع السم في شرابه، أو طعامه فيرى أن الطعام المسموم أو الشراب المسموم إذا قدم 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الضيف صبياً غير مميز أو مجنوناً أو أعجمياً يرى طاعة المضيف، وكان السم مما يقتل غالباً فهو قتل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مما يقتل غالباً فالقتل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الضيف بالغاً عاقلاً فيرى البعض أن الجاني قاتل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يقتل غالباً؛ فهو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اختلاف الروايات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 فهو لا يعد تقديم الطعام والشراب المسموم للمجني عليه، أو دسه في طعامه وشرابه قتلاً عمداً، ولو أكله المجني عليه أو شربه جاهلاً بأنه مسموم وعندهم أن المجني عليه هو الذي قتل نفسه بتناول المادة المسممة، ولكن الجاني يعزر لأنه غرر 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أوجر الجاني المجني عليه السم إيجاراً، أو ناوله له وأكرهه على شربه حتى شرب، فالفعل قتل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السم يقتل غالباً فالفعل قتل عمد؛ لأن السم إذا كان يقتل غالباً فهو باستعماله معد للقتل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لا يقتل غالباً؛ فالفعل شبه 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الإمامية فيقول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 إلى أحد طعاماً مسموماً يقتل مثله غالباً، أو قصد به القتل وجهل الآكل به فأكل فمات فعليه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أثر للمباشرة،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مباشرة المجني عليه بنفسه للأكل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هذه المباشرة لا أثر لها لسقوط أثرها بالغرر الذي غرر به الجاني، سواء خلطه بطعام نفسه وقدمه إليه، أو أهداه إليه، أو خلطه بطعام الآكل بلا فرق في ذلك بين كون الآكل مميزاً أو غير مميز لتحقق التسبيب إلى القتل العمد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قدم إليه طعاماً أو شراباً مسموماً، مع العلم بأنه قاتل فأكله متعمداً</w:t>
      </w:r>
    </w:p>
    <w:p>
      <w:pPr>
        <w:pStyle w:val="BookText"/>
        <w:rPr/>
      </w:pPr>
      <w:r>
        <w:rPr>
          <w:rFonts w:ascii="Amiri" w:hAnsi="Amiri" w:eastAsia="Amiri" w:cs="Amiri"/>
          <w:color w:val="111111"/>
          <w:sz w:val="28"/>
          <w:sz w:val="28"/>
          <w:szCs w:val="28"/>
          <w:rtl w:val="true"/>
          <w:lang w:bidi="ar-SA"/>
        </w:rPr>
        <w:t>واختياراً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قود ولا دية، لأنه أقدم على قتل نفسه، ولو قال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سماً غير قاتل، أو فيه علاج بكذا فأكله فمات يكون عليه القود؛ لتحقق التسبيب إلى القتل واقعاً وسقوط المباشرة بالغرر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سم وأطلق، فأكله ومات؛ فلا قود ولا دية؛ لاستناد الموت إلى المباشر وهو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قدم إليه طعاماً فيه سم غير قاتل غالباً، ولكنه قصد القتل ولو احتمالاً فهو عمد وفيه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 الآكل به ولو لم يقصد القتل فلا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سمه باعتقاد أنه مهدور الدم ومات، فبان الخلاف ليس فيه قود، بل فيه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السم في طعام صاحب المنزل بقصد أن يقتله بذلك، فأكله صاحب المنزل جاهلاً فمات يكون فيه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جعل السم في الطعام بقصد قتل الحيوانات المؤذية من كلب أو فارة أو غيرهما وكان صاحب المنزل يأكله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يكن كذلك، أو لم يكن يقصد قتل صاحب المنزل ولو رجاءً فأكله فمات فلا قود ولا دية؛ لقوة المباشرة على السبب عرفاً ولو كان في بيته طعام مسموم فدخل عليه شخص عدواناً فأكل منه ومات فلا قود ولا دية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كان مأذوناً في أصل دخول الدار ولم يكن مأذوناً في أكل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فالإمامية ميزت بين علم الآكل وجهله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تميز بين المميز وغير المميز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وميزت بين قول الجاني إن فيه سماً غير قاتل، وبين قوله فيه سم أي بين علم المجني عليه </w:t>
      </w:r>
    </w:p>
    <w:p>
      <w:pPr>
        <w:pStyle w:val="BookText"/>
        <w:rPr/>
      </w:pPr>
      <w:r>
        <w:rPr>
          <w:rFonts w:ascii="Amiri" w:hAnsi="Amiri" w:eastAsia="Amiri" w:cs="Amiri"/>
          <w:color w:val="111111"/>
          <w:sz w:val="28"/>
          <w:sz w:val="28"/>
          <w:szCs w:val="28"/>
          <w:rtl w:val="true"/>
          <w:lang w:bidi="ar-SA"/>
        </w:rPr>
        <w:t>بأوصاف السم وإطلاقه وذلك لكون الجاني غرر بالمجني عليه بقوله غير 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تعد الإمامية وضع السم غير القاتل مع قصد القتل ولو احتمالاً قتل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ما لو جهل الآكل به ولم يقصد الجاني القتل فلا قود لأنه ليس 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 بين الإذن بالأكل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نرى أن مالك يعده قتلاً عمداً، عدا صورة واحدة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المجني عليه؛ فيكون قاتلاً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ونرى أحمد يميز بين كون السم قاتلاً غالباً أم غير قاتل غالباً، ويميز بين العلم والجهل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وميز بين إن يكون الأكل بإذن الجاني وعدمه فيكون موافقاً للامامية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والشافعي يتفق مع أحمد في الإكراه، وكذلك يميز بين كون السم يقتل غالباً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ويميز بين كون الآكل مميزاً وبالغاً أم غير مميز وبين المجنون وغيره والأعجمي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حنيفة فلا يعده قتلاً عمداً، إلا إذا كان السم مما يقتل غالباً فيكون معداً للقتل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المشرع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فيعد المادة السامة من الظروف المشددة في القتل العمد كما نص في</w:t>
      </w:r>
    </w:p>
    <w:p>
      <w:pPr>
        <w:pStyle w:val="BookText"/>
        <w:rPr/>
      </w:pPr>
      <w:r>
        <w:rPr>
          <w:rFonts w:ascii="Amiri" w:hAnsi="Amiri" w:eastAsia="Amiri" w:cs="Amiri"/>
          <w:color w:val="111111"/>
          <w:sz w:val="28"/>
          <w:sz w:val="28"/>
          <w:szCs w:val="28"/>
          <w:rtl w:val="true"/>
          <w:lang w:bidi="ar-SA"/>
        </w:rPr>
        <w:t xml:space="preserve">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يعاقب بالإعدام من قتل نفساً عمداً في إحدى الحالات التالية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حصل القتل باستعمال مادة سامة</w:t>
      </w:r>
      <w:r>
        <w:rPr>
          <w:rFonts w:eastAsia="Amiri" w:cs="Amiri" w:ascii="Amiri" w:hAnsi="Amiri"/>
          <w:color w:val="111111"/>
          <w:sz w:val="28"/>
          <w:szCs w:val="28"/>
          <w:rtl w:val="true"/>
          <w:lang w:bidi="ar-SA"/>
        </w:rPr>
        <w:t>..)</w:t>
      </w:r>
      <w:r>
        <w:rPr>
          <w:rStyle w:val="FootnoteAnchor"/>
          <w:rtl w:val="true"/>
        </w:rPr>
        <w:footnoteReference w:id="118"/>
      </w:r>
      <w:r>
        <w:rPr>
          <w:rFonts w:ascii="Amiri" w:hAnsi="Amiri" w:eastAsia="Amiri" w:cs="Amiri"/>
          <w:color w:val="111111"/>
          <w:sz w:val="28"/>
          <w:sz w:val="28"/>
          <w:szCs w:val="28"/>
          <w:rtl w:val="true"/>
          <w:lang w:bidi="ar-SA"/>
        </w:rPr>
        <w:t>والمادة السامة هي التي تسبب الموت عاجلاً أو آجلاً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هذه المواد سامة بطبيعتها وعندئذ يستوي أن تكون من السموم الحيوانية أو العضوية أو المعدنية إذا كان من شأنها إحداث الموت،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لا يكون سماً بطبيعته ولكنه بظروف معينة يسبب التسمم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والبحث فيما يعد سماً وما لا يعد كذلك أمر علمي يحدده أهل الفن طبقاً لسلطة محكمة الموضوع في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يشترط لتوافر هذا الظرف المشدد أن تكون المادة المعطاة سماً بطبيعته، إذ العبرة فيما يترتب على إعطاء المادة في ظروف معينة لا بالطبيعة السامة</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يثبت في حالة كون المادة غير السامة أدت إلى التسميم ثم الوفاة، ولا يكفي لتوافر الظرف المشدد أن تكون المواد قاتلة بغير طريق التسميم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كلام الشرّاح وإن كان النص يشير إلى استعمال المادة السامة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المشرع أراد التسميم لا المواد التي بطبيعتها 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ويميز القانون بين مباشرة دس السم، وبين التسبيب حيث يعد قاتلاً بالسم إذا وضعه لشخص معين وقدمه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أعطى لثالث فلا مسؤولية جنائية عليه وإن كان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لو وضع الطعام أو الشراب المسموم تحت تصرف شخص معين، فتناوله آخر ومات بسببه فيعتبر قاتلاً بالسم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قاتلاً بالسم إلا بعد تحضيره وجعله تحت تصرف المجني عليه أو بتقديمه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نلاحظ أن اعتبار تقديم السم أو خلطه بالطعام والشراب وتقديمه يعتبرها القانون قتلاً عمداً بظرف مشدد يوجب عليه الإعدام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النص القانوني لا يميز بين العالم وغيره، ولا المميز وغيره فيشمل الجميع بإطلاقه سواء أكرهه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القانون ينظر إليه كونه أقدم على جريمة خطرة حقق أركانها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 عن وفاة المقصود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يتضح الفرق بين القانون والفقه وكما يأتي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والشافعي والامامية يميزون بين كونه يقتل غالباً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لا يميز في ذلك</w:t>
      </w:r>
      <w:r>
        <w:rPr>
          <w:rFonts w:eastAsia="Amiri" w:cs="Amiri" w:ascii="Amiri" w:hAnsi="Amiri"/>
          <w:color w:val="111111"/>
          <w:sz w:val="28"/>
          <w:szCs w:val="28"/>
          <w:rtl w:val="true"/>
          <w:lang w:bidi="ar-SA"/>
        </w:rPr>
        <w:t xml:space="preserve">. </w:t>
      </w:r>
      <w:bookmarkStart w:id="85" w:name="pg9087_85108"/>
    </w:p>
    <w:p>
      <w:pPr>
        <w:pStyle w:val="BookText"/>
        <w:rPr/>
      </w:pPr>
      <w:bookmarkEnd w:id="85"/>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يميزون بين علم الآكل وجهله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لا يميز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يميزون بين المميز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لا يميز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يميزون بين قول الجاني فيه سم أو فيه سم قاتل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لا يميز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يميزون بين الإذن بالأكل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لا يميز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معهم في مسألة السبب والمباشر، حيث يعدون السبب قتلاً عمداً ومسؤولية جنائية بخلاف القانون فإنه لا يعده كذلك، بل لا يرى مسؤولية على المسبب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ويتفق معهم في أن وضع السم غير القاتل، مع قصد القتل ولو احتمالاً، وحصلت الوفاة بسببه يعدّ قتلاً عمداً؛ لأنه لا يشترط كون المادة السامة قاتلة بطبيعتها، وإنما يشترط حصول التسميم وتسبيبه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ظرفاً مشدداً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ورغم الاختلاف في صدق القتل العمد إلا أن العقوبة واحدة في الفقه والقانون</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2684155_2870459653"/>
      <w:bookmarkStart w:id="87" w:name="_Toc28"/>
      <w:bookmarkEnd w:id="86"/>
      <w:r>
        <w:rPr/>
        <w:t>8</w:t>
      </w:r>
      <w:r>
        <w:rPr>
          <w:rtl w:val="true"/>
        </w:rPr>
        <w:t xml:space="preserve">- </w:t>
      </w:r>
      <w:r>
        <w:rPr>
          <w:rtl w:val="true"/>
        </w:rPr>
        <w:t>القتل بوسيلة معنوية</w:t>
      </w:r>
      <w:bookmarkEnd w:id="87"/>
    </w:p>
    <w:p>
      <w:pPr>
        <w:pStyle w:val="BookText"/>
        <w:rPr/>
      </w:pPr>
      <w:r>
        <w:rPr>
          <w:rFonts w:ascii="Amiri" w:hAnsi="Amiri" w:eastAsia="Amiri" w:cs="Amiri"/>
          <w:color w:val="111111"/>
          <w:sz w:val="28"/>
          <w:sz w:val="28"/>
          <w:szCs w:val="28"/>
          <w:rtl w:val="true"/>
          <w:lang w:bidi="ar-SA"/>
        </w:rPr>
        <w:t>يرى مالك أن القتل بطريق معنوي يعاقب عليه باعتباره قتلاً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ألقى على إنسان حية، ولو كانت ميتة فمات فزعاً ورعباً فهو قاتل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سل عليه سيفاً فمات فزعاً فهو قاتل عمد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ويتفق معه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الجاني إذا شهر سيفاً على وجه إنسان، أو دلاه من شاهق فمات من روعته، أو صاح به صيحة شديدة فخر من سطح أو نحوه فمات، أو تغفل عاقلاً فصاح به فخر ميتاً فإنه إن تعمد ذلك كله فهو قاتل شبه عمد؛لأن هذه الوسيلة لا تقتل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أبو حنيفة فإنه يعد من صاح على إنسان فجأة فمات من صيحته فهو قاتل له قتلاً شبه عمد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لو سحره فتراءى له أن الأسد يحمل عليه، فمات خوفاً كان على الساحر القصاص</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ألقاه من شاهق قاصداً به القتل، أو كان مما يترتب عليه القتل عادة فمات الملقى في الطريق خوفاً قبل سقوطه إلى الأرض كان عليه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منه أن الوسيلة المعنوية تعد قتلاً عمداً من دون تقييد بكونها لمميز أم غيره، سواء أكانت تقتل غالباً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النص القانوني</w:t>
      </w:r>
      <w:r>
        <w:rPr>
          <w:rStyle w:val="FootnoteAnchor"/>
          <w:rtl w:val="true"/>
        </w:rPr>
        <w:footnoteReference w:id="121"/>
      </w:r>
      <w:r>
        <w:rPr>
          <w:rFonts w:ascii="Amiri" w:hAnsi="Amiri" w:eastAsia="Amiri" w:cs="Amiri"/>
          <w:color w:val="111111"/>
          <w:sz w:val="28"/>
          <w:sz w:val="28"/>
          <w:szCs w:val="28"/>
          <w:rtl w:val="true"/>
          <w:lang w:bidi="ar-SA"/>
        </w:rPr>
        <w:t>الذي</w:t>
      </w:r>
    </w:p>
    <w:p>
      <w:pPr>
        <w:pStyle w:val="BookText"/>
        <w:rPr/>
      </w:pPr>
      <w:r>
        <w:rPr>
          <w:rFonts w:ascii="Amiri" w:hAnsi="Amiri" w:eastAsia="Amiri" w:cs="Amiri"/>
          <w:color w:val="111111"/>
          <w:sz w:val="28"/>
          <w:sz w:val="28"/>
          <w:szCs w:val="28"/>
          <w:rtl w:val="true"/>
          <w:lang w:bidi="ar-SA"/>
        </w:rPr>
        <w:t>لم يحدد نوع الفعل ولا صفاته فيكون فعلاً غير محدد لا بطبيعته ولا بوسيلته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توسع الشرّاح في صدق الركن الأول من القتل العمد فيقول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أن يتم القتل بفعل مادي، ووسيلة مادية، بل يمكن إن يتم بفعل 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 القانون ما يمنع اعتبار الأساليب النفسية من وسائل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يثابر على تنغيص زوجته واشغالها بالهموم والأحزان؛ لقتلها يمكن تطبيق عقوبة القتل العمد عليه، ومن يلقي بنبأ مؤلم إلى شخص مريض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وضعيف الأعصاب بقصد قتله فيموت، يمكن تطبيق عقوبة القتل العمد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يموت المجني عليه من شدة الفزع، أو يموت شخص ثالث تحت تأثير 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فالجناة في هذه الصور المتقدمة يمكن معاقبتهم على القتل العمد إذا توافرت العلاقة السببية بين الفعل والنتيجة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القصد الجنائي ثابتاً</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bookmarkStart w:id="88" w:name="pg9087_85110"/>
    </w:p>
    <w:p>
      <w:pPr>
        <w:pStyle w:val="BookText"/>
        <w:rPr/>
      </w:pPr>
      <w:bookmarkEnd w:id="88"/>
      <w:r>
        <w:rPr>
          <w:rFonts w:ascii="Amiri" w:hAnsi="Amiri" w:eastAsia="Amiri" w:cs="Amiri"/>
          <w:color w:val="111111"/>
          <w:sz w:val="28"/>
          <w:sz w:val="28"/>
          <w:szCs w:val="28"/>
          <w:rtl w:val="true"/>
          <w:lang w:bidi="ar-SA"/>
        </w:rPr>
        <w:t>ويقول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تكون وسيلة القتل غير مادية، بل معنوية 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وضع طفل صغير في حالة ذعر للقضاء عليه، وكلها أمور تكفي لقيام الجريمة على أرجح الآراء متى ثبت قصد القتل، ورابطة السببية بين الفعل والموت</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إن المذاهب مختلفة في الوسيلة المعنوية فأحمد والشافعي وأبو حنيفة يعدّونها شبه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ومالك والإمامية يعدّونها قتل عمد، فيكون القانون العراقي متفقاً مع مالك والإمامية في كون الوسيلة المعنوية تحقق القتل العمد وان اختلف معهم بالعقوبة المقررة لذلك</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2684157_2870459653"/>
      <w:bookmarkStart w:id="90" w:name="_Toc29"/>
      <w:bookmarkEnd w:id="89"/>
      <w:r>
        <w:rPr/>
        <w:t>9</w:t>
      </w:r>
      <w:r>
        <w:rPr>
          <w:rtl w:val="true"/>
        </w:rPr>
        <w:t xml:space="preserve">- </w:t>
      </w:r>
      <w:r>
        <w:rPr>
          <w:rtl w:val="true"/>
        </w:rPr>
        <w:t>القتل بسبب شرعي</w:t>
      </w:r>
      <w:bookmarkEnd w:id="90"/>
    </w:p>
    <w:p>
      <w:pPr>
        <w:pStyle w:val="BookText"/>
        <w:rPr/>
      </w:pPr>
      <w:r>
        <w:rPr>
          <w:rFonts w:ascii="Amiri" w:hAnsi="Amiri" w:eastAsia="Amiri" w:cs="Amiri"/>
          <w:color w:val="111111"/>
          <w:sz w:val="28"/>
          <w:sz w:val="28"/>
          <w:szCs w:val="28"/>
          <w:rtl w:val="true"/>
          <w:lang w:bidi="ar-SA"/>
        </w:rPr>
        <w:t>وذلك عندما يشهد شخص أمام القاضي على إن فلاناً مرتد، أو زنا بمحصنة، أو قتل بريئاً، أو غير ذلك مما يسبب الحكم على الشخص المشهود عليه بالقتل فيقتل، وينفذ عليه الحكم، ثم يتضح كذب الشهود بعد تنفيذ الحكم فهل الشاهد يعد قاتلاً عمداً أم لا؟</w:t>
      </w:r>
    </w:p>
    <w:p>
      <w:pPr>
        <w:pStyle w:val="BookText"/>
        <w:rPr/>
      </w:pPr>
      <w:r>
        <w:rPr>
          <w:rFonts w:ascii="Amiri" w:hAnsi="Amiri" w:eastAsia="Amiri" w:cs="Amiri"/>
          <w:color w:val="111111"/>
          <w:sz w:val="28"/>
          <w:sz w:val="28"/>
          <w:szCs w:val="28"/>
          <w:rtl w:val="true"/>
          <w:lang w:bidi="ar-SA"/>
        </w:rPr>
        <w:t>المذاهب الثلاثة تعده قتلاً عمداً؛ لأنه قتل بالتسبيب وليس مباشراً، ولكن أبا حنيفة لا يرى فيه القصاص، لأن القاعدة عنده أن القتل بالتسبيب لا قصاص فيه، إلا إذا كان السبب ملجئاً</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القاضي إذا حكم بالإعدام على شخص ظلماً وهو عالم ببراءته، ومتعمد لذلك يُعد قاتلاً للمحكوم عليه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ولي الدم إذا قتل المحكوم عليه قصاصاً، ولكنه يعلم ببراءته فيعد قاتلاً له عمداً</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الإمامية فيقول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العمد أعم من المباشرة </w:t>
      </w:r>
    </w:p>
    <w:p>
      <w:pPr>
        <w:pStyle w:val="BookText"/>
        <w:rPr/>
      </w:pPr>
      <w:r>
        <w:rPr>
          <w:rFonts w:ascii="Amiri" w:hAnsi="Amiri" w:eastAsia="Amiri" w:cs="Amiri"/>
          <w:color w:val="111111"/>
          <w:sz w:val="28"/>
          <w:sz w:val="28"/>
          <w:szCs w:val="28"/>
          <w:rtl w:val="true"/>
          <w:lang w:bidi="ar-SA"/>
        </w:rPr>
        <w:t>والتسبيب</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لتحقق موضوع العمد في كل منهما عرفاً؛ فيشمله أطلاق الأدلة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تمت الشهادة عند الحاكم على ثبوت موجب القتل على شخص من ارتداد، أو زنا بمحصنة أو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استيفاء الحد ظهر إن الشهود كانوا زوراً؛ فالضمان على الشهود دون الحاكم والمأمور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إجماعاً ونصوصاً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معتبرة ابن محبوب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أربعة شهدوا على رجل محصن بالزنا، ثم رجع احدهم بعدما قتل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وهمت ضرب الحد وغرم الدية، 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 قتل</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الولي والحاكم حيث يقول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الولي بأن</w:t>
      </w:r>
    </w:p>
    <w:p>
      <w:pPr>
        <w:pStyle w:val="BookText"/>
        <w:rPr/>
      </w:pPr>
      <w:r>
        <w:rPr>
          <w:rFonts w:ascii="Amiri" w:hAnsi="Amiri" w:eastAsia="Amiri" w:cs="Amiri"/>
          <w:color w:val="111111"/>
          <w:sz w:val="28"/>
          <w:sz w:val="28"/>
          <w:szCs w:val="28"/>
          <w:rtl w:val="true"/>
          <w:lang w:bidi="ar-SA"/>
        </w:rPr>
        <w:t>الشهادة شهادة زور وباشر القصاص كان عليه القود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لتحقق السبب بالقتل عدواناً من غير غرور في البين، ولا فرق في العالم بالتزوير، أو بفسق الشهود بين الولي الشرعي للقصاص، أو الحاكم، لجريان عموم دليل القصاص في كل منهما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زوراً في جريمة لمتهم أو عليه يعاقب بالحبس أو الغرامة أو بإحدى هاتين العقوبتين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ترتب على الشهادة الحكم على المتهم عوقب الشاهد بالعقوبة المقررة للجريمة التي أدين المتهم بها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النص أن شاهد الزور يعاقب بنفس العقوبة التي سببها للمتهم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كانت شهادته سببت الإعدام فيحكم بالإعدام، وإذا كانت السجن المؤبد فيحكم بالسجن المؤبد وهكذا ونحن هنا بصدد الشاهد الذي سبب الإعدام للمتهم هل يعد قاتلاً عمداً أم لا؟</w:t>
      </w:r>
    </w:p>
    <w:p>
      <w:pPr>
        <w:pStyle w:val="BookText"/>
        <w:rPr/>
      </w:pPr>
      <w:r>
        <w:rPr>
          <w:rFonts w:ascii="Amiri" w:hAnsi="Amiri" w:eastAsia="Amiri" w:cs="Amiri"/>
          <w:color w:val="111111"/>
          <w:sz w:val="28"/>
          <w:sz w:val="28"/>
          <w:szCs w:val="28"/>
          <w:rtl w:val="true"/>
          <w:lang w:bidi="ar-SA"/>
        </w:rPr>
        <w:t>الجواب بحسب ما تقدم نعم يعد قاتلاً عمداً، ويحكم عليه بالإعدام، لكونه ظرفاً مشدداً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الحاكم الذي يحكم بالإعدام على متهم وهو يعلم بالتزوير، أو بفسق الشهود فهل يعد قاتلاً عمداً أم لا؟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نصت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يعاقب بالحبس وبالغرامة أو بإحدى هاتين العقوبتين كل حاكم أو قاضٍ أصدر حكماً ثبت أنه غير حق وكان ذلك نتيجة التوسط لديه</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فالحاكم لا يحكم بنفس العقوبة التي قررها للمتهم البريء وإنما بالحبس، أو الغرامة والحبس لا يزيد على خمسة أعوام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نسأل لماذا لم يحكم المشرع على القاضي بنفس العقوبة التي سببها للمجني عليه؟</w:t>
      </w:r>
    </w:p>
    <w:p>
      <w:pPr>
        <w:pStyle w:val="BookText"/>
        <w:rPr/>
      </w:pPr>
      <w:r>
        <w:rPr>
          <w:rFonts w:ascii="Amiri" w:hAnsi="Amiri" w:eastAsia="Amiri" w:cs="Amiri"/>
          <w:color w:val="111111"/>
          <w:sz w:val="28"/>
          <w:sz w:val="28"/>
          <w:szCs w:val="28"/>
          <w:rtl w:val="true"/>
          <w:lang w:bidi="ar-SA"/>
        </w:rPr>
        <w:t>فيه احتمالان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عدها قتلاً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ولكونه قاضياً جعلها عذراً مخففاً، وإما أنه لم يعدها قتلاً عمداً بل جريمة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المشرع لم يعدها قتلاً عمداً، وإنما عدها من الجرائم المخلة بسير العدالة، ولها مساس بسير القضاء فحدد لها عقوبة غير عقوبة القتل العمد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نقول إن القانون اتفق مع الفقه في مسألة الشاهد، واعتبره قتلاً عمداً، فوافق بذلك الشافعي وأحمد ومالك والإمامية خلا أبا حنيفة، حيث ذهب إلى أنه ليس بعمد، وأما في مسألة الحاكم فاختلف القانون مع الشافعي </w:t>
      </w:r>
      <w:bookmarkStart w:id="91" w:name="pg9087_85113"/>
    </w:p>
    <w:p>
      <w:pPr>
        <w:pStyle w:val="BookText"/>
        <w:rPr/>
      </w:pPr>
      <w:bookmarkEnd w:id="91"/>
      <w:r>
        <w:rPr>
          <w:rFonts w:ascii="Amiri" w:hAnsi="Amiri" w:eastAsia="Amiri" w:cs="Amiri"/>
          <w:color w:val="111111"/>
          <w:sz w:val="28"/>
          <w:sz w:val="28"/>
          <w:szCs w:val="28"/>
          <w:rtl w:val="true"/>
          <w:lang w:bidi="ar-SA"/>
        </w:rPr>
        <w:t>وأحمد ومالك والإمامية حيث إنهم اعتبروه قتلاً عمداً، والمشرع اعتبره جريمة مخلة بسير العدالة، ولم يعدها قتلاً عمداً فيكون اتفق مع أبي حنيفة حينئذ</w:t>
      </w:r>
      <w:r>
        <w:rPr>
          <w:rFonts w:eastAsia="Amiri" w:cs="Amiri" w:ascii="Amiri" w:hAnsi="Amiri"/>
          <w:color w:val="111111"/>
          <w:sz w:val="28"/>
          <w:szCs w:val="28"/>
          <w:rtl w:val="true"/>
          <w:lang w:bidi="ar-SA"/>
        </w:rPr>
        <w:t>.</w:t>
      </w:r>
    </w:p>
    <w:p>
      <w:pPr>
        <w:pStyle w:val="Heading5"/>
        <w:numPr>
          <w:ilvl w:val="4"/>
          <w:numId w:val="1"/>
        </w:numPr>
        <w:rPr/>
      </w:pPr>
      <w:bookmarkStart w:id="92" w:name="__RefHeading___Toc2684159_2870459653"/>
      <w:bookmarkStart w:id="93" w:name="_Toc30"/>
      <w:bookmarkEnd w:id="92"/>
      <w:r>
        <w:rPr/>
        <w:t>10</w:t>
      </w:r>
      <w:r>
        <w:rPr>
          <w:rtl w:val="true"/>
        </w:rPr>
        <w:t xml:space="preserve">- </w:t>
      </w:r>
      <w:r>
        <w:rPr>
          <w:rtl w:val="true"/>
        </w:rPr>
        <w:t>رضا المجني عليه بالقتل</w:t>
      </w:r>
      <w:bookmarkEnd w:id="93"/>
    </w:p>
    <w:p>
      <w:pPr>
        <w:pStyle w:val="BookText"/>
        <w:rPr/>
      </w:pPr>
      <w:r>
        <w:rPr>
          <w:rFonts w:ascii="Amiri" w:hAnsi="Amiri" w:eastAsia="Amiri" w:cs="Amiri"/>
          <w:color w:val="111111"/>
          <w:sz w:val="28"/>
          <w:sz w:val="28"/>
          <w:szCs w:val="28"/>
          <w:rtl w:val="true"/>
          <w:lang w:bidi="ar-SA"/>
        </w:rPr>
        <w:t>لو رضي المجني عليه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يعتبر الجاني قاتلاً عمداً أم انه قتل مباح؟</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ترتكز إجابة هذا السؤال على إن رضا المجني عليه هل هو ركن في إباحة تلك الجريمة أم لا؟</w:t>
      </w:r>
    </w:p>
    <w:p>
      <w:pPr>
        <w:pStyle w:val="BookText"/>
        <w:rPr/>
      </w:pPr>
      <w:r>
        <w:rPr>
          <w:rFonts w:ascii="Amiri" w:hAnsi="Amiri" w:eastAsia="Amiri" w:cs="Amiri"/>
          <w:color w:val="111111"/>
          <w:sz w:val="28"/>
          <w:sz w:val="28"/>
          <w:szCs w:val="28"/>
          <w:rtl w:val="true"/>
          <w:lang w:bidi="ar-SA"/>
        </w:rPr>
        <w:t>تارة يكون رضا المجني عليه ركناً في إباحة الجريمة، كالسرقة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رضى المجني عليه بأخذ أمواله فحينئذٍ يكون أخذ أمواله مباحاً فلا تكون سرقة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وتارة لا يكون رضا المجني عليه ركناً في أباحتها، وإنما هو ركن في العفو عن حقوقها كالقتل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ومسألتنا القتل فما هي آراء المذاهب الفقهية، ورأي القانون في ذلك؟</w:t>
      </w:r>
    </w:p>
    <w:p>
      <w:p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الرضا ركناً في إباحة القتل، وكذا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يعد القتل مباحاً حتى لو رضي المجني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يملك حق العفو عنه هو ووليه؛ لأنه يتوقف على رضاهم ورضاه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أبو حنيفة أن الإذن بالقتل لا يبيح القتل؛ لأن عصمة النفس لا تباح إلا بما نص عليه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والإذن بالقتل ليس منها، فكان الإذن عدماً لا أثر له على الفعل، فيبقى الفعل محرماً معاقباً عليه باعتباره قتلاً عمداً، ولكنه درأ عنه عقوبة القصاص وجعلها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لقول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ادرؤوا الحدود بالشبهات والإذن سبب شبهة في قصاصه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ومذهب مالك يرى أن الإذن بالقتل لا يبيح الفعل ولا يسقط العقوبة ولو أبرأ المجني عليه الجاني من دمه مقدماً؛ لأنه أبرأه من حق لا يستحقه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يعد الجاني قاتلاً عمداً، ولكن اختلفوا في العقوبة فمنهم من قال بالقصاص ومنهم من قال تدرأ بالشبهة وتثبت الدية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ومذهب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يبيح الإذن القتل، ولكنه يسقط العقوبة القصاص والدية، ويذهب بعضهم إلى أن الإذن لا يبيح ولا يسقط العقوبة، ولكن تدرأ الشبهة القصاص وتثبت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ومذهب أحمد يرى أن لا عقاب على الجاني، لأن من حق المجني عليه العفو عن العقوبة، والأذن بالقتل يساوي العفو عن العقوبة في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الإذن لا يبيح القتل وتبقى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اقتلني فقتله، فلا ريب في أنه قد ارتكب محرماً فإن حرمة القتل لا ترتفع بإذن المقتول</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قال بالغ عاقل لشخص آخر اقتلني وإلا قتلتك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قتله ولا يجوز له ذلك للإجماع، ولأن الإذن لا يرفع الحرمة الشرعية في الدماء، أما العقوبة فهل يثبت القصاص أو الدية أو التعزير الظاهر إن الامامية على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المحقق وهو الأشهر من عدم ثبوت القصاص، واستدلوا على ذلك بأن الآمر قد اسقط حقه بالأذن فلا يتسلط عليه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كلام المحقق وان كان هو الإكراه إلا إن تعليله يعم صورة الاختيار كما إن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مورد 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لو قتله بمجرد الايعاد يكون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ثبوت القصاص أو الدية إشكال، بل منع</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الإثم فلأصالة بقاء الحرمة من غير دليل حاكم عليها، وأما عدم القصاص أو الدية فللشك في ثبوتهما في المقام الذي أذن فيه الشخص لقتل نفسه ولهتك حرمتها، فيرجع إلى أصالة البراءة عنهما ولا يجوز التمسك بإطلاق دليلهما، لأنه تمسك بالدليل في الموضوع المشكوك</w:t>
      </w:r>
      <w:r>
        <w:rPr>
          <w:rFonts w:eastAsia="Amiri" w:cs="Amiri" w:ascii="Amiri" w:hAnsi="Amiri"/>
          <w:color w:val="111111"/>
          <w:sz w:val="28"/>
          <w:szCs w:val="28"/>
          <w:rtl w:val="true"/>
          <w:lang w:bidi="ar-SA"/>
        </w:rPr>
        <w:t xml:space="preserve">. </w:t>
      </w:r>
      <w:bookmarkStart w:id="94" w:name="pg9087_85115"/>
    </w:p>
    <w:p>
      <w:pPr>
        <w:pStyle w:val="BookText"/>
        <w:rPr/>
      </w:pPr>
      <w:bookmarkEnd w:id="9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يثبت القصاص عندئذ أم لا؟ الأظهر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القاتل مختاراً أو متوعداً بما دون النفس</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الإنسان غير مسلّط على إتلاف نفسه ليكون إذنه بالإتلاف مسقطاً للضمان، كما هو الحال في الأموال فعمومات أدلة القصاص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القانون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من الشروحات ومن قواعد الاشتراك العامة أن الإذن لا يبيح القتل، ويعده قاتلاً عمداً، ويميز بينه وبين حالة المساعدة على الانتحار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يذكر بعض الشرّاح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 يجب التفرقة بين حالة الاشتراك في الانتحار وحالة من يقتل آخر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هذه الحالة الأخيرة وان كان القتل واقعاً برضا المجني عليه، إلا أن القتيل اتخذ موقفاً سلبياً، ولم يقارف أي عمل من الأعمال المكونة للجريمة فلا يعتبر فاعلاً لجناية القتل، وإنما الفاعل الأصلي هو الذي أحدث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مقتضى تطبيق قواعد الاشتراك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تعاون عشيقان مثلاً على الانتحار ومفارقة الحياة معاً وأعدّاً لذلك سلاحين ناريين اتفقا على أطلاقهما في لحظة واحدة، وأطلق كل منهما النار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ينجو منهما جازت محاكمته عن جناية قتل عمد</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فيكون القانون متفقاً مع الإمامية والشافعي وأبي حنيفة ومالك على أنه قتل عمد، ولكن يبقى الخلاف في العقوبة، كما أن المذاهب مختلفة فيها</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2684161_2870459653"/>
      <w:bookmarkStart w:id="96" w:name="_Toc31"/>
      <w:bookmarkEnd w:id="95"/>
      <w:r>
        <w:rPr/>
        <w:t>11</w:t>
      </w:r>
      <w:r>
        <w:rPr>
          <w:rtl w:val="true"/>
        </w:rPr>
        <w:t xml:space="preserve">- </w:t>
      </w:r>
      <w:r>
        <w:rPr>
          <w:rtl w:val="true"/>
        </w:rPr>
        <w:t>الاشتراك في القتل</w:t>
      </w:r>
      <w:bookmarkEnd w:id="96"/>
    </w:p>
    <w:p>
      <w:pPr>
        <w:pStyle w:val="BookText"/>
        <w:rPr/>
      </w:pPr>
      <w:r>
        <w:rPr>
          <w:rFonts w:ascii="Amiri" w:hAnsi="Amiri" w:eastAsia="Amiri" w:cs="Amiri"/>
          <w:color w:val="111111"/>
          <w:sz w:val="28"/>
          <w:sz w:val="28"/>
          <w:szCs w:val="28"/>
          <w:rtl w:val="true"/>
          <w:lang w:bidi="ar-SA"/>
        </w:rPr>
        <w:t>أي يشترك اثنان أو أكثر بقتل شخص أو أكثر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اشترك اثنان أو أكثر في قتل واحد، </w:t>
      </w:r>
    </w:p>
    <w:p>
      <w:pPr>
        <w:pStyle w:val="BookText"/>
        <w:rPr/>
      </w:pPr>
      <w:r>
        <w:rPr>
          <w:rFonts w:ascii="Amiri" w:hAnsi="Amiri" w:eastAsia="Amiri" w:cs="Amiri"/>
          <w:color w:val="111111"/>
          <w:sz w:val="28"/>
          <w:sz w:val="28"/>
          <w:szCs w:val="28"/>
          <w:rtl w:val="true"/>
          <w:lang w:bidi="ar-SA"/>
        </w:rPr>
        <w:t>اقتص منهم الولي إن شاء مع رد ما فضل من دية المقتص منه</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للعموم والإطلاق والاتفاق وقاعدة نفي الضرر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وصحيح الفضيل بن يسار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قتلوا رجلاً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أولياؤه قتلوهم جميعاً وغرموا تسع ديات، وان شاؤوا تخيروا رجلاً فقتلوا وأدى التسعة الباقون إلى أهل المقتول الأخير عشر الدية كل رجل منهم، ثم الوالي بعد يلي أدبهم وحسبهم</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القتل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يفعل كل منهم ما يقتل لو انفرد،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يجرحوه بجراحات كل واحدة منها تكفي في القتل، أو يلقوه في النار، أو من شاهق، أو في البحر، أو نحو ذلك من المهالك ؛ يصح إسناد القتل إلى كل واحد منهم عرفاً؛ لتحقق السببية بالنسبة إلى كل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فيجري حكم القصاص بالنسبة إلى الجميع فيخيّر ولي الدم بين قتلهم جميعاً، ودفع ديات تسع منهم بينهم بالسوية، أو يختار بعضهم فيدفع دية الزائد والباقون يدفعون إلى المقتص منهم بالنسبة</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الشركة في السراية مع قصد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اجتمع عليه جمع فجرحه كل واحد منهم بما لا يقتل منفرداً، ولكن سرت الجميع فمات بسبب السراية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فعليهم القود بالنحو المتقدم؛ لتحقق التسبيب إلى القتل بالسراية مع قصده 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والسراية توجب الموت وإزهاق الروح</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تكون الإمامية قد عدت المشترك بكلا نوعيه قاتلاً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عندهم أن الممسك والحاضر لهما حكم آخر ولا يعدان قاتلين عمدا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المذاهب الأربعة متفقة على أن تعدد الجناة لا يمنع من الحكم عليهم بالقصاص مادام كل منهم قد باشر الجناية</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حالة الإعانة على القتل والتحريض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خلاف في أن القاتل في الحالين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التوافق، وحالة التوافق السابق يقتص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 المباشرون سواء أكان اجتماعهم يمكن القتل نتيجة اتفاق سابق أم توافق غير 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الخلاف في حكم من اتفق ولم يحضر القتل، إذ أعان عليه ولم يباشره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حنيفة والشافعي وأحمد يرون القصاص من المباشر فقط، وتعزير من لم يباشر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 يرى قتل من حضر ولم يباشر، ومن أعان ولم يباشر، أما من اتفق ولم يحضر فعليه التعزير في 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أمسك رجلاً وقتله آخر فأن أمسكه بقصد القتل فعلى المباشر القصاص وأما الممسك فمالك يرى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حنيفة والشافعي يرون تعزير الممسك ولو أمسكه بقصد القتل، وأحمد يرى القصاص من الممسك في أحد آرائه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الإمامية فإنهم يحكمونه بالسجن المؤبد، حتى الموت والجلد على تفصيل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ولأحمد رأي آخر بالحبس حتى الموت للممسك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من أمر آخر بالقتل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كان المأمور صبياً غير مميز، أو مجنوناً فيرى مالك والشافعي وأحمد القصاص من الآمر؛ لأنه المسبب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يرى أبو حنيفة القصاص من الآمر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كان المأمور بالغاً عاقلاً ولا سلطان للآمر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فيرى مالك والشافعي وأحمد القصاص من المأمور، وأما الآمر فعليه التعزير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مالك القصاص من الآمر أيضاً إذا حضر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المأمور بالغاً عاقلاً، وكان للآمر سلطان عليه بحيث يخشى أن يقتله لو لم يطع، فيقتص من الآمر والمأمور معاً عند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ويتفق أحمد مع مالك والشافعي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أبي حنيفة يقتص من الآمر في حالة الإكراه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والإمامية يرون أن الآمر يحكم بالسجن المؤبد حتى الموت، وكذا المكرِه على القتل إذا كان المكرَه بالغاً عاقلاً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فبحسب النصوص القانونية التالية من قانون العقوبات العراقي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حيث بينت هذه المواد القانونية القتل بالاشتراك والمساهمة، واعتبرت الشريك هو كل من حرض على ارتكابها، ومن اتفق مع غيره على ارتكابها، ومن أعطى سلاحاً أو آلات أو أي شيء آخر مما استعمل في ارتكاب الجريمة أو ساعده في الأعمال المجهزة أو المسهلة أو المتممة لارتكابها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 من حضر أثناء ارتكابها، أو ارتكاب أي فعل من الأفعال المكونة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ويعاقب بالعقوبة المقررة للجريمة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فالممسك والآمر والمكرِه كلهم يعدون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ويحكمون بعقوبة الجريمة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ظرف مشدد فالإعدام، وإلا فالسجن المؤبد أو المؤقت وهكذا</w:t>
      </w:r>
      <w:r>
        <w:rPr>
          <w:rFonts w:eastAsia="Amiri" w:cs="Amiri" w:ascii="Amiri" w:hAnsi="Amiri"/>
          <w:color w:val="111111"/>
          <w:sz w:val="28"/>
          <w:szCs w:val="28"/>
          <w:rtl w:val="true"/>
          <w:lang w:bidi="ar-SA"/>
        </w:rPr>
        <w:t xml:space="preserve">. </w:t>
      </w:r>
      <w:bookmarkStart w:id="97" w:name="pg9087_85119"/>
    </w:p>
    <w:p>
      <w:pPr>
        <w:pStyle w:val="Heading4"/>
        <w:numPr>
          <w:ilvl w:val="3"/>
          <w:numId w:val="1"/>
        </w:numPr>
        <w:rPr/>
      </w:pPr>
      <w:bookmarkStart w:id="98" w:name="__RefHeading___Toc2684163_2870459653"/>
      <w:bookmarkStart w:id="99" w:name="_Toc32"/>
      <w:bookmarkEnd w:id="97"/>
      <w:bookmarkEnd w:id="98"/>
      <w:r>
        <w:rPr>
          <w:rtl w:val="true"/>
        </w:rPr>
        <w:t>المبحث الثالث</w:t>
      </w:r>
      <w:bookmarkEnd w:id="99"/>
    </w:p>
    <w:p>
      <w:pPr>
        <w:pStyle w:val="BookText"/>
        <w:rPr/>
      </w:pPr>
      <w:r>
        <w:rPr>
          <w:rFonts w:ascii="Amiri" w:hAnsi="Amiri" w:eastAsia="Amiri" w:cs="Amiri"/>
          <w:color w:val="111111"/>
          <w:sz w:val="28"/>
          <w:sz w:val="28"/>
          <w:szCs w:val="28"/>
          <w:rtl w:val="true"/>
          <w:lang w:bidi="ar-SA"/>
        </w:rPr>
        <w:t>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بين العقوبات المقررة للقتل العمد بين المذاهب الفقهية، وقانون العقوبات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شرعت لتحقيق العدالة في المجتمع، وزجر الأفراد عن ارتكاب الجرائم، وردعهم عن إظهار ما مكنون في أنفسهم من نزعات شيطانية لارتكاب الجرائم وتقويم وإصلاح للفرد الذي يرتكب الجريمة، بإصلاح الاعوجاج عن طريق إزالة الخلل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الأهداف التي يسعى القانون لتحقيقها من خلال تشريع العقوبة والمشرع العراقي أقام العقوبة على أساس التوفيق بين فكرتي العدالة والمنفعة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والشريعة المقدسة التي جاء بها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تتكفل بيان حدود السلطة والحقوق المتقابلة بين الحكومة وأفراد المجتمع، وإقامة العدالة على أساس من الأحكام السماوية التي لا يتدخل في صياغتها الحكام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تنظر إلى امتيازات خاصة لبعض الناس دون بعض، فالعدالة التي تجسدها الأحكام الشرعية أفضل بكثير من الأحكام التي يصدرها الملوك والأباطرة على الناس</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انتشر الإسلام لما فيه من العدالة والمساواة في دائرة العلاقة بين الحكام والمحكومين؛ فالعدالة هي المقصودة بالأصل، والأحكام آلية لإحقاق الحق والوصول بالإنسان إلى كماله؛ لينعم بالسعادتين الدنيوية والأخروية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الأحكام الخاصة بالحدود وبخاصة العقوبات المقررة للقتل العمد كما سنذكرها وإن كانت مشابهة للعقوبات القانونية من حيث 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كالقصاص والإعدام والسجن المؤبد والمؤقت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الطريقة التي تذكر للتنفيذ والآلة المستعملة تختلف تماماً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لا نقارن من أجل التطبيق، وإنما من أجل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كنا نؤمن أن الجانب العملي لتطبيق الأحكام بشكل فعلي يصعب تطبيقه مع حداثة المجتمع، وتطوره وتطور الوسائل ورفاهية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المقارنة إنما </w:t>
      </w:r>
    </w:p>
    <w:p>
      <w:pPr>
        <w:pStyle w:val="BookText"/>
        <w:rPr/>
      </w:pPr>
      <w:r>
        <w:rPr>
          <w:rFonts w:ascii="Amiri" w:hAnsi="Amiri" w:eastAsia="Amiri" w:cs="Amiri"/>
          <w:color w:val="111111"/>
          <w:sz w:val="28"/>
          <w:sz w:val="28"/>
          <w:szCs w:val="28"/>
          <w:rtl w:val="true"/>
          <w:lang w:bidi="ar-SA"/>
        </w:rPr>
        <w:t>هي من حيث التشريع لا التطبيق فإذا وصلنا إلى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تشريع العقوبة في الشريعة الإسلامية يشابه تشريع العقوبة في القانون، إلا أن هناك 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القانون يهتم بظاهر الإنسان وسلوكه في المجتمع، بغض النظر عن الجرائم التي ترتكب بحق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لا تؤثر على المجتمع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 العقوبة في القانون على مخالفة ما شرَّعه المشرع في القوانين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والشريعة لما شرعه الله تعالى 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نحن نبحث عن العقوبة للقتل العمد ونريد المقارنة بينهما لا مطلق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ننسى أن الشريعة الإسلامية كما تنظر إلى إقامة العدالة وإصلاح سلوك الفرد المسلم تسعى إلى تزكية نفسه، وتخليصه مما يشوب نفسه وما يمنعه من السعادة الأخروية، ولذلك سوف نقارن بين العقوبات المقررة للقتل العمد في التشريع الجنائي الوضعي، والعقوبات المقررة في التشريع الجنائي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ارتكز في أذهاننا الفرق بين أهداف وغايات العقوبات المقررة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وأستند في ذكر الفرو قات والاختلافات على ما ذكرته في الفصلين من دون أعادتهما هنا وعلى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 المقررة في القانون على أساس أن القتل، أما يكون عادياً أو موصوفاً بظروف مشددة أو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الشريعة فعندهم القتل العمد هو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ذكر ظروف مشددة أو مخففة، ولكن ورد في النصوص الإعفاء من العقوبة وهذا يسمى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العقوبة الأصلية للقتل العمد في قانون العقوبات هي السجن المؤبد أو المؤقت</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حين أن الثابت في عقوبة القتل العمد في الفقه الإسلامي هو القصاص على نحو التعيين، أو القصاص والدية على نحو التخيير كما عن الشافعي وأحمد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 القصاص من حق من يرث المال مطلقاً، ما عدا الزوج والزوجة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الشافعي وأحمد عندهما أنه حق لكل الورثة على سبيل الشركة لا على سبيل الكمال، كما ذهب لذلك مالك وأبو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مخالف لما عليه القانون، حيث إن القصاص من حق السلطة 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والطريقة التي ينفذ فيها القصاص هو السيف في الشريعة، كما عليه الإمامية، ولا يجوزون المثلة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وجوز بعض فقهائهم بالأسهل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كالاتصال بالأسلاك الكهربائية، أو بعض الإشعاعات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في كيفية الاستيفاء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أبو حنيفة يرى أن القصاص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مالك والشافعي وأحمد فعندهم أنه يقتص بالمثل، فالقاتل بالسيف يقتص منه بالسيف، والذي يقتل بالحرق يحرق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والقانون يحصر الإعدام بالشنق حتى الموت ولا مدرك له من الفقه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أخذه من الشريعة اللاتينية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فالمخالفة ليست في نوع العقوبة فقط، بل حتى في استيفائها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اشتراك بين الفقه الإسلامي والقانون في العقوبات إلا أن بعض الموارد يتفق الفقه الإسلامي والقانون على أن عقوبتها الإعدام، ولكن القانون غير مستند إلى الفقه، وإنما بحسب ما يراه مشرع القانون لا فقهاء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شروط القصاص غير مطبقة تماماً في الإعدام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والقانون حكم بالإعدام؛ لأنه قتل عمد بظرف مشدد وليس كونه قتلاً عمداً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الشريعة حكمت بالقصاص لكونه قتلاً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بالنسبة إلى القصاص والإعدام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بقية العقوبات فالسجن المؤبد عقوبة من العقوبات الشرعية، ولكنها مخصوصة في الشريعة بما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الممسك لشخص فيقتله آخر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 بالقتل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المكرَه على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وهؤلاء وإن حكموا بالسجن المؤبد، ولكن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السجن المؤبد في القانون لا يزيد عن خمس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السجن المؤبد الذي يكون مصطلحاً مشتركاً بينهما إلا أنه في تعبيرات الفقهاء الحبس الذي يختلف معناه في القانون عن السجن كما نعلم فهم عبروا بالحبس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الدية فلم تذكر أبداً كعقوبة للقتل العمد في القانون أبداً، ولكنها ذكرت بمعنى الغرامة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أمور طورها القانون وزاد في بحثها، وجعل قسماً منها ظروفاً مشددة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كسبق الإصرار والترصد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المصطلحات غير موجودة في الفقه، ولم يشر إليها لا من قريب ولا من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سابقاً أن الفقه الإسلامي والقانون غالباً ما يتفقون على صدق القتل العمد، إلا أن الفقه الإسلامي لا يميز بعد ذلك أي حالة، ولا يستثنيها بمجرد ثبوت القتل العمد، أما القانون فإنه وأن صدق القتل العمد على الموارد فلا يكتفي بهذا، بل يبحث ليميز بين الظرف المشدد وغيره لتكون العقوبة بحسب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فالعقوبة الأصلية في القتل العمد متعددة في القانون، وواحدة في الفقه وبقية العقوبات بدلية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الاختلاف في الاشتراك، حيث إن كثيراً من الحالات يعدها القانون فاعلاً أصلياً كما بينه 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فالممسك الذي لم يعده الفقه الإسلامي قاتلاً عمداً اعتبره القانون فاعلاً أصليا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وعقوبته في الفقه واحدة وثابتة وهي السجن المؤبد حتى الموت، أما في القانون فبحسب الجريمة المشترك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تحت ظرف مشدد فتكون الإعدام، وفي ظرف مخفف فالسجن المؤقت وربما المؤبد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والحاضر أثناء ارتكاب الجريمة يعده القانون فاعلاً أصلياً، ويحكمه بحكم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لا يعده الفقه الإسلامي كذلك، ويوجب عقوبة واحدة وهي فقئ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القول بأن الفقه الإسلامي وقانون العقوبات العراقي يصدقان على مورد واحد إلا بحسب الاتفاق الذي يسمى بالعرف الصدفة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التشريع ولم يقتصر الافتراق على التشريع فقط، بل حتى المصطلحات التي قسم منها يؤدي نفس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كالقصاص والإعدام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يختلفان بكل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باللفظ وطريقة التنفيذ والشرائط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يتفق الفقه الإسلامي والقانون في المصطلح كالسجن المؤبد ولكن المقصود مختلف والتنفيذ مختلف</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العقوبات العراقي ينهل من شريعة غير شريعتنا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يحكم بما أنزل الله</w:t>
      </w:r>
      <w:r>
        <w:rPr>
          <w:rFonts w:eastAsia="Amiri" w:cs="Amiri" w:ascii="Amiri" w:hAnsi="Amiri"/>
          <w:color w:val="111111"/>
          <w:sz w:val="28"/>
          <w:szCs w:val="28"/>
          <w:rtl w:val="true"/>
          <w:lang w:bidi="ar-SA"/>
        </w:rPr>
        <w:t xml:space="preserve">. </w:t>
      </w:r>
      <w:bookmarkStart w:id="100" w:name="pg9087_85124"/>
    </w:p>
    <w:p>
      <w:pPr>
        <w:pStyle w:val="Heading3"/>
        <w:numPr>
          <w:ilvl w:val="2"/>
          <w:numId w:val="1"/>
        </w:numPr>
        <w:rPr/>
      </w:pPr>
      <w:bookmarkStart w:id="101" w:name="__RefHeading___Toc2684165_2870459653"/>
      <w:bookmarkStart w:id="102" w:name="_Toc33"/>
      <w:bookmarkEnd w:id="100"/>
      <w:bookmarkEnd w:id="101"/>
      <w:r>
        <w:rPr>
          <w:rtl w:val="true"/>
        </w:rPr>
        <w:t>الخاتمة</w:t>
      </w:r>
      <w:bookmarkEnd w:id="102"/>
    </w:p>
    <w:p>
      <w:pPr>
        <w:pStyle w:val="BookText"/>
        <w:rPr/>
      </w:pPr>
      <w:r>
        <w:rPr>
          <w:rFonts w:ascii="Amiri" w:hAnsi="Amiri" w:eastAsia="Amiri" w:cs="Amiri"/>
          <w:color w:val="111111"/>
          <w:sz w:val="28"/>
          <w:sz w:val="28"/>
          <w:szCs w:val="28"/>
          <w:rtl w:val="true"/>
          <w:lang w:bidi="ar-SA"/>
        </w:rPr>
        <w:t>أنزل الله سبحانه وتعالى الشريعة الإسلامية السمحاء على رسوله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لتكون رسالة عالمية تواكب جميع العصور والدهور، ويكون الدين الإسلامي هو دين الله في الأرض وشريعته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ويأمر الله النبي الكريم أن يحكم بما انزل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فَاحْكُمْ بَيْنَهُمْ بِمَا أَنزَلَ اللَّهُ وَلا تَتَّبِعْ أَهْوَاءَهُمْ عَمَّا جَاءَكَ مِنْ الْحَقِّ لِكُلٍّ جَعَلْنَا مِنْكُمْ شِرْعَةً وَمِنْهَاجاً وَلَوْ شَاءَ اللَّهُ لَجَعَلَكُمْ أُمَّةً وَاحِدَةً وَلَكِنْ لِيَبْلُوَكُمْ فِي مَا آتَاكُمْ فَاسْتَبِقُوا الْخَيْرَاتِ إِلَى اللَّهِ مَرْجِعُكُمْ جَمِيعاً فَيُنَبِّئُكُمْ بِمَا كُنتُمْ فِيهِ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وغاية البحث أن نصل إلى أن قانون العقوبات العراقي هل يحكم بما انزل الله تعالى أو لا؟</w:t>
      </w:r>
    </w:p>
    <w:p>
      <w:pPr>
        <w:pStyle w:val="BookText"/>
        <w:rPr/>
      </w:pPr>
      <w:r>
        <w:rPr>
          <w:rFonts w:ascii="Amiri" w:hAnsi="Amiri" w:eastAsia="Amiri" w:cs="Amiri"/>
          <w:color w:val="111111"/>
          <w:sz w:val="28"/>
          <w:sz w:val="28"/>
          <w:szCs w:val="28"/>
          <w:rtl w:val="true"/>
          <w:lang w:bidi="ar-SA"/>
        </w:rPr>
        <w:t>وقد توصل البحث في بيان ذلك إلى النتائج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تعريف القتل العمد في الشريعة الإسلامية مقيَّد بقيود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والمكافأة؛ لتعطي للمسلم شرفيته على غيره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والقانون العراقي يعرف القتل العمد خلواً من هذين القيدين؛ فلا شرفية لمسلم على يهودي، ولا على ملحد، ولا على 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متوقفاً على الشرفية، بل إن الشريعة تحكم بعدم قتل المسلم بالمسيحي أو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يحكم بقتله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وذكرت هناك أن القتل العمد في الشريعة هو تعريف لبعض </w:t>
      </w:r>
    </w:p>
    <w:p>
      <w:pPr>
        <w:pStyle w:val="BookText"/>
        <w:rPr/>
      </w:pPr>
      <w:r>
        <w:rPr>
          <w:rFonts w:ascii="Amiri" w:hAnsi="Amiri" w:eastAsia="Amiri" w:cs="Amiri"/>
          <w:color w:val="111111"/>
          <w:sz w:val="28"/>
          <w:sz w:val="28"/>
          <w:szCs w:val="28"/>
          <w:rtl w:val="true"/>
          <w:lang w:bidi="ar-SA"/>
        </w:rPr>
        <w:t>أفراد القتل العمد، وهو الموجب للقصاص؛ فلا يصلح تعريفاً لحقيقة القتل العمد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تعريف القتل العمد في القانون يعم جميع الأفراد، ويصلح أن يكون تعريفاً للحقيقة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الفقه والقانون على تقسيم القتل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 وشبهه والخطأ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والقانون يطلق على شبه العمد الضرب المفضي إلى الموت وقد أثبتنا هناك أنه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فالمشرع العراقي يتفق مع أغلب المذاهب عدا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أركان القتل العمد يمكن القول باتفاقهما إلى حد ما في الركنين المادي والمعنوي، إلا أن محل الجريمة وهو الإنسان في القانون غير مقيد، أما في الفقه فهو مقيد، وهذا شيء أساسي يترتب عليه صدق القتل العمد؛ وعليه فالشريعة لا تحكم على المسلم الذي قتل مرتداً أو حربياً أو ذمياً بالقصاص، لعدم صدق القتل العمد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حين يحكمه القانون لصدق القتل العمد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والركن المعنوي وهو العمد يقسم في القانون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بسيط، والمقترن بسبق الإصرار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يتفق القانون مع الفقه في صدق القتل العمد باستعمال المحدد أو المثقل أو الإحراق أو الإغراق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قدمنا من مصاديق، إلا أنه لا يعني المطابقة، بل تبقى الملاحظات السابقة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اتفق الفقه والقانون على أن القتل بالمحدد قتل عمد، ولكن إذا قتل المسلم الملحد أو الحربي أو المرتد بالمحدد لا يصدق القتل العمد عليه في الفقه، وان صدق في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يعني الاتفاق بينهما فهو اتفاق ليس له أي تأثير على النتيجة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القتل بسبب شرعي يصدق عليه القتل العمد عند الفقهاء بالنسبة للشاهد والحاكم والولي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القانون يصدق على الشاهد ولا يصدق </w:t>
      </w:r>
    </w:p>
    <w:p>
      <w:pPr>
        <w:pStyle w:val="BookText"/>
        <w:rPr/>
      </w:pPr>
      <w:r>
        <w:rPr>
          <w:rFonts w:ascii="Amiri" w:hAnsi="Amiri" w:eastAsia="Amiri" w:cs="Amiri"/>
          <w:color w:val="111111"/>
          <w:sz w:val="28"/>
          <w:sz w:val="28"/>
          <w:szCs w:val="28"/>
          <w:rtl w:val="true"/>
          <w:lang w:bidi="ar-SA"/>
        </w:rPr>
        <w:t>على الحاكم، كما بينا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يعني صدق القتل العمد في الفقه والقانون على الشاهد اتفاقهما، بل يبقى كل منهما على رؤيته وأسسه التي أسسها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الفقه والقانون على أن القتل بوسيلة معنوية يصدق عليه أنه قتلٌ عمداً، ولكن يبقى كل منهما على رؤيته وأسسه كما في المحدد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الاشتراك في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 له تفصيلاته 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كحكمه بالقصاص عليهم مع رد فاضل دياتهم بالنسبة، كما عليه الإمامية والمذاهب الأخرى أيضاً حكموا بجواز القصاص من الجميع، واختلفوا فيمن اتفق ولم يحضر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ولم يحضر، أو نظر، أو ما شابه ذلك من الاشتراك وفصّلوا في العقوبات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القانون فصل ذلك بتفصيلات أخرى، وجعل المساهمين لهم عقوبة واحدة وهي عقوبة الجريمة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العقوبات اجتماع، ولا اتفاق بين الفقه والقانون، حتى في المصطلحات إذ يقول الفقه بالقصاص، والقانون بالإعدام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منها يؤدي إلى الموت، ولكن لكل منهما طريقته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فالفقه بالسيف، أو بالمثل على اختلاف بين الفقهاء، كما ذكرناه في محله، وأما الإعدام في القانون فهو الشنق حتى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والدية عقوبة في الفقه لم يذكرها القانون في القتل العمد وإن كانت تقابلها الغرامة، إلا أنها لم تذكر في القتل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ذكرت في موارد أخرى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السجن أو الحبس المؤبد في الشريعة والقانون، ولكن المقصود منهما 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الشريعة يذكرون الحبس ويريدون السجن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الفرق عندهم بين الحبس، والسجن، والحبس المؤبد عندهم حتى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القانون السجن المؤبد لا يزيد على خمس وعشرين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وللسجن معناه وللحبس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فالسجن خمس سنوات 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الحبس فأقله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ولا يزيد على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فضلاً عن بقية العقوبات كالسجن المؤقت في القانون، والكفارة في الفقه، ومنع الإرث والوصية وما إلى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 العقوبة في الفقه وهي القصاص تكون من وليّ الدم، أو من ينوب عنه، أما في القانون فالسلطة التنفيذية تتولى الإعدام والسجن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التوافق حينئذ إذا أناب الولي السلطة 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العقوبة الأصلية للقتل العمد في الفقه هي القصاص وتكون إما على نحو الوجوب العيني، أو على نحو الوجوب التخييري عند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فالتخيير يكون بينه وبين الدية، وبقية العقوبات بدلية كالتعزير والكفارة ومنع الإرث ومنع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ويستثني الفقه بعض الموارد التي صدق عليها القتل العمد من القصاص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إذا قتل ابنه فلا قصاص عليه، ولكن يعزر، ويكفّر، وتجب عليه الدية لباقي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يقتل العبد وخاصة قتل السيد عبده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المسلم لغيره لعدم التكافؤ</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المجنون إذا قتل عاقلاً أو مجنونا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 إذا قتل المجنون عليه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إذا قتل صبياً أو بالغاً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غير محقون الدم كالمرتد والحربي وغيره ممن سب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الإمامية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الاستثناءات ليست كذلك في القانون، حيث إن المسؤولية الجنائية لها موانع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الإدراك والإرادة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كالمجنون، أو عاهة في العقل أو بسبب كونه في حالة سكر، أو تخدير أعطي له قسراً فتعد عذراً مخففاً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الإكراه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مسؤولية على من أكرهته على ارتكاب الجريمة قوة مادية أو معنوية لا يستطيع دفعها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الضرورة وقاية لنفسه، أو غيره، أو ماله، أو مال الغير من خطر 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يتم السابعة من عمره لا تقام ضده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أتم السابعة من عمره ولم يتم الثامنة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النتائج التي توصلت إليها من خلال البحث، ويترتب على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قانون العقوبات العراقي يستمد تشريعه من شريعة أخرى غير الشريعة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وحسب ما قرأت من القانون الفرنسي الذي يرتكز على الشريعة اللاتينية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تطبق المادة الدستورية التي تعد الشريعة الإسلامية المصدر الأساس للتشريع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الأخذ من الشريعة الإسلامية ما موجود ومثبت، ويتوافق مع مجريات العصر والتطور ومقتضيات الدولة المدنية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دائرة الحدود والأحكام الجنائية لا تتجاوز عدّة أحكام، ويصعب تطبيق شروطها في الوقت الحاضر، بل ربما يفلت المجرم بسهولة من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إثبات الجريمة والتحقيق مع المجرم وما إلى ذلك من الأمور الحديثة من الاعتماد على العلوم المتخصصة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العلوم والتشريعات قد اتسعت بحسب اتساع العصر وتطور الحياة الاجتماعية، وازدياد مشكلاتها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حدا بالدول الإسلامية ومنهم العراق إلى الاعتماد على القوانين الوضعية المشرعة، وان كانت من أهل بلاد غير إسلامية الذين لا يحكمون بما أنزل الله في الشريعة الإسلامية، وإنما بشرائع أخرى أو حسب ما يرونه مناسباً لهم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ولكي نجمع بين الحكم بحسب مقتضيات العصر، ومفهوم الدولة المدنية الحديثة، والحكم بما أنزل الله تعالى فعلينا دراسة وتطوير التشريعات القانونية </w:t>
      </w:r>
    </w:p>
    <w:p>
      <w:pPr>
        <w:pStyle w:val="BookText"/>
        <w:rPr/>
      </w:pPr>
      <w:r>
        <w:rPr>
          <w:rFonts w:ascii="Amiri" w:hAnsi="Amiri" w:eastAsia="Amiri" w:cs="Amiri"/>
          <w:color w:val="111111"/>
          <w:sz w:val="28"/>
          <w:sz w:val="28"/>
          <w:szCs w:val="28"/>
          <w:rtl w:val="true"/>
          <w:lang w:bidi="ar-SA"/>
        </w:rPr>
        <w:t>والاستعانة بالعلوم الحديثة لتطوير مصطلحاتنا القانونية، لما يتوافق مع تطورات العصر، وحل الأزمات والمشاكل والنزاعات بما يحصل لنا من نتائج البحوث وتطويرها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حالة عجزنا عن الحصول على نص يواكب التطور فباب الاجتهاد مفتوح للتطوير،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 بالسيف فهل يمكن أن توجد طريقة أسهل توافق عليها جمعيات حقوق الإنسان؛ لأن ذلك لا يتلائم مع طبيعة العصر، خصوصاً إذا قيس بما شرعته بعض الدول الغربية في تعاملها مع الحيوان، إذ اشترطت تخديره قبل ذبحه فكيف نقتص من الإنسان بالسيف في هذا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وخير شاهد على أن باب الاجتهاد مفتوح، ما ذكرته عن السيد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أجاز القصاص بالكهرباء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إذا جعلنا هذه الأمور الحديثة تحت أنظار المجتهدين نحصل على أحكام تتفق وطبيعة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يمكن إن نقترح ما يأتي للاستفادة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اقترح إنشاء مركز البحوث الشرعية القانونية لتطوير ودراسة القوانين العراقية، وتغييرها بما يرضي الله تعالى، ويلائم روح العصر وتطوره، حتى نصل إلى الحكم بما أنزل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وظيفة الأنبياء وأوصيائهم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الله سبحانه وتعالى اهتماماً بذلك، وأكد كثيرا ًعلى أنبيائه أن يحكموا بما أنزل الله تعالى، لما له من مساس بحياة الناس في أنفسهم وأعراضهم وأموالهم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علينا الاهتمام بذلك، وتطبيق الشروط التي وردت في الشريعة المقدسة لنيل منصب القاضي، لأنه الشريان الأبهر لكل نظام يسعى لتحقيق العدالة والمساواة التي تحقق الازدهار والرفاهية للمجتمع</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الاستعانة بالمرجعيات الدينية الرشيدة، وتحصيل المشورة والإرشاد والتوجيه في هذا المجال تيمناً بقول الرسول الأعظم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علماء أمتي كأنبياء بني إسرائيل</w:t>
      </w:r>
      <w:r>
        <w:rPr>
          <w:rFonts w:eastAsia="Amiri" w:cs="Amiri" w:ascii="Amiri" w:hAnsi="Amiri"/>
          <w:color w:val="111111"/>
          <w:sz w:val="28"/>
          <w:szCs w:val="28"/>
          <w:rtl w:val="true"/>
          <w:lang w:bidi="ar-SA"/>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وصلت إليه وإن لم يكن البحث بمقدار ما طرحت، أو أن مقامي لا يسمح بهذه المقترحات إلا أنني أطرح ذلك من باب إيجاد الفكرة وتحريرها من القوة إلى الفعل ليتصدى لها من هو من أهلها، والله أسأل أن يوفقنا وإياكم لما فيه الخير والصلاح لهذا البلد الجريح والله ولي التوفيق</w:t>
      </w:r>
      <w:r>
        <w:rPr>
          <w:rFonts w:eastAsia="Amiri" w:cs="Amiri" w:ascii="Amiri" w:hAnsi="Amiri"/>
          <w:color w:val="111111"/>
          <w:sz w:val="28"/>
          <w:szCs w:val="28"/>
          <w:rtl w:val="true"/>
          <w:lang w:bidi="ar-SA"/>
        </w:rPr>
        <w:t xml:space="preserve">. </w:t>
      </w:r>
      <w:bookmarkStart w:id="103" w:name="pg9087_85131"/>
    </w:p>
    <w:p>
      <w:pPr>
        <w:pStyle w:val="Heading3"/>
        <w:numPr>
          <w:ilvl w:val="2"/>
          <w:numId w:val="1"/>
        </w:numPr>
        <w:rPr/>
      </w:pPr>
      <w:bookmarkStart w:id="104" w:name="__RefHeading___Toc2684167_2870459653"/>
      <w:bookmarkStart w:id="105" w:name="_Toc34"/>
      <w:bookmarkEnd w:id="103"/>
      <w:bookmarkEnd w:id="104"/>
      <w:r>
        <w:rPr>
          <w:rtl w:val="true"/>
        </w:rPr>
        <w:t>المصادر والمراجع</w:t>
      </w:r>
      <w:bookmarkEnd w:id="1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 لأعمال الأبرار في فقه الإمام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يوسف 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التشريع الجنائي الإسلامي مقارناً بالقانون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القادر عودة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الكاتب العربي –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شبر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ثالثة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الحوالك على موطأ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المتعالية في الأسفار العقلية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 صدر الدين محمد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رابعة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العاملي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ثامن الحجج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الزبدة الفقهية في شرح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حسن ترحيني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الهادي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الزهراء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قانون العقوبات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 المعارف </w:t>
      </w:r>
      <w:r>
        <w:rPr>
          <w:rFonts w:eastAsia="Amiri" w:cs="Amiri" w:ascii="Amiri" w:hAnsi="Amiri"/>
          <w:color w:val="111111"/>
          <w:sz w:val="28"/>
          <w:szCs w:val="28"/>
          <w:lang w:bidi="ar-SA"/>
        </w:rPr>
        <w:t>1976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قانون العقوبات العراقي وتعديلاته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نديم مرعشلي وأسامة مرعشلي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العقوبات القسم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واثبة داود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العقوبات رقم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وتعديلاته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نبيل عبد الرحمن حياوي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ثانية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 مط المكتبة القانونية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الخاص في قانون العقوبات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رمسيس بهنام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أولى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دار المعارف في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تنظيم برزكر بفروبي ط 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مط تكي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العامة في قانون العقوبات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خلف و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سلطان عبد القادر الشاوي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المكتبة القانونية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مباني تكملة 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زعيم الحوزة العلمية السيد أبو القاسم الموسوي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الاشرف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في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بن علي العاملي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باسدار إسلام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الموضوعي لنهج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أويس كريم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قدامة موفق الدين أبو محمد عبد الله بن أحمد المقدسي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دار الحديث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لويس اليسوعي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تاسعة </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الكاثوليكية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مهذب الأحكام في بيان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الأعلى الموسوي السبزواري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 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الاشرف سنة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الحسن 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الخامسة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bookmarkStart w:id="106" w:name="pg9087_85133"/>
    </w:p>
    <w:p>
      <w:pPr>
        <w:pStyle w:val="Heading2"/>
        <w:numPr>
          <w:ilvl w:val="1"/>
          <w:numId w:val="1"/>
        </w:numPr>
        <w:rPr/>
      </w:pPr>
      <w:bookmarkStart w:id="107" w:name="__RefHeading___Toc2684169_2870459653"/>
      <w:bookmarkStart w:id="108" w:name="_Toc35"/>
      <w:bookmarkEnd w:id="106"/>
      <w:bookmarkEnd w:id="107"/>
      <w:r>
        <w:rPr>
          <w:rtl w:val="true"/>
        </w:rPr>
        <w:t xml:space="preserve">الدلالة الإطلاقية </w:t>
      </w:r>
      <w:r>
        <w:rPr>
          <w:rtl w:val="true"/>
        </w:rPr>
        <w:t xml:space="preserve">- </w:t>
      </w:r>
      <w:r>
        <w:rPr>
          <w:rtl w:val="true"/>
        </w:rPr>
        <w:t>الشيخ نجم الترابي دام عزه</w:t>
      </w:r>
      <w:bookmarkEnd w:id="108"/>
    </w:p>
    <w:p>
      <w:pPr>
        <w:pStyle w:val="Heading3"/>
        <w:numPr>
          <w:ilvl w:val="2"/>
          <w:numId w:val="1"/>
        </w:numPr>
        <w:rPr/>
      </w:pPr>
      <w:bookmarkStart w:id="109" w:name="__RefHeading___Toc2684171_2870459653"/>
      <w:bookmarkStart w:id="110" w:name="_Toc36"/>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 xml:space="preserve">إن للإطلاق أنحاءً ومناشئ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أنحاءه فمنه اللفظي اللحاظي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واللفظي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واللحاظي المقامي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والمنتج للحصَّة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والمنتج للسعة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مناشئه فمنه ما تقتضيه الضرورة العقلية كما إذا امتنع التقييد فإنه يجب الإطلاق ثبوتاً فيما لو كانا نقيضين أو ضدين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يستدعيه مقام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تستدعيه مقدمات خاصة يُقال لها مقدمات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تسمية وفق أحد الإتجاهين في تخريج عمدة مقدّماتها كما سيأتي عليك خلال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بحثنا هو آخر تلك الأنحاء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المنتج للسعة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ومقصودنا فيه تحقيق مقدمات آخر هذه المناشيء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rtl w:val="true"/>
          <w:lang w:bidi="ar-SA"/>
        </w:rPr>
        <w:t xml:space="preserve">- .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9087_85135"/>
      <w:bookmarkStart w:id="112" w:name="pg9087_85135"/>
      <w:bookmarkEnd w:id="112"/>
    </w:p>
    <w:p>
      <w:pPr>
        <w:pStyle w:val="BookText"/>
        <w:rPr/>
      </w:pPr>
      <w:bookmarkStart w:id="113" w:name="pg9087_85135"/>
      <w:bookmarkEnd w:id="113"/>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كل الحمد لولي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والسلام على المصطفى محمد وآله سادة الأمم</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2684173_2870459653"/>
      <w:bookmarkStart w:id="115" w:name="_Toc37"/>
      <w:bookmarkEnd w:id="114"/>
      <w:r>
        <w:rPr>
          <w:rtl w:val="true"/>
        </w:rPr>
        <w:t>الدلالة الإطلاقية</w:t>
      </w:r>
      <w:bookmarkEnd w:id="115"/>
    </w:p>
    <w:p>
      <w:pPr>
        <w:pStyle w:val="BookText"/>
        <w:rPr/>
      </w:pPr>
      <w:r>
        <w:rPr>
          <w:rFonts w:ascii="Amiri" w:hAnsi="Amiri" w:eastAsia="Amiri" w:cs="Amiri"/>
          <w:color w:val="111111"/>
          <w:sz w:val="28"/>
          <w:sz w:val="28"/>
          <w:szCs w:val="28"/>
          <w:rtl w:val="true"/>
          <w:lang w:bidi="ar-SA"/>
        </w:rPr>
        <w:t>إن للدلالة الإطلاقية دوراً وسيعاً في الاستدلال الفقهي والبحث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من حيث ثبوت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ذكر اسم الجنس مثلاً فإن الأصل إرادة المطلق منه، وإنما وقع الخلاف في تخريج ذلك، فنُسب إلى المشهور أنهم خرّجوها على أنها دلالة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من جهة عدم معروفية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ذهب سلطان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وعموم من تأخر عنه إلى أنها دلالة غير 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التجوز في لفظ اسم الجنس في حال تقييده أو إطلاقه على سبيل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اختلفوا فيما بينهم في سنخ هذه الدلالة على اتجاهين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فالمشهور بينهم تخريجها على أساس وجود قرينة حالية عامة بها تثبت الدلالة الإطلاقية اصطُلح عليها بقرينة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جملة من الأعلام أخيراً إلى أن الدلالة الإطلاقية لا تتوقف على 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دلالة لفظية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عن الخلاف بين مسلك الدلالة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ومسلك الدلالة غير الوضعية أشبه بالبحوث التأريخية من جهة وضوح تعين الثاني حتى انقرض القول بالدلالة الوضعية تماماً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المقصود في هذا البحث تنقيح مبنى الدلالة الإطلاقية وفق الاتجاهين المذكورين ضمن المسلك الثاني، وتحقيق الراجح بينهما</w:t>
      </w:r>
      <w:r>
        <w:rPr>
          <w:rFonts w:eastAsia="Amiri" w:cs="Amiri" w:ascii="Amiri" w:hAnsi="Amiri"/>
          <w:color w:val="111111"/>
          <w:sz w:val="28"/>
          <w:szCs w:val="28"/>
          <w:rtl w:val="true"/>
          <w:lang w:bidi="ar-SA"/>
        </w:rPr>
        <w:t xml:space="preserve">. </w:t>
      </w:r>
      <w:bookmarkStart w:id="116" w:name="pg9087_85136"/>
    </w:p>
    <w:p>
      <w:pPr>
        <w:pStyle w:val="BookText"/>
        <w:rPr/>
      </w:pPr>
      <w:bookmarkEnd w:id="116"/>
      <w:r>
        <w:rPr>
          <w:rFonts w:ascii="Amiri" w:hAnsi="Amiri" w:eastAsia="Amiri" w:cs="Amiri"/>
          <w:color w:val="111111"/>
          <w:sz w:val="28"/>
          <w:sz w:val="28"/>
          <w:szCs w:val="28"/>
          <w:rtl w:val="true"/>
          <w:lang w:bidi="ar-SA"/>
        </w:rPr>
        <w:t>وقد ذُكِرَ في كلمات المتأخرين القائلين بمسلك المشهور مقدمات يبلغ مجموعها أربع مقدمات لانعقاد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 دون الإهمال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الكلام قيد يمنع من انعقاد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التقييد والإطلاق إثباتاً وثبوتاً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تطابق المراد الجدي والمراد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بين الاتجاهين المذكورين يتعلق بالمقدمة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الاتجاه المشهور يرى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الإطلاق على إحرازها، وأما الاتجاه الثاني فلا يجد 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المقدمات الثلاثة الأخرى فهي مشتركة بين الاتجاهين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بهذا البحث تحقيق القول في شأن المقدمات الأربعة دون التعرض لسائر مباحث الإطلاق والتقييد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الحديث عن حقيقة الإطلاق والتقييد ثبوتاً وسنخ التقابل بينهما، وتحليل الإطلاق اللفظي المنتج لإرادة الحصة كالوجوب النفسي عند دوران الأمر بين الوجوب النفسي والغيري، ومن قبيل حقيقة الإطلاق المقامي وغير ذلك من الأبحاث</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684175_2870459653"/>
      <w:bookmarkStart w:id="118" w:name="_Toc38"/>
      <w:bookmarkEnd w:id="117"/>
      <w:r>
        <w:rPr>
          <w:rtl w:val="true"/>
        </w:rPr>
        <w:t>محل الدلالة الإطلاقية</w:t>
      </w:r>
      <w:bookmarkEnd w:id="118"/>
    </w:p>
    <w:p>
      <w:pPr>
        <w:pStyle w:val="Heading4"/>
        <w:numPr>
          <w:ilvl w:val="3"/>
          <w:numId w:val="1"/>
        </w:numPr>
        <w:rPr/>
      </w:pPr>
      <w:bookmarkStart w:id="119" w:name="__RefHeading___Toc2684177_2870459653"/>
      <w:bookmarkStart w:id="120" w:name="_Toc39"/>
      <w:bookmarkEnd w:id="119"/>
      <w:r>
        <w:rPr>
          <w:rtl w:val="true"/>
        </w:rPr>
        <w:t>اشارة</w:t>
      </w:r>
      <w:bookmarkEnd w:id="120"/>
    </w:p>
    <w:p>
      <w:pPr>
        <w:pStyle w:val="BookText"/>
        <w:rPr/>
      </w:pPr>
      <w:r>
        <w:rPr>
          <w:rFonts w:ascii="Amiri" w:hAnsi="Amiri" w:eastAsia="Amiri" w:cs="Amiri"/>
          <w:color w:val="111111"/>
          <w:sz w:val="28"/>
          <w:sz w:val="28"/>
          <w:szCs w:val="28"/>
          <w:rtl w:val="true"/>
          <w:lang w:bidi="ar-SA"/>
        </w:rPr>
        <w:t xml:space="preserve">إذا بنينا على أن اسم الجنس مثلاً موضوع للطبيعة المهملة أو ما بحكمها فعند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الجعل تكون عندنا دائرتان في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المعنى وهو ما وضِعَ له اسم الجنس، ويتعين من خلال الأصول اللفظية التي تعتمد في الدلالة الوضعية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ذاك المعنى وحدوده وسوره، وبعبارة أخرى القيود والشرائط والموانع التي لو كانت لصيّرت المعنى في دائرة أضيق مما لو لم تكن، وهذا هو المقصود من التعبير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w:t>
      </w:r>
      <w:r>
        <w:rPr>
          <w:rFonts w:eastAsia="Amiri" w:cs="Amiri" w:ascii="Amiri" w:hAnsi="Amiri"/>
          <w:color w:val="111111"/>
          <w:sz w:val="28"/>
          <w:szCs w:val="28"/>
          <w:rtl w:val="true"/>
          <w:lang w:bidi="ar-SA"/>
        </w:rPr>
        <w:t xml:space="preserve">. </w:t>
      </w:r>
      <w:bookmarkStart w:id="121" w:name="pg9087_85137"/>
    </w:p>
    <w:p>
      <w:pPr>
        <w:pStyle w:val="BookText"/>
        <w:rPr/>
      </w:pPr>
      <w:bookmarkEnd w:id="121"/>
      <w:r>
        <w:rPr>
          <w:rFonts w:ascii="Amiri" w:hAnsi="Amiri" w:eastAsia="Amiri" w:cs="Amiri"/>
          <w:color w:val="111111"/>
          <w:sz w:val="28"/>
          <w:sz w:val="28"/>
          <w:szCs w:val="28"/>
          <w:rtl w:val="true"/>
          <w:lang w:bidi="ar-SA"/>
        </w:rPr>
        <w:t>والدائرة الثانية هذه هي محل الدلالة الإطلاقية دون الأولى، ويتضح مما ذكرنا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الإجمال في الدائرة الثانية يحصل بعدم تمامية الدلالة الإطلاقية، أما الإجمال في الدائرة الأولى فيحصل بعدم تمامية الدلالة الوضعية وما يلحق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الدائرة الثانية مضافة إلى الدائرة الأولى أي أن السور والحدود إنما هي سور وحدود أصل المعنى، فإذا اختلف أصل المعنى اختلفت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لما يترتب عليها في المبحث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النظر في بعض الكلمات التي تذكر بعض الأصول اللفظية المرتبطة بأصل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والدائرة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يعم بعضها الدائرة الثانية ضمن مقدمات الدلالة الإطلاقية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بمقدمات الدلالة الإطلاقية خصوص ما يحتاجه التمام والحدود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في مباحث أربعة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2684179_2870459653"/>
      <w:bookmarkStart w:id="123" w:name="_Toc40"/>
      <w:bookmarkEnd w:id="122"/>
      <w:r>
        <w:rPr>
          <w:rtl w:val="true"/>
        </w:rPr>
        <w:t>المبحث الأول</w:t>
      </w:r>
      <w:bookmarkEnd w:id="123"/>
    </w:p>
    <w:p>
      <w:pPr>
        <w:pStyle w:val="Heading5"/>
        <w:numPr>
          <w:ilvl w:val="4"/>
          <w:numId w:val="1"/>
        </w:numPr>
        <w:rPr/>
      </w:pPr>
      <w:bookmarkStart w:id="124" w:name="__RefHeading___Toc2684181_2870459653"/>
      <w:bookmarkStart w:id="125" w:name="_Toc41"/>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في أولى مقدمات الدلالة الإطلاقية وعمدتها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ويقع الكلام تارة في أصلها، وأخرى في سائر شؤونها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جهتان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انقدح أن فيها اتجاهين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الالتفات إلى أن هذين الاتجاهين إنما يتنازعان في مقام إيجاد حلٍّ لإشكالية مفادها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المتكلم ثبوتاً مراده الجدي إما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المهمل على فرض إمكانه، فإذا ألقى اسم الجنس مثلاً من دون أن يذكر قيداً معه، فإن الاحتمالات الثلاثة 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وتعين الإطلاق ثبوتاً لا يكون إلا بدفع الاحتمالين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والاتجاهان المذكوران إنما يحاولان دفع هذين الاحتمالين؛ لأنه ما دام أحدهما باقياً بلا دافع لا مجال للبناء على إرادة الإطلاق الثبوتي</w:t>
      </w:r>
      <w:r>
        <w:rPr>
          <w:rFonts w:eastAsia="Amiri" w:cs="Amiri" w:ascii="Amiri" w:hAnsi="Amiri"/>
          <w:color w:val="111111"/>
          <w:sz w:val="28"/>
          <w:szCs w:val="28"/>
          <w:rtl w:val="true"/>
          <w:lang w:bidi="ar-SA"/>
        </w:rPr>
        <w:t xml:space="preserve">. </w:t>
      </w:r>
      <w:bookmarkStart w:id="126" w:name="pg9087_85138"/>
    </w:p>
    <w:p>
      <w:pPr>
        <w:pStyle w:val="BookText"/>
        <w:rPr/>
      </w:pPr>
      <w:bookmarkEnd w:id="126"/>
      <w:r>
        <w:rPr>
          <w:rFonts w:ascii="Amiri" w:hAnsi="Amiri" w:eastAsia="Amiri" w:cs="Amiri"/>
          <w:color w:val="111111"/>
          <w:sz w:val="28"/>
          <w:sz w:val="28"/>
          <w:szCs w:val="28"/>
          <w:rtl w:val="true"/>
          <w:lang w:bidi="ar-SA"/>
        </w:rPr>
        <w:t>ويمكن تصوير الإشكالية المذكورة إثباتاً في مقام المراد التفهيمي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لاسم الجنس في حال عدم ذكر القيد معه حالات ثلاثة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يندرج تحته تعمد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والإهمال والإطلاق، وجميعها تنسجم مع المدلول الوضعي لاسم الجسم، وتعين الإطلاق إثباتاً لا يحصل إلا بدفع احتمالي الإجمال والإهمال الإثباتيين</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2684183_2870459653"/>
      <w:bookmarkStart w:id="128" w:name="_Toc42"/>
      <w:bookmarkEnd w:id="127"/>
      <w:r>
        <w:rPr>
          <w:rtl w:val="true"/>
        </w:rPr>
        <w:t>الاتجاه الأول</w:t>
      </w:r>
      <w:bookmarkEnd w:id="128"/>
    </w:p>
    <w:p>
      <w:pPr>
        <w:pStyle w:val="BookText"/>
        <w:rPr/>
      </w:pPr>
      <w:r>
        <w:rPr>
          <w:rFonts w:ascii="Amiri" w:hAnsi="Amiri" w:eastAsia="Amiri" w:cs="Amiri"/>
          <w:color w:val="111111"/>
          <w:sz w:val="28"/>
          <w:sz w:val="28"/>
          <w:szCs w:val="28"/>
          <w:rtl w:val="true"/>
          <w:lang w:bidi="ar-SA"/>
        </w:rPr>
        <w:t xml:space="preserve">وهو السائد عند المتأخرين من أن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سنخ ظهور تركيبي من حالٍ ولفظ أو حكم عقلي أو 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مقدمة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غرض كل متكلم من خطابه بيان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يبين بعض مراده، ونعني بالتمام ما ذكرناه في محل الدلالة الإطلاقية من أنه جميع القيود والشرائط والموانع المعتبرة في الحكم أو أحد ملابساته من موضوعه أو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يُنتظر منها أن تحل الإشكالية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جهة أخرى أن يقام الدليل على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ومقدار هذا الوجود من أنها هي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الخروج عنها يحتاج إلى دليل أو أنها ثابتة في حالات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حلها للإشكالية فتوضيحه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نفي الإهمال والإجمال ثبوتاً وإثباتاً إنما يحصل بمجرد إحرازها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منافاة كونه في مقام بيان جميع القيود والشرائط للإهمال والإجمال ثبوتاً وإثباتاً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بديهي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يتوهم أنه أحياناً قد يكون تمام المراد هو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منسجم مع المدلول الوضعي لاسم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يحتاج إلى إقامة 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مبني على تفسير خاطئ للتمام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هو المنسبق منه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ذكرناه من أنه تمام القيود والشرائط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نفي إرادة المقيد ثبوتاً مع عدم ذكر القيد يستلزم نقض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ما كان لا يُحتمل أن أصحاب الاتجاه الثاني ينكرون أن المقدمة محل البحث على فرض وجودها تحل الإشكالية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هم ينكرون أصل وجود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يُستدل على وجود المقدمة محل البحث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له في كلماتهم بيانان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الأول</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سيرة أهل المحاورة على التمسك بالإطلاق مع عدم 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القطع والاطمئنان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يصح إلا إذا كان الأصل عندهم فيما إذا شُك في كون المتكلم في مقام بيان تمام مراده هو أنه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حقيقته انتقال من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التمسك بالإطلاق مع عدم إحراز أنه في مقام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الملزوم وهو تمامية مقدمات الحكمة، ولما كان المفروض أن المقدمة محل البحث 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وجود أصل عقلائي يثبتونها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لو سلَّمنا توقف انعقاد الإطلاق على المقدمة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ينعقد في حال إحرازها، أما في حال الشك في تحققها فلعل تمسك العقلاء لإجل وجه آخر لا يتوقف على إحراز المقدمة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السيرة المزبورة أعم </w:t>
      </w:r>
    </w:p>
    <w:p>
      <w:pPr>
        <w:pStyle w:val="BookText"/>
        <w:rPr/>
      </w:pPr>
      <w:r>
        <w:rPr>
          <w:rFonts w:ascii="IRNazanin" w:hAnsi="IRNazanin" w:eastAsia="IRNazanin"/>
          <w:color w:val="111111"/>
          <w:sz w:val="28"/>
          <w:sz w:val="28"/>
          <w:szCs w:val="28"/>
          <w:rtl w:val="true"/>
          <w:lang w:bidi="fa-IR"/>
        </w:rPr>
        <w:t>من المدعى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سيأتي عدم تمامية ما يذكر كدليل للاتجاه الثاني، فلا يبقى تخريج لا يواجه إشكالاً إلا المقدمة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إن هذا الإيراد يتم فيما لو احتملنا وجهاً صحيحاً آخر تُخرّج عليه الدلالة الإطلاقية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مجرد الاحتمال فلا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الثاني</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حال كل متكلم هو كونه في مقام بيان تمام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كونه في مقام الإهمال أو الإجمال يحتاج إلى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ويفترق هذا الوجه عن سابقه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الوجه الأول انطلق من لازم ثبوت الأصل إلى الأصل والذي هو الملزوم، أما في هذا الوجه فمباشرة ذهب إلى الأصل من دون توسيط لازمه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الوجه الأول لم يوضح حقيقة هذا الأصل العقلائي، أما في الثاني فبين أن حقيقته هي ظهور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الوجه الأول يصلح أن يكون دليلاً على حجية الظهور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بعد الفراغ من ثبوته صغروياً، حجة موضعية وإن لم تثبت حجية الظهور الحالي بصورة عامة أو في دائرة أوسع من الدلالة الإطلاقية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الوجه الثاني هذا يحتاج إلى بحث صغروي من أن المقام فعلاً ظاهر حال كل متكلم ما ذُكر، وبحث كبروي في حجية الظهور الحالي، وقبلهما نذكر مقدمة في المقصود بظهور الحال وبعض خصوصياته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 الحال هو الكشف المستند إلى حال المتكلم، فالكاشف في المقام هو الحال لا اللفظ ولا الفعل، وما يكشف عنه الحال تارة يكون مدلولاً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ينسبق إليه ذهن الإنسان العرفي، وأخرى لا يكون كذلك بأن يكون </w:t>
      </w:r>
    </w:p>
    <w:p>
      <w:pPr>
        <w:pStyle w:val="BookText"/>
        <w:rPr/>
      </w:pPr>
      <w:r>
        <w:rPr>
          <w:rFonts w:ascii="Amiri" w:hAnsi="Amiri" w:eastAsia="Amiri" w:cs="Amiri"/>
          <w:color w:val="111111"/>
          <w:sz w:val="28"/>
          <w:sz w:val="28"/>
          <w:szCs w:val="28"/>
          <w:rtl w:val="true"/>
          <w:lang w:bidi="ar-SA"/>
        </w:rPr>
        <w:t>عقلياً أو علمياً، والمقصود هنا هو الأول كما هو الشأن في الظهورات اللفظية، فالنتيجة أن الحال هيئة يكون عليها المتكلم لها مدلول عرفي أو غير 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والظهور الحالي منه نوعي ومنه شخصي كالظهور اللفظي، وتارة يكون من القرائن المكتنفة بالكلام، وأخرى مكتنفة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ظهور حالي 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المجرد عن كليهما كما في حال السكوت والتقرير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والإحراز الحالي في نفسه دليل لبي يُقتصر فيه على القدر المتيقن إلا في حالات خاصة تُذكر في محلها، كما أن إحراز هذا الحال الدال على المدلول العرفي قد يبلغ مرتبة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 لحجية القطع، وقد يبلغ الاطمئنان فيكون حجة أيضاً لحجية الاطمئنان العقلائي مطلقاً، وقد يكون ظهوراً فيحتاج إلى إثبات 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البحث الكبروي الذي أشرنا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انتهت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صغروياً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مصحح الاتصاف بهذا الحال هو التكلم بلفظ يصلح أن يكون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فيما لو كان مدلول اللفظ ماهية وسيعة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في 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كان ساكتاً لم يتصف بالحال الخاص أو أن الكلام كان بلفظ لا يصلح أن يكون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حجية الظهور الحالي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الحالي الإطلاقي عرفنا الدليل على حجيته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حجية الظهور الحالي بصورة عامة فتفصيله في محله إنما نذكر هنا إجماله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الظهور اللفظي المفروغ من حجيته بدؤه من الظهور الحالي وانتهاؤه إليه، فلا قيمة للظهور اللفظي بدون الظهور الحالي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فالظهور الكاشف عن كون المتكلم عندما يُلقي كلامه أنه في مقام أصل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الإجمال والإبهام هو ظهور حال، والظهور الكاشف عن كونه ليس غافلاً عندما صدر الكلام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ملتفت إليه أيضاً هو ظهور حال، ويعبر عنه بأصالة عدم الغفلة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الانتهاء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الكاشف عن الإرادة والقصد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إرادة استعمالية أم إرادة جدية، هذا في الألفاظ، أو إرادة في غير مقام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 الحال بعد عدم أخذ الإرادة في معاني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الكاشف عن متابعة المتكلم لقوانين لغته وعرفه أيضاً ظهور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 أننا ما لم نسلم بهذه الحزمة من الظهورات الحالية في البدء والختم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للظهور اللفظي إلا أن يدعى القطع من هذه الأحوال أو الاطمئنان بما لا يرجع إلى الاعتماد على ظهور الحال، وهو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ما ذكرناه من الحجية الموضعية للظهور الإطلاقي، ومن ثم لا يبعد التعميم لكل ظهور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الظهورات الحالية المزبورة مكتنفة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قد لا يستفاد من الوجه الإجمالي هذا في إثبات حجية الظهور الحالي المكتنف بالفعل أو الظهور الحالي البحت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بناء العقلاء على أصالة عدم الغفلة في جميع التصرفات من الأفعال والأقوال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وعرفنا أنها ظهور حال – طبعاً بما لا يلزم معه محذور الدور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فتحصل أن حجية الظهور الحالي بصورة عامة أمر لا مفر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في المطارح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هناك أصل يُرجع إليه عند الشك في ورود المطلق في مقام البيان؟ قد يقال إن أغلب موارد استعمال المطلقات إنما هو ذلك، فعند الشك يجمل عليه، وليس بذلك البعيد فتأمل</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ألقى المتكلم اسم الجنس مثلاً وشككنا أنه في مقام بيان تمام مراده أم لا؟ فإنه لما كان أغلب الموارد التي يستعمل المتكلم فيها المطلق يكون في مقام البيان لتمام مراده، فإن هذا يستدعي أن نحمل المورد المشكوك </w:t>
      </w:r>
    </w:p>
    <w:p>
      <w:pPr>
        <w:pStyle w:val="BookText"/>
        <w:rPr/>
      </w:pPr>
      <w:r>
        <w:rPr>
          <w:rFonts w:ascii="Amiri" w:hAnsi="Amiri" w:eastAsia="Amiri" w:cs="Amiri"/>
          <w:color w:val="111111"/>
          <w:sz w:val="28"/>
          <w:sz w:val="28"/>
          <w:szCs w:val="28"/>
          <w:rtl w:val="true"/>
          <w:lang w:bidi="ar-SA"/>
        </w:rPr>
        <w:t>على الغلبة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هناك فرقاً بين غلبة استعمال الألفاظ المطلقة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غلبة كونه في مقام البيان عند استعمال الألفاظ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الأولى غلبة 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غلبة 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أن الغلبة المذكورة في هذا الوجه إنما هي غلبة خارجية لا في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والغلبة الخارجية في نفسها لا حجية لها إلا إذا كانت مرتكزة في أذهان أهل المحاورة بحيث يعدونها من القرائن المكتنفة بالكلام الموجبة للظهور على وفقها، ولا دليل على أن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اتضح أن لدينا أصلاً عقلائياً نحرز به وجود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 في وجودها، وهوية هذا الأصل أنه ظهور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ما هي النكتة الثبوتية التي دفعت المتكلم إلى أن يكون غرضه بيان تمام مراده بكلامه؟ فقد وقع الكلام في تحليل ذلك من جهة أنه لا مكان للتعبد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ارتكازياتهم أم سلوكياتهم أم محاوراتهم، ويمكن أن يذكر لذلك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طبع الكلام والمتكلم يقتضي أن يكون المتكلم في مقام البيان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شيء اقتضاءً يمثل طبعه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فطبع المتكلم مقتضٍ لبيان مقاصده والإفصاح عن مرامه من خلال الكلام وما يلحق به من قرائن حالية ومقامية وسياقية وغيرها، ومنه يظهر تقييد الطبع بالمتكلم من باب التغليب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أن المتكلم والكلام أخذا بما يشمل الأمور المذكورة، والكلام بطبعه كاشف عن تلك المقاصد، فالأول أشبه باللم والثاني أشبه بالإن، ولإجل الثاني هذا كان بناء العقلاء على كاشفية الكلام عن مقاصد المتكلم، فتحصل أن طبع المتكلم يقتضي الإفصاح عن تمام مرامه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ما هو دخيل في مراده</w:t>
      </w:r>
      <w:r>
        <w:rPr>
          <w:rFonts w:eastAsia="Amiri" w:cs="Amiri" w:ascii="Amiri" w:hAnsi="Amiri"/>
          <w:color w:val="111111"/>
          <w:sz w:val="28"/>
          <w:szCs w:val="28"/>
          <w:rtl w:val="true"/>
          <w:lang w:bidi="ar-SA"/>
        </w:rPr>
        <w:t xml:space="preserve">, </w:t>
      </w:r>
      <w:bookmarkStart w:id="129" w:name="pg9087_85144"/>
    </w:p>
    <w:p>
      <w:pPr>
        <w:pStyle w:val="BookText"/>
        <w:rPr/>
      </w:pPr>
      <w:bookmarkEnd w:id="129"/>
      <w:r>
        <w:rPr>
          <w:rFonts w:ascii="Amiri" w:hAnsi="Amiri" w:eastAsia="Amiri" w:cs="Amiri"/>
          <w:color w:val="111111"/>
          <w:sz w:val="28"/>
          <w:sz w:val="28"/>
          <w:szCs w:val="28"/>
          <w:rtl w:val="true"/>
          <w:lang w:bidi="ar-SA"/>
        </w:rPr>
        <w:t>ولا يحيد عن ذلك إلا بمانع عن مقتضى طبعه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ويُستدرك على كلام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النافع في المقام هو طبع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طبع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اقتصر عليه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كونه النافع في المقام هو أننا في مقام بيان السر الذي يدفع المتكلم لبيان تمام مراده لا بعضه، وفي الجملة لا في ما يكشف عن أن ما ذكره تمام مراده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للإنسان التزاماً وتعهداً بجعل الكواشف مطابقة لمراداته الواقعية سعة وضيقاً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تبعية مقام الثبوت للإثبات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هذه ليس للمتكلم أن يأتي بلفظ مطلق مع أنه أراد في الواقع المقيد؛ لأنه خلاف مقتضى تعهده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يخفى أن لهذا التعهد والالتزام منشأ وليس هو إلا طبع المتكلم الذي ذكر آنفاً</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2684185_2870459653"/>
      <w:bookmarkStart w:id="131" w:name="_Toc43"/>
      <w:bookmarkEnd w:id="130"/>
      <w:r>
        <w:rPr>
          <w:rtl w:val="true"/>
        </w:rPr>
        <w:t>الاتجاه الثاني</w:t>
      </w:r>
      <w:bookmarkEnd w:id="131"/>
    </w:p>
    <w:p>
      <w:pPr>
        <w:pStyle w:val="BookText"/>
        <w:rPr/>
      </w:pPr>
      <w:r>
        <w:rPr>
          <w:rFonts w:ascii="Amiri" w:hAnsi="Amiri" w:eastAsia="Amiri" w:cs="Amiri"/>
          <w:color w:val="111111"/>
          <w:sz w:val="28"/>
          <w:sz w:val="28"/>
          <w:szCs w:val="28"/>
          <w:rtl w:val="true"/>
          <w:lang w:bidi="ar-SA"/>
        </w:rPr>
        <w:t>ما ذهب إليه أخيراً جملة من الأعلام</w:t>
      </w:r>
      <w:r>
        <w:rPr>
          <w:rStyle w:val="FootnoteAnchor"/>
          <w:rtl w:val="true"/>
        </w:rPr>
        <w:footnoteReference w:id="148"/>
      </w:r>
      <w:r>
        <w:rPr>
          <w:rFonts w:ascii="Amiri" w:hAnsi="Amiri" w:eastAsia="Amiri" w:cs="Amiri"/>
          <w:color w:val="111111"/>
          <w:sz w:val="28"/>
          <w:sz w:val="28"/>
          <w:szCs w:val="28"/>
          <w:rtl w:val="true"/>
          <w:lang w:bidi="ar-SA"/>
        </w:rPr>
        <w:t>من أن الإطلاق سنخ ظهور لفظي محض به تُحلُّ الإشكالية المذكورة، أما مقدمة الاتجاه الأول فلا دليل على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تجدي على فرض وجودها، فهنا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الدليل على عدم وجودها، وعلى عدم جدواها على فرض وجودها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عدم وجودها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فإنه ليس في أذهان أهل المحاورات والعقلاء من المقدمة المذكورة عين ولا أثر، مما يكشف عن أن بناءهم على الإطلاق لا يدور مدار 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فهم العرف وبناء العقلاء إنما يكونان وفق ارتكازات عقلائية ثابتة في أعماق أنفسهم، وهم غير ملتفتين لها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عارفين أنها الموجب لذاك الفهم والباعث لذلك البناء، ووظيفة الأصولي والمتابع للظواهر العقلائية تحليل تلك الارتكازات وإبرازها بصورة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وصياغتها صياغة علمية محددة كي يمكن الاستفادة منها بصورة أسهل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دعوى الارتكاز العقلائي تحتاج إلى إثبات وجود هذا الارتكاز بالتحليل والاستقراء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ودعمه بالشواهد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المقام إنما صنعنا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أقمنا الدليل الإثباتي والأساس الثبوتي لهذه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مناقشة كل ما اعتُرض به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ما يطرح كبديل لها، فلا يبقى تخريج في المقام سالماً عن الإيراد إلا هي، وماذا نريد أكثر من ذلك؟</w:t>
      </w:r>
    </w:p>
    <w:p>
      <w:pPr>
        <w:pStyle w:val="BookText"/>
        <w:rPr/>
      </w:pPr>
      <w:r>
        <w:rPr>
          <w:rFonts w:ascii="IRNazanin" w:hAnsi="IRNazanin" w:eastAsia="IRNazanin"/>
          <w:color w:val="111111"/>
          <w:sz w:val="28"/>
          <w:sz w:val="28"/>
          <w:szCs w:val="28"/>
          <w:rtl w:val="true"/>
          <w:lang w:bidi="fa-IR"/>
        </w:rPr>
        <w:t>وأما عدم جدواها</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على فرض وجودها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فيمكن أن يُطرح ببيانين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يعتمد على الجانب الإثباتي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البناء على أن خصوصية الإطلاق غير دخيلة في المعنى الوضعي لاسم الجنس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حاله حال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خارج عن المعنى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ونسبة اللفظ إليهما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إرادة أي منهما تحتاج إلى بيان زائد على اللفظ، وعليه في حال ذكر اسم الجنس من دون ذكر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لا بيان </w:t>
      </w:r>
    </w:p>
    <w:p>
      <w:pPr>
        <w:pStyle w:val="BookText"/>
        <w:rPr/>
      </w:pPr>
      <w:r>
        <w:rPr>
          <w:rFonts w:ascii="Amiri" w:hAnsi="Amiri" w:eastAsia="Amiri" w:cs="Amiri"/>
          <w:color w:val="111111"/>
          <w:sz w:val="28"/>
          <w:sz w:val="28"/>
          <w:szCs w:val="28"/>
          <w:rtl w:val="true"/>
          <w:lang w:bidi="ar-SA"/>
        </w:rPr>
        <w:t>على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لا بيان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حمله على الثاني ليس بأولى من حمله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كان القيد مراداً قبح ترك التعرض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لو كان الإطلاق مراداً قبح ترك التنبيه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اسم الجنس لا زال مهملاً فيناقض ما ذكرتموه من كون المتكلم في 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قرينة الحكمة هي الدال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قرينة الحكمة وظيفتها دفع المزاحم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إيجاد المقتضي في 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اللحاظي ثبوتاً أو زائداً على الطبيعة ومن محمولاتها بالضميمة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الجنس نسبة إلى الإطلاق والتقييد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يحكي إلا ذات الطبيعة، وقرينة الحكمة لا تفيد دالاً آخر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تنفي باقي الاحتمالات كما مضى بيانه في حلّها للإشكالية المذكورة في أول هذا لمبحث، وعليه الكشف عن ذلك الأمر الزائد خارج عن مدلول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بعد 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 ما يمكن أن يجاب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الشيخ حسين الحلي ما لفظه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التوسعة والإطلاق إما بما 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بالسكوت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في مقام البيان وقدرته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ذلك قرينة على كيفية إيراده الحكم من باب أن سكوته مع تمكنه من بيان القيد هو عبارة أخرى عن لحاظ عدم التقييد، أعني لحاظ الطبيعة مطلقة في مقام الحكم عليها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فثبوتاً الإطلاق هو لحاظ 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الطبيعة الملحوظة كذلك في مقام الحكم عليها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على ذلك إثباتاً هو إما التصريح بذلك وإما السكوت عن التقييد مع كونه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السكوت ما يكشف عنه </w:t>
      </w:r>
    </w:p>
    <w:p>
      <w:pPr>
        <w:pStyle w:val="BookText"/>
        <w:rPr/>
      </w:pPr>
      <w:r>
        <w:rPr>
          <w:rFonts w:ascii="Amiri" w:hAnsi="Amiri" w:eastAsia="Amiri" w:cs="Amiri"/>
          <w:color w:val="111111"/>
          <w:sz w:val="28"/>
          <w:sz w:val="28"/>
          <w:szCs w:val="28"/>
          <w:rtl w:val="true"/>
          <w:lang w:bidi="ar-SA"/>
        </w:rPr>
        <w:t>بنحو المطابقة هو عدم إرادة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لحاظ التقييد وما يكشف عنه بنحو الالتزام هو أنه لاحظ عدم التقييد عندما ألقى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الدال على الإطلاق موجود أما الدال على التقييد فمنفي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الأول أولى من الثاني، وأيضاً ظهر أن قرينة الحكمة تمثل دالاً آخر ينضم إلى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يحكي خصوصية الإطلاق دون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فليس دورها دفع المزاحم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دخيلة في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الحالية هي التي تدل على عدم لحاظ القيد والذي هو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بنحو الالتزام لا المطابقة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وبيانه بمقدمتين بترتيب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مقام الثبوت عندنا لحاظ وملحوظ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متعلق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له شؤونه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نُسبت إلى الآخر فبواسطة في العروض ومجاز في الإسناد، وهنا نسأل عن مقدار ما يعكسه مقام الإثبات عن مقام الثبوت؟ هل يعكس تمام ما موجود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يرتبط بذات اللحاظ أم يعكس قسماً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يكون وافياً بمراده؟</w:t>
      </w:r>
    </w:p>
    <w:p>
      <w:pPr>
        <w:pStyle w:val="BookText"/>
        <w:rPr/>
      </w:pPr>
      <w:r>
        <w:rPr>
          <w:rFonts w:ascii="Amiri" w:hAnsi="Amiri" w:eastAsia="Amiri" w:cs="Amiri"/>
          <w:color w:val="111111"/>
          <w:sz w:val="28"/>
          <w:sz w:val="28"/>
          <w:szCs w:val="28"/>
          <w:rtl w:val="true"/>
          <w:lang w:bidi="ar-SA"/>
        </w:rPr>
        <w:t>ما يُحدد ذلك المقدمة محل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كونه في مقام بيان تمام مراده بخطابه، وهي تفيد أنه بصدد بيان كل ما يدخل تحت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كل ما هو في ذهنه مما يرتبط بالقضية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 يرتبط بذات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ليس كل ما تحت لحاظه حتى في مرحلة المدلول التصوري والاستعمالي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خصوص ما يكون داخلاً تحت اللحاظ في مرحلة المدلول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مرحلة الإسناد والحكم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المبنى الذي يرى أن الإطلاق داخل تحت اللحاظ يستلزم أخذ الإطلاق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يكون الموضوع بما هو مطلق </w:t>
      </w:r>
    </w:p>
    <w:p>
      <w:pPr>
        <w:pStyle w:val="BookText"/>
        <w:rPr/>
      </w:pPr>
      <w:r>
        <w:rPr>
          <w:rFonts w:ascii="Amiri" w:hAnsi="Amiri" w:eastAsia="Amiri" w:cs="Amiri"/>
          <w:color w:val="111111"/>
          <w:sz w:val="28"/>
          <w:sz w:val="28"/>
          <w:szCs w:val="28"/>
          <w:rtl w:val="true"/>
          <w:lang w:bidi="ar-SA"/>
        </w:rPr>
        <w:t>ومجرد عن القيد، وواضح أنه ليس من أفراد هذا الموضوع في الخارج ما يكون مطلقاً ومجرداً عن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كون المتكلم في مقام بيان تمام مراده المقصود منه في مقام بيان ما تحت لحاظه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 ما يكون مراداً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الإطلاق ثبوتاً إما أنها عدم لحاظ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اختاره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لحاظ عدم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أما على الأول فواضح أنه إذا كان مراده المطلق فما يدخل تحت لحاظه لا يزيد على ذات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دال إثباتاً وراء ذات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هو قد بيِّن تمام مراده بخطابه فلا يلزم نقض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مراده المقيد فما يدخل تحت لحاظه يزيد على ذات الماهية فيجب عليه إثباتاً أن يأتي بما يدل على القيد وإلا نقض 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الثاني فهنا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الثبوتي يدخل تحت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رتبة قبل المراد الجدي فإنه يأتي ما ذكرناه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يدخل تحت اللحاظ في رتبة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وجود دالٍ عليه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لم يذكر إثباتاً إلا اسم الجنس من دون أي دالٍ عليه وبذلك يكون ناقضاً لغرضه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تعيين المطلق في مقابل المقيد بأصالة عدم العناية الزائدة بناءً على دعوى أن خصوصية الإطلاق أقل مؤونة من خصوصية التقييد، فإن زيادة المطلق على ذات الماهية وإن لم تكن تقل بالنظر الدقيق عن زيادة المقيد؛ لأن الإطلاق يزيد على ذات الماهية بلحاظ عدم دخل القيد، والمقيد يزيد عليها بلحاظ دخل القيد، ولكن النظر العرفي المعتمد في مرحلة الدلالة والظهور يقضي بأقلية زيادة المطلق عن زيادة المقيد؛ لأن زيادة المطلق لحاظ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وزيادة المقيد </w:t>
      </w:r>
    </w:p>
    <w:p>
      <w:pPr>
        <w:pStyle w:val="BookText"/>
        <w:rPr/>
      </w:pPr>
      <w:r>
        <w:rPr>
          <w:rFonts w:ascii="Amiri" w:hAnsi="Amiri" w:eastAsia="Amiri" w:cs="Amiri"/>
          <w:color w:val="111111"/>
          <w:sz w:val="28"/>
          <w:sz w:val="28"/>
          <w:szCs w:val="28"/>
          <w:rtl w:val="true"/>
          <w:lang w:bidi="ar-SA"/>
        </w:rPr>
        <w:t>لحاظ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إرادة المطلق تصبح أقل عناية وأقل مخالفة للظهور الحالي المذكور من إرادة المقيد بحسب هذا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المطلق بالأظهرية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يستدرك على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يتعرض للمسلك الآخر في حقيقة الإطلاق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لحاظ السريان وله تصويرات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يرجع إلى البشرط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الماهية مقيدةً بمفهوم 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الماهية في حالة السريان أي بنحو القضية الحينية أي السريان يُلحظ للماهية حال كونها في الذهن لا أنها مقيدة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السريان مصحح لتسرية الحكم إلى تمام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موضوع الحكم فهو الطبيعة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يجري فيه 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الأخيران فالاحتمال 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تحصل أنه ثبوتاً إذا كان في مرحلة صب الحكم ليس إلا ذات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عدم لحاظ القيد أو لحاظ السريان مصححاً أو بنحو القضية الحينية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قبل هذه المرحلة ومقدمة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منها أن تكون ذات الطبيعة تمام موضوع الحكم وليست جزءً من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تكفي أصالة التطابق بلا حاجة إلى دال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في مرحلة صب الحكم شيء زائد على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لحاظ عدم القيد أم السريان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الزائد والذي يمثل الإطلاق لا يتمثل من خلال دالٍ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أن الاعتراض المذكور إن تم فإنما يتوجه على بعض المباني في حقيقة الإطلاق الثبوتي دون جميعها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يثبت الإطلاق لما ذكر في الاحتمال الثاني من التمسك بأظهرية المطلق من المقيد؛ لأنه أقل عناية وأقل مخالفة لكون المتكلم في مقام بيان تمام مراده، ويمكن أن نذكر وجهين آخرين لإثبات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مقام توضيح مراد المحقق الشيخ حسين الحلي قدس سره حيث إن قرينة الحكمة تدل بالالتزام على اللحاظ الإطلاقي ولا يؤثر في ذلك اختلاف المبنى في حقيقة الإطلاق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يؤثر فيما لو قلنا إن الدال على خصوصية الإطلاق تمر عبر اسم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بتوسط قرينة الحكمة، دون ما إذا كان دال آخر يحكي مباشرة خصوصية الإطلاق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الوجه يكون الإطلاق ظهوراً لفظياً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يناسب ما حُكي عن بعض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من أن الإطلاق يُستكشف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إذا تعلق الحكم في مقام الإثبات بماهية مهملة ولم يقيدها المولى مع تمكنه من التقييد وكان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يحكم بثبوت الإطلاق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الإطلاق حكماً عقلياً، لا ظهوراً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أن أقصى ما يقتضيه البيانان المذكوران هو أن الإطلاق إن لم يكن ظهوراً لفظياً يكون حكماً عقلياً ودعوى عدم الجدوى لا جدوى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الإطلاق وحل الإشكالية المذكورة استناداً إلى الظهور اللفظي المحض ومن دون الاستعانة بقرينة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ويُذكر لذلك تقريبان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المحقق الأيرواني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بعد البناء على أن اسم الجنس إنما وضع للماهية من دون أخذ الإطلاق كحدٍ زائدٍ عليها، فإن هذه الماهية في حد ذاتها مطلقة سيالة سارية في أفرادها، وليست خالية عن وصف الإطلاق كخلوها عن وصف التقييد، وسريانها هذا لكونه ذاتياً لا يتغير وإن لوحظت الماهية مع ألف قيد، ولا معنى لعدّه من اعتبارات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أنها </w:t>
      </w:r>
    </w:p>
    <w:p>
      <w:pPr>
        <w:pStyle w:val="BookText"/>
        <w:rPr/>
      </w:pPr>
      <w:r>
        <w:rPr>
          <w:rFonts w:ascii="Amiri" w:hAnsi="Amiri" w:eastAsia="Amiri" w:cs="Amiri"/>
          <w:color w:val="111111"/>
          <w:sz w:val="28"/>
          <w:sz w:val="28"/>
          <w:szCs w:val="28"/>
          <w:rtl w:val="true"/>
          <w:lang w:bidi="ar-SA"/>
        </w:rPr>
        <w:t>بلحاظ العوارض المفارقة للماهية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أن تصدق الماهية المقيدة على فاقد القيد، ولا تتصف بالتقييد ولا بالإهمال إذ المقابل أعني الإطلاق لا يقبل مقابله من التقييد والإهمال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 الوجدان مخالف لذلك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عدم صدق الماهية المقيدة على فاقد القيد فلأجل عدم صدق 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الجزء يسري إلى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توصيف الماهية بأنها مقيدة فهو في الحقيقة توصيف لها باعتبار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باب الوصف بحال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قيدها مقيدة فصفة التقييد ذاتية للقيد</w:t>
      </w:r>
    </w:p>
    <w:p>
      <w:pPr>
        <w:pStyle w:val="BookText"/>
        <w:rPr/>
      </w:pPr>
      <w:r>
        <w:rPr>
          <w:rFonts w:ascii="Amiri" w:hAnsi="Amiri" w:eastAsia="Amiri" w:cs="Amiri"/>
          <w:color w:val="111111"/>
          <w:sz w:val="28"/>
          <w:sz w:val="28"/>
          <w:szCs w:val="28"/>
          <w:rtl w:val="true"/>
          <w:lang w:bidi="ar-SA"/>
        </w:rPr>
        <w:t>وعرض للمقيَّد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توصيفها بأنها مهملة فأيضاً توصيف لها باعتبار قيدها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فالماهية إذا قُيِّدت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أُهمل ذكر القيد ولم يعيِّن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مهملة يراد أنها مهملة القيد لا مهملة الذات، فالماهية المهملة من أقسام الماهية المقيدة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وامتازت بأنها لم يذكر 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تصوير السريان الذاتي للماهية وما استلزمه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إذا توجه الحكم إلى نفس الطبيعة المجردة عن كل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وسرى بسراية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فأينما وجد موضوعه أعني تلك الطبيعة توجه الحكم إليه وتعلق به بلا توقف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وراء توجه الحكم في الخطاب إلى نفس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سراية الحكم حيث ما تسري الطبيعة يتوقف على إحراز أن المتكلم في مقام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أن الطبيعة مقيدة بقيد زائد أهمل ذكره المتكلم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أوضح الشواهد على ما ذكرناه أنه لا شبهة في أن وضع اللفظ بإزاء المعنى ضرب من الحكم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أسماء الأجناس موضوعة بإزاء الماهيات المهملة كان اللازم أن يتوقف عن استعمال اللفظ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يبادر إلى إطلاق ألفاظها عليها حيثما وجدت فإن ذلك شأن تعلق الوضع بالماهيات </w:t>
      </w:r>
    </w:p>
    <w:p>
      <w:pPr>
        <w:pStyle w:val="BookText"/>
        <w:rPr/>
      </w:pPr>
      <w:r>
        <w:rPr>
          <w:rFonts w:ascii="Amiri" w:hAnsi="Amiri" w:eastAsia="Amiri" w:cs="Amiri"/>
          <w:color w:val="111111"/>
          <w:sz w:val="28"/>
          <w:sz w:val="28"/>
          <w:szCs w:val="28"/>
          <w:rtl w:val="true"/>
          <w:lang w:bidi="ar-SA"/>
        </w:rPr>
        <w:t>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والوضع بإزاء الماهيات المبهمة المهملة كالحكم عليها يكون في حكم الجزئية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يستعمل اللفظ فيها إلا بعد استعلام أنها هي ما وضع لها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يحتمل أن يكون مقصود المحقق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السريان الذاتي هذا ينبغي أن يكون مأخوذاً في المعنى الوضعي، وما ذُكر من إيرادات على مسلك الدلالة الوضعية إنما كانت لإجل أن السريان المأخوذ في المعنى الوضعي زائد على الطبيعة لا من صميم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المقصود هو أن صب الحكم على الطبيعة بمجردها يساوق صبه على سريانها، ومن ثم التفكيك بينها وبين سريانها في صب الحكم هو الذي يحتاج إلى قرينة، وبهذا تحل الإشكالية المذكورة في أول هذا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أنه عند ذكر اسم الجنس من دون ذكر قيد معه يكون الأصل هو السريان الذاتي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باقي الاحتمالات من الإجمال والإهمال وإرادة المقيد فإنه لا يصار إليها إلا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السريان الذاتي ليس إلا اتحاد الماهية مع أفرادها وشيوعها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وميدان الاتحاد هو الوجود الخارجي دون عالم الذهن واللحاظ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عالم الإطلاق والتقييد، ومن ثم لا يكفي في استحضار السريان الذاتي هذا استحضار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استئناف لحاظ آخر وراء لحاظها وتصورها، فما وقع فيه المحقق المذكور</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إسراء أحكام الخارج إلى عالم الذهن في المورد الذي لا يشتركان فيه في الأحكام، فإن بعض الأحكام مختصة بالخارج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مختصة بالذهن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مشتركة بينهما، والسريان الذاتي من مختصات الخارج والإطلاق كما التقييد معنيان ذهنيان فهما من مختصات الذهن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إلقاء اسم الجنس مجرداً عن القيد في مقام جعل الحكم ظاهر في أنه تمام الموضوع فيكون هو الأصل، ولا يصار إلى التقييد الذي يكون فيه اسم الجنس جزء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الإهمال إلا بقرينة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يذكر شاهداً على الظهور المذكور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تمام المراد هو ما تتعلق به الإرادة بالأصالة لا بالتبع، فإذا كانت الطبيعة هي تمام المراد فهذا يعني أن الإرادة تعلقت بها أولاً وبالذات، بخلاف مالو كان تمام المراد هو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الإرادة تتعلق أصالة بالمقيد وتتعلق بالطبيعة تبعاً، فتكون الطبيعة جزءً للمراد لا تمام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الخطاب المشتمل على اسم الجنس من دون ذكر القيد أن الإرادة تعلقت أولاً وبالذات بالطبيعة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تعلقت بها بتبع تعلقها بالمقيد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ما أفاده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من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كانت إرادة المتكلم على المقيد لقيام المصلحة به دون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لوجب أن يضع له علامة في اللفظ، وحيث لم يفعل ذلك يكشف عن تعليق إرادته واقعاً بالطبيعة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بعض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أن اللفظ المأخوذ في موضوع الحكم موضوع لغة للطبيعة بما هي، وأخذها في موضوع الحكم ظاهر في أنها تمام الموضوع، وهذا الظهور نصطلح عليه بالظهور السياقي، وبهذا يرجع الظهور الإطلاقي إلى ظهور وضعي وظهور سياقي</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أن الإطلاق يستفاد مما ذكرناه هو الاصطلاح على ظهور المطلق </w:t>
      </w:r>
    </w:p>
    <w:p>
      <w:pPr>
        <w:pStyle w:val="BookText"/>
        <w:rPr/>
      </w:pPr>
      <w:r>
        <w:rPr>
          <w:rFonts w:ascii="Amiri" w:hAnsi="Amiri" w:eastAsia="Amiri" w:cs="Amiri"/>
          <w:color w:val="111111"/>
          <w:sz w:val="28"/>
          <w:sz w:val="28"/>
          <w:szCs w:val="28"/>
          <w:rtl w:val="true"/>
          <w:lang w:bidi="ar-SA"/>
        </w:rPr>
        <w:t>بالظهور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وجود ظهور للمطلق، وهو إنما يتلاءم مع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مرجع مقدمات الحكمة إلى ظهور اللفظ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هذين الوجهين 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المقصود منه أن خصوصية تعلق الحكم بالطبيعة على سبيل التبع تحتاج إلى بيان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وعلامة في اللفظ بخلاف تعلق الحكم بالطبيعة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يحتاج إلى أكثر من ذكر الطبيعة مجردة عن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أنه يجب على المتكلم أن يضع علامة في اللفظ فيما لو كان يريد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فأنه لم يتضح لنا منشأ هذا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الاتجاه الحكمي مقتضى كونه في مقام البيان هو أن يذكر القيد فيما لو كان مراده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يلزم نقض الغرض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احتمال إرادة المقيد ومع ذلك لم يذكر في كلامه علامة عليه قائم بلا دافع، فيفضي إلى تزلزل الظهور المذكور على سبيل الصالح القرينة لو سلمنا أصل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لا يكون ظهوراً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احتمال الإجمال بمعنى أن المتكلم أراد إظهار أصل تعلق الحكم بالطبيعة من غير بيان تعلقه بالمطلق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المقيد يطابق ما وضع له اسم الجنس لغةً حيث إن الموضوع له هو الماهية المبهمة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منسجماً تمام الانسجام مع ذكر الطبيعة مجردة عن القيد، فلا يصار إلى الإطلاق أو التقييد إلا بدال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التأمل في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السياق المذكور أقصى ما يدل عليه أن الطبيعة دخيلة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أنها تمام الموضوع فلا يدل عليه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ما ذكره من وجود ظهور إطلاقي فقد اتضح أن قرينة الحكمة تفيد أن الإطلاق ظهور لفظي تركيبي من ظهور حالي وظهور وضعي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وبهذا انتهى الكلام في أصل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أن الصحيح ما عليه المشهور من توقف انعقاد الإطلاق على كون المتكلم في مقام بيان تمام مراده بخطابه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ثبت أن الصحيح هو قرينة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نتعرض في هذه الجهة لجملة من شؤونها في جوانب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صياغتها وتصور مفرداتها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هذه المقدمة بهذه الصياغة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المتكلم في مقام بيان تمام مراده من الجهة التي يُراد التمسك بالإطلاق بلحاظها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مؤلفة من شقين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كون المتكلم في مقام بيان تمام مراده، وكون تمام المراد من هذه الجهة أو تلك، وثبوتاً لابد من الملازمة بين الشق الأول وإحدى الجهات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يلزم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معنى لكونه في مقام بيان تمام مراده ومع ذلك لا يكون في مقام بيان أي جهة أصلاً، نعم إثباتاً قد يُشك في أنه في مقام البيان من هذه الجهة أو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التعرض لذلك في الجانب الثالث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الصياغة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الموضوع أو الحكم أو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في المادة القانونية عناصر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متعلقه، وموضوعه، والأولان واضحان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الموضوع فالمراد به في قبال المتعلق ما اصطُلح عليه من قبل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وضع مفروضاً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وأنيط به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الحكم فعلياً إلا بعد تحقق الموضوع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إناطة الحكم به يكون فوق دائرة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الحكم محرك إليه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الموضوع تعبير عن القيود والشرائط والموانع المعتبرة في فعلية الحكم هذا ثبوتاً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إثباتاً أي في مقام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فالقيود المذكورة تارة تكون قيداً للتكليف في ظاهر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بحسب ظاهر اللفظ متعلقاً للمتعلق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تكون ثبوتاً ولباً قيداً للحكم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تبرز العلاقة بين الموضوع ومتعلق المتعلق بحسب ظاهر اللفظ فإن منه ما يكون من شؤون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تحت دائرة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ما يكون فوق دائرة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مرجعه إلى أنه مما أُخذ في موضوع الحكم وإن كانت بعض العبائر قد يُستظهر منها المساواة بين متعلق المتعلق إثباتاً والموضوع ولكن بأدنى تأمل يتضح أنه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يراد بالجهة عناصر المادة القانونية هذه، فيقال إنه في مقام بيان تمام القيود والشرائط والموانع المعتبرة في ثبوت الحكم أو المعتبرة في تحقق موضوع الحكم أو المعتبرة في متعلق الحكم، وعند الشك في اشتراط التكليف ننفيه بإطلاق الهيئة، وعند الشك في اشتراط الموضوع ننفيه بإطلاق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الشك في اشتراط المتعلق ننفيه بإطلاق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بيان تمام المراد المذكور في المقدمة محل البحث هل هو المراد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طرفي النزاع في هذا الجانب هما خصوص القائلين بأن المأخوذ في مقدمات الحكمة خصوص عدم القرينة المتصلة، فإنه لو بنينا على أن الدخيل في مقدمات الحكمة عدم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الظفر بالمنفصل لا يُحتمل أن يكشف عن ارتفاع المقدمة محل البحث كما هو مبنى النزاع، وإنما يكشف عن ارتفاع المقدمة الثانية الآتية، ومن ثم أن الشيخ ومن وافقه ممن يبني على أن عدم البيان المنفصل دخيل في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لمثل هذا النزاع على مبناهم، نعم سيأتي الكلام في المبنى وهذا أمر آخر، إلا أن يكون على تقدير التنزل أو على اتجاه آخر في مقدمات الحكمة من إرجاعها جميعاً إلى المقدمة محل البحث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وأولئك القائلون بأن الدخيل في مقدمات الحكمة خصوص عدم القرينة المتصلة اختلفوا في المقام على مسلكين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المحقق الخراساني وجملة من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 xml:space="preserve">إلى أنه المراد الاستعمالي، ويظهر من بعض آخر كالسيد الحكيم والسيد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أنه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ومحور الكلام في هذا الجانب هو أن هنا ظاهرة دلالية وفهماً عرفياً لم يختلف فيه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الظفر بالمقيد المنفصل لا ينثلم الظهور في الإطلاق بالنسبة لبقية الخصوصيات الوجودية أو العدمية التي يُشك في إرادتها من الكلام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يصح التمسك به لنفيها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والمسلك القادر على تخريجها من دون لزوم محذور هو المسلك الصحيح، فالقدرة على التخريج هي دليل وبرهان تمامية المسلك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المسلك الأول بقدرته على تخريج الظاهرة الدلالية دون 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بيان تمام المراد المذكور في المقدمة محل البحث هو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الظفر بالمنفصل يكشف عن عدم كون المتكلم في مقام بيان تمام مراده أصلاً، ومن ثم ينثلم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التمسك به لنفي القيود المحتملة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أنه لا خلاف في عدم الانثلام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الملازمة</w:t>
      </w:r>
      <w:r>
        <w:rPr>
          <w:rStyle w:val="FootnoteAnchor"/>
          <w:rtl w:val="true"/>
        </w:rPr>
        <w:footnoteReference w:id="160"/>
      </w:r>
      <w:r>
        <w:rPr>
          <w:rFonts w:ascii="Amiri" w:hAnsi="Amiri" w:eastAsia="Amiri" w:cs="Amiri"/>
          <w:color w:val="111111"/>
          <w:sz w:val="28"/>
          <w:sz w:val="28"/>
          <w:szCs w:val="28"/>
          <w:rtl w:val="true"/>
          <w:lang w:bidi="ar-SA"/>
        </w:rPr>
        <w:t>أنه إذا لم يُذكر القيد متصلاً وذُكِرَ منفصلاً فهنا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في مقام البيان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كان مراده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ذكر القيد متأخراً</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 مقام البيان وكان مراده المقيد ومع ذلك لم يذكر القيد </w:t>
      </w:r>
    </w:p>
    <w:p>
      <w:pPr>
        <w:pStyle w:val="BookText"/>
        <w:rPr/>
      </w:pPr>
      <w:r>
        <w:rPr>
          <w:rFonts w:ascii="Amiri" w:hAnsi="Amiri" w:eastAsia="Amiri" w:cs="Amiri"/>
          <w:color w:val="111111"/>
          <w:sz w:val="28"/>
          <w:sz w:val="28"/>
          <w:szCs w:val="28"/>
          <w:rtl w:val="true"/>
          <w:lang w:bidi="ar-SA"/>
        </w:rPr>
        <w:t>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أخّر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 الاحتمال الثاني يستلزم نقض الغرض؛ لأنه كان يجب عليه أن يذكر القيد متصلاً، دون الاحتمال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ظهر أن الظفر بالمنفصل يكشف عن أنه في مقام الإهمال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ناقضاً لغرضه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المحذور يلزم على المسلك الثاني، ولا يلزم مثله على المسلك الأول إذ الظهور إنما يكشف مباشرة عن المراد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بأصالة التطابق بينه وبين المراد الجدي يُحدد المراد الجدي، وما يؤثر في الظهور خصوص المقيد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المنفصل فإنه يؤثر في رفع أصالة التطابق بين المراد الاستعمالي والمراد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يكشف عن أن المراد الجدي أضيق من المراد الاستعمالي مع بقاء المراد الاستعمالي على إطلاقه وسعته دون انثلام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فإنه ينكشف عدم الإطلاق على مستوى المراد الجدي من جهة القيد المنفصل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غير جهة القيد المذكور فالأصل تطابق المراد الاستعمالي والجدي فيحرز إطلاق المراد الجدي من جهة القيود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إطلاق المراد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المسلك الثاني فقد أجاب</w:t>
      </w:r>
      <w:r>
        <w:rPr>
          <w:rStyle w:val="FootnoteAnchor"/>
          <w:rtl w:val="true"/>
        </w:rPr>
        <w:footnoteReference w:id="16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المحذور المذكور بما توضيحه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أن يكون المتكلم في مقام البيان من حيث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في مقام البيان من حيث قيد آخر، فإذا ورد المقيد المنفصل كشف عن عدم كون المتكلم في مقام البيان من حيث القيد 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مقام البيان من حيث غيره من القيود فيكون مطلقاً من هذا الحيث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التمسك بهذا الإطلاق،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وتمت قرينة الحكمة فيكون المراد من العالم مَنْ يتصف بصفة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عادلاً أم فاسقاً، وسواء أكان هاشمياً أم غير هاشمي، وسواء أكان عربياً أم غير عربي، وهكذا بالنسبة لبقية التسويات والانقسامات، فإذا ورد بعد ذلك على نحو المقيد المنفصل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يستدعي رفع اليد عن ظهوره في التسوية بين الفاسق والعادل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أن المقيد المنفصل كشف عن أنه ليس في مقام البيان من جهة التسوية هذه، وأما بقية التسويات والانقسامات فهو في مقام البيان من جهتها فيكون مطلقاً بالنسبة إليها، ويجوز التمسك به لنفي احتمال إرادة أي من هذه القيود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المقصود بهذا الكلام احتمالان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يوافق ظاهره من تعدد الأصل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كونه في مقام البيان بعدد التسويات والانقسامات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المقيد المنفصل كاشفاً عن أنه ليس في مقام البيان من جهة التسوية الخاصة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من حيث باقي التسويات فالأصول العقلائية لا رافع لها، ومن ثم لا ينثلم الإطلاق من جهتها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يوافق تفسير التمام المذكور في المقدمة محل البحث من أنه جميع القيود والشرائط والموانع المأخوذة في موضوع الحكم، فإنه إذا كان لقيد عدم الفسق دخل في 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اللازم أن يذكره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ليس في مقام البيان من جهته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أنه في مقام الإهمال، وعليه هذا الاحتمال يستلزم أن لا يكون المتكلم في مقام البيان من جهة جميع القيود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مقام 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المقصود هو انحلال الأصل العقلائي والمقدمة الأولى إلى أصول عقلائية بعدد التسويات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أن يكون تخريجاً لتعدد الأصول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بالإنحلال كما في هذا الاحتمال أم من الأول كما في 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أساس أن المقنن عندما يريد أن يحكم حكماً مطلقاً يلحظ القيود المحتمل دخالتها في موضوع حكمه مقدمة لأخذها أو رفضها، وهذا يعني أنه يلحظها قيداً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وتسوية 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ويرفضها قيداً قيداً إذا لم يكن القيد دخيلاً في موضوع حكمه، وكذلك يكون في مقام البيان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هذا الاحتمال ما ذكرناه على الاحتمال الأول، وأما كونه انحلالياً فلا يفيد في دفعه، مضافاً إلى أننا نمنع الانحلال في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بقي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قد تذكر بعض الأبحاث في هذا الجانب كإنكار الإرادة الاستعمالية</w:t>
      </w:r>
      <w:r>
        <w:rPr>
          <w:rStyle w:val="FootnoteAnchor"/>
          <w:rtl w:val="true"/>
        </w:rPr>
        <w:footnoteReference w:id="1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أو كون حقيقة التكليف</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أنه إنشاء بداعي جعل الداعي في نفس المكلف على أساس أنه مراد جدي للمقنن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المراد الجدي هو موضوع الآثار العقلائية، وغيرها من الأبحاث، وهي لما لم تكن مختصة بالدلالة الإطلاقية وإنما يعقد الكلام حولها في بحث العام والخاص وبحث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للمقام خصوصية لم نتطرق لها في بحثنا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حدود الأصل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محل البحث تارة تُحرز بالقطع أو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يُشك في تحققها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القطع أو الاطمئنان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أثبتنا في الجهة الأولى من هذه المقدمة وجود أصل عقلائي حقيقته أنه ظهور حالٍ يُرجع إليه عند الشك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فيثبت به تحقق المقدمة المنظورة، وهذا الأصل من الأهمية بمكان إذ عليه يبتني جواز التعويل على المطلقات من أول كتاب الطهارة إلى آخر 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طريق لنا إلى إحراز كون المتكلم في مقام البيان إلا بالأصل العقلائي هذا</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مضى في الجهة الأولى من هذا المبحث إقامة الدليل على وجوده، وبيان الأساس الثبوتي الذي يدفع المتكلم كي يكون غرضه من الكلام إبراز تمام مراده بكلامه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الجانب نريد التعرض لحدود الأصل العقلائي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نحرز أن المتكلم في مقام بيان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نشك أنه في مقام بيان أصل الحكم أم في مقام بيان حدوده، وثالثة نحرز أنه في مقام بيان الحدود، وحينئذٍ تارة نحرز أنه في مقام بيان حدود الحكم فحسب، وأخرى مع هذا </w:t>
      </w:r>
    </w:p>
    <w:p>
      <w:pPr>
        <w:pStyle w:val="BookText"/>
        <w:rPr/>
      </w:pPr>
      <w:r>
        <w:rPr>
          <w:rFonts w:ascii="Amiri" w:hAnsi="Amiri" w:eastAsia="Amiri" w:cs="Amiri"/>
          <w:color w:val="111111"/>
          <w:sz w:val="28"/>
          <w:sz w:val="28"/>
          <w:szCs w:val="28"/>
          <w:rtl w:val="true"/>
          <w:lang w:bidi="ar-SA"/>
        </w:rPr>
        <w:t>الإحراز نشك أنه في مقام بيان حدود حكم آخر أو أحكام أخرى، وثالثة نشك أنه في مقام بيان حدود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حدود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جميع الأحكام المتصور تعلقها بالطبيعي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حالات خمسة لا يخرج عنها مورد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إحراز أنه في مقام بيان أصل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أصل التشريع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أنه في مقام بيان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في مقام بيان حدوده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إحراز أنه في مقام بيان حدود حكمٍ فحسب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نحرز أنه في مقام بيان حدود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ونشك أنه في مقام بيان حدود حكم آخر أو أحكام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نشك في أنه في مقام بيان حدود هذا الحكم أو ذاك أو جميع الأحكام المتصور تعلقها بالطبيعي والمستفادة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تشخيص جريان الأصل العقلائي في أي من هذه الحالات منوط بالوجوه الإثباتية المذكورة في الجهةالأولى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أحرزنا أنه في مقام بيان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أصل التشريع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أقيموا الصلاة وآتوا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يجري الأصل العقلائي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ما أفادهُ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أجود التقريرات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بداهة أن كون المولى في مقام التشريع يكون قرينة على أنه ليس في مقام بيان تمام مراده</w:t>
      </w:r>
      <w:r>
        <w:rPr>
          <w:rFonts w:eastAsia="Amiri" w:cs="Amiri" w:ascii="Amiri" w:hAnsi="Amiri"/>
          <w:color w:val="111111"/>
          <w:sz w:val="28"/>
          <w:szCs w:val="28"/>
          <w:rtl w:val="true"/>
          <w:lang w:bidi="ar-SA"/>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ومثله في فوائد الأصول</w:t>
      </w:r>
      <w:r>
        <w:rPr>
          <w:rStyle w:val="FootnoteAnchor"/>
          <w:rtl w:val="true"/>
        </w:rPr>
        <w:footnoteReference w:id="16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حرره عنه 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في مقام المقارنة بين الحالة الأولى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الآتية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بمنزلة القرينة المانعة من الأخذ بهذا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أنه موجب لعدم </w:t>
      </w:r>
    </w:p>
    <w:p>
      <w:pPr>
        <w:pStyle w:val="BookText"/>
        <w:rPr/>
      </w:pPr>
      <w:r>
        <w:rPr>
          <w:rFonts w:ascii="Amiri" w:hAnsi="Amiri" w:eastAsia="Amiri" w:cs="Amiri"/>
          <w:color w:val="111111"/>
          <w:sz w:val="28"/>
          <w:sz w:val="28"/>
          <w:szCs w:val="28"/>
          <w:rtl w:val="true"/>
          <w:lang w:bidi="ar-SA"/>
        </w:rPr>
        <w:t>تحقق موضوع الأصل والسر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الأصل العقلائي هو أن يكون الكلام صادراً لإفادة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كونه صادراً لإفادته يكون الأصل أنه مسوق لمقام البيان بالنسبة إلى ذلك الشيء الذي كان الكلام صادراً لإفادته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إذا كان الكلام مسوقاً لإفادة أصل الحكم فإن موضوع الأصل العقلائي متحقق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منع من الأخذ بذلك الأصل كونه في مقام بيان مجرد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ظاهر أجود التقريرات أخذ الشك في موضوع الأصل العقلائي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الشك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دار الأمر بين كون المولى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في مقام التشريع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والصحيح أنه ينبغي التفريق بين موضوع الأصل العقلائي وموضوع الدلالة الإطلاقية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 ذُكر آنفاً إنما هو موضوع الدلالة الإطلاقية، ومن ثم إحراز أنه في مقام مجرد المشروعية يكون رافعاً لموضوع الأصل العقلائي لأجل رفعه أحد أجزاء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القدر المتيقن من مجرى الأصل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فيها للأصل العقلائي المذكور، نعم قد يكون الإحراز بنفس الأصل العقلائي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أحرزنا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 بالأصل العقلائي أم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مقام بيان حدود حكمٍ ما، وشككنا أنه في مقام بيان حدود حكم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أحكام أخرى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فكلوا مما أمسكن</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إذ بعد أن أحرزنا أنه وارد في مقام بيان كون ما عقره الكلب المعلَّم مذكى، نشك في أنه في مقام بيان طهارة موضع الاصطياد أيضاً أم لا؟</w:t>
      </w:r>
    </w:p>
    <w:p>
      <w:pPr>
        <w:pStyle w:val="BookText"/>
        <w:rPr/>
      </w:pPr>
      <w:r>
        <w:rPr>
          <w:rFonts w:ascii="Amiri" w:hAnsi="Amiri" w:eastAsia="Amiri" w:cs="Amiri"/>
          <w:color w:val="111111"/>
          <w:sz w:val="28"/>
          <w:sz w:val="28"/>
          <w:szCs w:val="28"/>
          <w:rtl w:val="true"/>
          <w:lang w:bidi="ar-SA"/>
        </w:rPr>
        <w:t>وفي هذه الحالة لدينا نقاط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الاتفاق على أن لا أصل عقلائياً في الجهة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الحمل</w:t>
      </w:r>
    </w:p>
    <w:p>
      <w:pPr>
        <w:pStyle w:val="BookText"/>
        <w:rPr/>
      </w:pPr>
      <w:r>
        <w:rPr>
          <w:rFonts w:ascii="Amiri" w:hAnsi="Amiri" w:eastAsia="Amiri" w:cs="Amiri"/>
          <w:color w:val="111111"/>
          <w:sz w:val="28"/>
          <w:sz w:val="28"/>
          <w:szCs w:val="28"/>
          <w:rtl w:val="true"/>
          <w:lang w:bidi="ar-SA"/>
        </w:rPr>
        <w:t>على الإهمال من جهتها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يظهر من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في فوائد الأصول أن الجهة المحرزة قرينة على أنه ليس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الجهة المشكوكة، وقريب منه ما أفاده الشيخ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من أن العقلاء يبنون على الإهمال من الجهة المشكوكة، أما في أجود التقريرات</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فأفاد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كونه في مقام البيان أي لا يوجد بناء من العقلاء على أنه في مقام البيان من الجهة المشكوكة، وفرق بين وجود بناء من العقلاء على الإهمال، وبين عدم وجود بناء من العقلاء على أنه في مقام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ذكرنا أن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فوائد الأصول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اعتبر الجهة المحرزة قرينة على أنه ليس في مقام البيان من الجهة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 حقيقة الحال فيما حرره عنه المحقق الشيخ الحلي في أصول الفقه</w:t>
      </w:r>
      <w:r>
        <w:rPr>
          <w:rStyle w:val="FootnoteAnchor"/>
          <w:rtl w:val="true"/>
        </w:rPr>
        <w:footnoteReference w:id="17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مقام التمييز بين هذه الحالة والحالة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عدم تحقق موضوع الأصل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صدور الكلام لبيان الحكم الأول يكفي في الحكم بأنه صدر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خروج الكلام عن كونه صادراً لبيان 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لم يكن مسوقاً لإفادة الحكم الثاني كي يكون من هذه الجهة مورداً لأصالة كون الكلام مسوقاً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الكلام المذكور مسوقاً لإفادة الحكم الأول، ولما لم يكن الكلام مسوقاً لإفادة الحكم الثاني لم يتحقق بالنسبة إليه موضوع أصالة كون الكلام مسوقاً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 هذا الأصل هو أن يكون الكلام صادراً لإفادة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كونه صادراً لإفادته يكون الأصل أنه مسوق لمقام البيان بالنسبة إلى ذلك الشيء الذي كان الكلام </w:t>
      </w:r>
    </w:p>
    <w:p>
      <w:pPr>
        <w:pStyle w:val="BookText"/>
        <w:rPr/>
      </w:pPr>
      <w:r>
        <w:rPr>
          <w:rFonts w:ascii="Amiri" w:hAnsi="Amiri" w:eastAsia="Amiri" w:cs="Amiri"/>
          <w:color w:val="111111"/>
          <w:sz w:val="28"/>
          <w:sz w:val="28"/>
          <w:szCs w:val="28"/>
          <w:rtl w:val="true"/>
          <w:lang w:bidi="ar-SA"/>
        </w:rPr>
        <w:t>صادراً لإفادته، والمفروض أن الحكم الثاني لم يكن الكلام صادراً لإفادته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الأصل المذكور جارياً بالنسبة إليه لعدم تحقق موضوع الأصل المذكور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قد تحقق فيه موضوع الأصل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منع مانع من الأخذ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 الجهة المحرزة أوجبت عدم تحقق موضوع الدلالة الإطلاقية في الجهة المشكوكة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عدم تحقق موضوع الأصل العقلائي، إذ لما كان في مقام بيان حدود الجهة المحرزة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التذكية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الشروط والقيود التي أُنيطت بها التذكية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أمسكن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يعني أنه ليس في مقام بيان طهارة موضع الاصطياد أو 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في مقام بيان حدود الطهارة أو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موضوع الدلالة الإطلاقية في الحالة هذه غير متحقق لأجل أنه ليس في مقام بيان الحكم ذي الحدود المشكوكة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الفراغ من عدم جريان الأصل العقلائي في الحالة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أحياناً يلزم من التفكيك بين الجهتين في مقام البيان بأن يكون في مقام البيان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مقام الإهمال أو الإجمال من الجهة الأخرى يلزم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لابد من البناء على أنه في مقام البيان من الجهتين معاً والأخذ بإطلاقهما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لذلك مثالين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بين الجهتين ملازمة عقلية أو عادية أو شرعية في مقام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يُفضي التفكيك بينهما في مقام البيان إلى أن تكون موارد الإطلاق في الجهة المحرزة موارد نادرة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يرتفع هذا المحذور إلا بالبناء على أنه في مقام البيان من كلا الجهتين، ومن هذا الباب كان بناء الفقهاء على طهارة سؤر الهرة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موضع السؤر خالياً من النجاسة أم لا، إذ البناء على خصوص خلو موضع السؤر عن النجاسة أمر 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عدم خلوه </w:t>
      </w:r>
    </w:p>
    <w:p>
      <w:pPr>
        <w:pStyle w:val="BookText"/>
        <w:rPr/>
      </w:pPr>
      <w:r>
        <w:rPr>
          <w:rFonts w:ascii="Amiri" w:hAnsi="Amiri" w:eastAsia="Amiri" w:cs="Amiri"/>
          <w:color w:val="111111"/>
          <w:sz w:val="28"/>
          <w:sz w:val="28"/>
          <w:szCs w:val="28"/>
          <w:rtl w:val="true"/>
          <w:lang w:bidi="ar-SA"/>
        </w:rPr>
        <w:t>منها، ومن ثم اختصاص دليل طهارة سؤر الهرة بما إذا كان موضع السؤر خالياً من النجاسة يلزم حمله على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أفاد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الأفكار</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لابد أولاً من ملاحظة جهات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الكلام مسوق لبيان أي واحدة من الجهات، ثم بعد ذلك ملاحظة تلك الجهات المهملة التي لم يحرز كون المتكلم بالنسبة إليها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من اللوازم غير المنفكة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الغالبية للجهات المطلقة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التفكيك في مقام البيان بين الجهتين قد يوجب محذور الإغراء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ووقوع المكلف في خلاف ما هو وظيفته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كون المكلف في مقام البيان من جهة دون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انعقاد الإطلاق لكلامه عندئذٍ من الجهة الثانية، وإن كان أمراً صحيحاً في أصله، ولكنه لا يتم في جميع الموارد</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 المقلد مرجعه في التقليد عن حكم الدجاج المذبوح بالماكنة الآلية الموجود 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فالسؤال ظاهر في كونه من جهة الاجتزاء بالذبح الآلي في التذكية وعدم الاجتزاء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فتوى المرجع عدم الاشتراط في الذبح أن يكون يدوياً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يجوز أن يكون آلياً، ولكن كان الواقع الخارجي أن معظم الدجاج المذبوح آلياً فاقد لشرط آخر في التذكية، والسائل غافل عن ذلك، فليس للمرجع في مقام الجواب وبيان الوظيفة العملية للمستفتي في تلك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موضع ابتلائه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يقتصر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التنبيه على فقدان ذلك الشرط الآخر في معظم الدجاج الموجود في السوق بذريعة أنه في مقام البيان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عدم كون الذبح باليد شرطاً في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مقام البيان من جميع الجهات لينعقد لكلامه الإطلاق من جهة عدم </w:t>
      </w:r>
    </w:p>
    <w:p>
      <w:pPr>
        <w:pStyle w:val="BookText"/>
        <w:rPr/>
      </w:pPr>
      <w:r>
        <w:rPr>
          <w:rFonts w:ascii="Amiri" w:hAnsi="Amiri" w:eastAsia="Amiri" w:cs="Amiri"/>
          <w:color w:val="111111"/>
          <w:sz w:val="28"/>
          <w:sz w:val="28"/>
          <w:szCs w:val="28"/>
          <w:rtl w:val="true"/>
          <w:lang w:bidi="ar-SA"/>
        </w:rPr>
        <w:t>شرطية ذلك الأمر الآخر، فإن هذا غير مقبول في مثل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ويعد 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ما إذا لم تكن غلبة في فقدان الشرط الآخر في الدجاج المذبوح آلياً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له الاقتصار عندئذ على بيان الحلية من حيث عدم اشتراط أن يكون الذبح باليد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تكن جهة يُحرز أنه في مقام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نشك أنه في مقام بيان هذه الجهة أو تلك أو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 الأصل العقلائي في هذه الحالة فإنه ثبوتاً لابد أن يكون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من جهة واحدة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إثباتاً فيمكن أن يقال بلزوم البناء على أنه في مقام البيان من جميع الجهات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البناء على أنه ليس في مقام البيان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الإهمال أو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التناقض مع البناء على الأصل العقلائي، والبناء على أنه في مقام البيان من جهة معينة ترجيح بلا رجح، وعندئذ لا مناص من البناء على أنه في مقام البيان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الإثباتية المذكورة في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مقام إثبات الأصل العقلائي قد تقتضي أنه في مقام البيان من جميع الجهات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مطارح الأنظار</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إذا كان في أغلب موارد استعمال المطلقات كونه في مقام البيان من جميع الجهات فلا يبعد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w:t>
      </w:r>
      <w:r>
        <w:rPr>
          <w:rStyle w:val="FootnoteAnchor"/>
          <w:rtl w:val="true"/>
        </w:rPr>
        <w:footnoteReference w:id="177"/>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تقريراته الأصولية أن الأصل في كل كلام أن يكون في مقام البيان من جميع الجهات لاستقرار طريقة العقلاء </w:t>
      </w:r>
    </w:p>
    <w:p>
      <w:pPr>
        <w:pStyle w:val="BookText"/>
        <w:rPr/>
      </w:pPr>
      <w:r>
        <w:rPr>
          <w:rFonts w:ascii="Amiri" w:hAnsi="Amiri" w:eastAsia="Amiri" w:cs="Amiri"/>
          <w:color w:val="111111"/>
          <w:sz w:val="28"/>
          <w:sz w:val="28"/>
          <w:szCs w:val="28"/>
          <w:rtl w:val="true"/>
          <w:lang w:bidi="ar-SA"/>
        </w:rPr>
        <w:t>على حمل الكلام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تقم قرينة على عدم كونه في مقام البيان من جهة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يأتي في الحالة الرابعة؛ لأنه قامت قرينة على أنه في مقام البيان من جهة معينة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تقم قرينة على عدم كونه في مقام البيان من الجهة المشكوكة أو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النوعي من ضرب القوانين وتأسيسها هو الاهتداء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وفقها حيث تُحل بها المشاكل الاجتماعية والفردية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يستدعي أن يكون في مقام البيان من جميع الجهات المتصورة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البناء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نقض الغرض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الوجه في البناء على الإطلاق وإلا يلزم نقض الغرض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الوجه في البناء على الإطلاق هو الفرار من اللغوية في ضرب القانون حتى يقال بكفاية الإطلاق من جهة واحدة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لابد من إحراز كون الكلام ملقى على نحو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يعرف من الدأب والديدن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الثالث فمن الواضح أن الغرض المذكور يكفي فيه أن يكون في مقام البيان من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ضرورة في أن يكون من جميع الجهات، ويجدر الالتفات إلى أنه في علم القانون يُبحث حول طرق تفسير القانون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ضمنها فيما لو كان النص القانوني غامضاً أو مبهماً إذا كانت عبارته تحمل أكثر من مدلول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يرون أن للفقيه الدستوري أو القاضي اختيار مفهوم واحد يمثل الأقرب للصواب على أنه المراد من المادة القانونية، ومنه يتضح أن البناء على الإطلاق من جميع الجهات يرتبط أيضاً ببحث استظهار أكثر من معنى من اللفظ</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حُكي عن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نبه عليه السيد </w:t>
      </w:r>
      <w:bookmarkStart w:id="132" w:name="pg9087_85168"/>
    </w:p>
    <w:p>
      <w:pPr>
        <w:pStyle w:val="BookText"/>
        <w:rPr/>
      </w:pPr>
      <w:bookmarkEnd w:id="132"/>
      <w:r>
        <w:rPr>
          <w:rFonts w:ascii="Amiri" w:hAnsi="Amiri" w:eastAsia="Amiri" w:cs="Amiri"/>
          <w:color w:val="111111"/>
          <w:sz w:val="28"/>
          <w:sz w:val="28"/>
          <w:szCs w:val="28"/>
          <w:rtl w:val="true"/>
          <w:lang w:bidi="ar-SA"/>
        </w:rPr>
        <w:t xml:space="preserve">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الصحيح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تقريراته الأصولية</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الأخرى من أنه ليس للعقلاء 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بالنسبة للحالة الرابعة أما الحالة الخامسة هذه فقال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لم يتفق في شيء من الآيات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اتفق في موردٍ فهو نادر جداً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ما في دعوى 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الأول فإنه على فرض جريان الأصل العقلائي في هذه الحالة، والصحيح كما ظهر أنه لا بناء من العقلاء في هذه الحالة</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2684187_2870459653"/>
      <w:bookmarkStart w:id="134" w:name="_Toc44"/>
      <w:bookmarkEnd w:id="133"/>
      <w:r>
        <w:rPr>
          <w:rtl w:val="true"/>
        </w:rPr>
        <w:t>المبحث الثاني</w:t>
      </w:r>
      <w:bookmarkEnd w:id="134"/>
    </w:p>
    <w:p>
      <w:pPr>
        <w:pStyle w:val="BookText"/>
        <w:rPr/>
      </w:pPr>
      <w:r>
        <w:rPr>
          <w:rFonts w:ascii="Amiri" w:hAnsi="Amiri" w:eastAsia="Amiri" w:cs="Amiri"/>
          <w:color w:val="111111"/>
          <w:sz w:val="28"/>
          <w:sz w:val="28"/>
          <w:szCs w:val="28"/>
          <w:rtl w:val="true"/>
          <w:lang w:bidi="ar-SA"/>
        </w:rPr>
        <w:t>الثانية من مقدمات الدلالة الإطلاقية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الكلام قيد يمنع من انعقاد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المقدمة ضرورية في انعقاد الإطلاق من جهة أن الإطلاق الثبوتي إنما يكتشف بأصالة التطابق بينه وبين الإطلاق الإثباتي، ولا إطلاق إثباتياً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ومرادنا بالقيد ما يشمل القرائن الحالية والمقامية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يشمل الظاهر في الاحترازية والقرينية وما يصلح للقرينية، ويقع الكلام في جهات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أخذ عدم القرينة المنفصلة في مقدمات الحكمة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أقوال ثلاثة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إطلاق كلمات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أخذها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جملة من الأعلام كالمحققين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في من عادته بيان مراده بالتدريج معتمداً على القرائن المنفصلة فلا ينعقد الإطلاق إلا بعد مرور الزمان الذي يفرضه لبيان مراده دون مَنْ لا تكون عادته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وإليه يرجع ما ذكره المحقق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المنتقى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 xml:space="preserve">قال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المتكلم في مقام بيان مرامه بالتدريج لم ينعقد الإطلاق قبل مرور الزمان الذي يفرضه لبيان مرامه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الثالث فقد ذكروا في جوابه أن لا يمنع من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يمنع من حجيته وتمامية أصالة التطابق بين المراد الاستعمالي والمراد الجدي، ولذا 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أنه لا يجوز الحكم بأن ظاهر الكلام هو المراد النفس أمري إذا كان المتكلم ممن عادته الاعتماد على المنفصلات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فيمكن أن يُستدل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مجرى مقدمات الحكمة هو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أنكرنا الإرادة الاستعمالية أم أذعنا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أن القرينة المنفصلة محل تأثيرها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مناص من كون عدمها من جملة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لا يتم على المبنى الآخر في مجرى مقدمات الحكمة، وهو أن المقصود منها استكشاف المراد الاستعمالي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التأثير في المراد الجدي تارة يكون من خلال الظهور مباشرة وقبل مرحلة الحجية بأن يؤخذ في الخطاب، وأخرى يكون بتوسط الحجية كما هو الحال في القرائن المنفصلة، ومقدمات الحكمة تفيد الظهور لا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مقدمات الحكمة على الإطلاق الثبوتي إنما يكون بحكم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ظهور لفظي، والحكم العقلي معلق على عدم بيان مخالف له، وهو ما يحصل بالقرائن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عدم القرينة المنفصلة مأخوذ في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يُذكر وجهان لكون دلالة مقدمات الحكمة على الإطلاق الثبوتي دلالة 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أنها دلالة 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السيد الخوئي وآخرين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من أن الإطلاق غير داخل في مدلول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موضوع للماهية المهملة، وإنما يثبت بحكم العقل بعد تمامية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قد ظهر أن مقدمات الحكمة قرينة حالية توجب في اللفظ دلالة على وفقها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أن أغلب الدلالات عقلية لا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اتضح أن قرينة الحال لابد منها في الدلالة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 إن الظهور الإطلاقي ظهور لفظي تركيبي يستند إلى لفظٍ كاسم الجنس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 وهي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حُكي عن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الإطلاق</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الثبوتي إذا كان أمراً وجودياً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تقابله مع التقييد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مقام الإثبات لا يصلح أن يكون كاشفاً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الإطلاق الإثباتي لا يوجد فيه </w:t>
      </w:r>
    </w:p>
    <w:p>
      <w:pPr>
        <w:pStyle w:val="BookText"/>
        <w:rPr/>
      </w:pPr>
      <w:r>
        <w:rPr>
          <w:rFonts w:ascii="Amiri" w:hAnsi="Amiri" w:eastAsia="Amiri" w:cs="Amiri"/>
          <w:color w:val="111111"/>
          <w:sz w:val="28"/>
          <w:sz w:val="28"/>
          <w:szCs w:val="28"/>
          <w:rtl w:val="true"/>
          <w:lang w:bidi="ar-SA"/>
        </w:rPr>
        <w:t xml:space="preserve">إلا 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اتُفق على أن التقابل بين الإطلاق والتقييد في مقام الإثبات من قبيل الملكة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يكشف عن ذلك الأمر الوجودي إذ لا ظهور للفظ في مقام الإثبات بذلك، وإنما يستكشف بحكم العقل لأنه لو تعلق الحكم في مقام الإثبات بقضية وماهية مهملة ولم يقيدها المولى مع تمكنه من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مقام البيان فيحكم العقل بثبوت الإرسال والإطلاق في مقام الثبوت من خلال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البيان يجري فيما لو قلنا إن الإطلاق الثبوتي يناقض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 أن لازم هذا البيان أن يكون الإطلاق المنتج للحصة حكماً عقلياً لا ظهوراً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الثاني فيمكن أن يُستدل له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مقدمات الحكمة تفيد الظهور الإطلاقي لا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فالذي يدخل في تكوينه خصوص القرائن المتصلة كبقية الظهورات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أن للعقلاء بناءً خاصاً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 المراد الاستعمالي هو مجرى مقدمات الحكمة، والقرينة المنفصلة إنما تؤثر في خصوص المراد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تكون خارجة عن حدود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عدم البيان المنفصل في مقدمات الحكمة يستلزم تقدم المقيد المنفصل على المطلق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أضعف ظهوراً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w:t>
      </w:r>
    </w:p>
    <w:p>
      <w:pPr>
        <w:pStyle w:val="BookText"/>
        <w:rPr/>
      </w:pPr>
      <w:r>
        <w:rPr>
          <w:rFonts w:ascii="Amiri" w:hAnsi="Amiri" w:eastAsia="Amiri" w:cs="Amiri"/>
          <w:color w:val="111111"/>
          <w:sz w:val="28"/>
          <w:sz w:val="28"/>
          <w:szCs w:val="28"/>
          <w:rtl w:val="true"/>
          <w:lang w:bidi="ar-SA"/>
        </w:rPr>
        <w:t>فكذلك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أن المقيد المنفصل سيكون وارداً على المطلق</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فلإن الصحيح في مناط التقديم في القرينية النوعية هو 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إذا كان المطلق أقوى ظهوراً من المقيد يقدم عليه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الوجه الرابع</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 عدم البيان المنفصل في مقدمات الحكمة لما أمكن إثبات الإطلاق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والتالي باطل فالمقدم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فلأجل عدم إمكان إحراز شرط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عدم انعقاد الإطلاق والشرط هو عدم التقييد بالمنفصل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بطلان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فلوضوح انعقاد الإطلاق بمجرد انتهاء المتكلم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في الملازمة بأنه يمكن إحراز عدم التقييد بالمنفصل من خلال أصالة عدم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عدم القرينة إنما تجري فيما إذا كان هناك ظهور في مقام الإثبات يقتضي إفادة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ورود القرينة على خلافه، ففي مثل ذلك تجري 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وجعلها لباً إلى أصالة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رفع اليد عن كشفه النوعي لمجرد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المقام فلا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بقطع النظر عن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ظهور يقتضي إفادة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أحد وجوه ثلاثة في حقيقة 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الثاني هو أن أصالة الظهور ترجع إلى أصالة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الثالث هو أن كلاً منهما أصل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بحثه حجية الظهور، ولكن يمكن أن يقال إجمالاً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دائرته القرائن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اقتضاء له لنفي احتمال القرينة المنفصلة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للقرينة المتصلة أنحاءً من قبيل الوصف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والشرط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إن كان عادلاً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والجار والمجرور وغيرها، إلا أن بعض القرائن قد يُرتاب في أصل كونه من القرائن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فرض كونها من المتصلة قد يُرتاب في عدم أخذ عدمها ضمن مقدمات </w:t>
      </w:r>
    </w:p>
    <w:p>
      <w:pPr>
        <w:pStyle w:val="BookText"/>
        <w:rPr/>
      </w:pP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كانت القرينة جملة مستقلة عن جملة ذي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متصلة بها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أكانت أخص مطلقاً من ذي القرينة أم كانت النسبة بينهما العموم من وجه، وسواء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القرينة وذيها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عامين أم مطلقين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أحدهما عاماً والآخر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وقع الخلاف في كون القرينة المذكورة منفصلة أو متصلة تبعاً للاختلاف في معيار الاتصال والانفصال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يظهر من جماعة كالمحقق التقي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Style w:val="FootnoteAnchor"/>
          <w:rtl w:val="true"/>
        </w:rPr>
        <w:footnoteReference w:id="1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المراد بالمتصل مالا يستقل بنفسه، وبالمنفصل ما يكون مستقلاً في إفادة الحكم وإن اتصل بالعام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قريب مما ذكره من قبل صاحب 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المتصل لا يفيد حكماً من دون العام أو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منهما حتى تحصل الإفادة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جملة ناقصة بدونهما، أما المنفصل فهو يفيد حكماً بنفسه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يتوقف في إفادته للحكم على وجود المطلق أو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جملة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القول تكون الجملة المستقلة من القرينة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السائد عند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 من كلماتهم أن المعيار</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فيهما هو الاتصال والانفصال في الكلام، فالقرينة المنفصلة ما كان الدال عليها</w:t>
      </w:r>
    </w:p>
    <w:p>
      <w:pPr>
        <w:pStyle w:val="BookText"/>
        <w:rPr/>
      </w:pPr>
      <w:r>
        <w:rPr>
          <w:rFonts w:ascii="Amiri" w:hAnsi="Amiri" w:eastAsia="Amiri" w:cs="Amiri"/>
          <w:color w:val="111111"/>
          <w:sz w:val="28"/>
          <w:sz w:val="28"/>
          <w:szCs w:val="28"/>
          <w:rtl w:val="true"/>
          <w:lang w:bidi="ar-SA"/>
        </w:rPr>
        <w:t>خطاباً منفصلاً عن الخطاب الدال على العام أو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وبعكسه القرينة المتصلة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المعيارين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المعيار الأول معنوي والثاني 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الثاني أعم مطلقاً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التوقف في المعنى لا يُشبع إلا بالاتصال اللفظي دون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والصحيح هو الثاني بملاحظة ما اتُفق عليه من أن القرينة المتصلة تمنع من انعقاد الظهور دون المنفصلة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يتوقف انعقاد الدلالة</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التصديقية الأولى وهي الكاشفة عن المراد الاستعمالي على فراغ المتكلم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إذا كان بعدُ مشتغلاً بالكلام، مما يعني أن المعيار هو الاتصال والانفصال في الكلام، ومما ذكرنا يظهر الكلام في مورد آخر ربما وقع الترديد في كونه من قبيل القرينة المتصلة أو المنفصلة وهو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يظهر من كلام أكثر المتأخرين كصاحب الكفاية والمحقق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أن الاستثناء من قبيل القرينة المتصلة بلا ترديد، ويظهر من كلمات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نحو ترديد فيه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المخصص أن يكون متصلاً كالشرط والغاية وبدل البعض والصفة والاستثناء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تأمل فيه كما ستعرف الوجه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الاستثناء ففيه إشكال من حيث أنه لم يظهر كونه من المخصصات المتصلة أو غيرها ولا يبعد دعوى الاتصال فيه فيلحقه حكمه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يُشك في بعض المخصصات في أنه ملحق بأي الفرقتين فيشك في حكمه أيضاً كالاستثناء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يحتمل أن يكون من قيود الموضوع كالصفة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كالمخصص المنفصل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الأمر بإكرام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إلحاق الاستثناء بالمخصصات المتصلة فإن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القوم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مجرى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جاءني غير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يعد عندهم من الكلامين المنفصل أحدهما عن الآخر</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والصحيح أن الاستثناء من القرائن المتصلة بلا فرق بين المعيارين المتقدمين للاتصال؛ لأن الاستثناء لا يستقل بنفسه في إفادة الحكم وهو جزء من الكلام المشتمل على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الجملة المستقلة المذكورة فيما إذا كانت مطلقاً نسبتها إلى المطلق الأول العموم من وجه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 ولا 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الصحيح عدم أخذ عدمها في مقدمات الحكمة والسر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التنافي البدوي الوجداني لا يكون مالم ينعقد كلا الإطلاقين بل أن التنافي المستقر لا معنى له في المقام لو كانت الجملة المستقلة مأخوذ عدمها في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إذا لم يتحقق مناط القرينية فإن التنافي المستقر حاصل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تفصيلاً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لو كان المطلق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أن يكون بياناً لتقييد المطلق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إنما يصلح بإطلاق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 للعالم، وإطلاقه متوقف على عدم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لو كان مطلقاً لكان بياناً لتقييد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العالم وعدم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متوقف على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أن يكون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متوقفاً على إطلاق نفسه وهو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تتم مقدمات الحكمة في كل من المطلقين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ينعقد الإطلاق فيهما معاً لمكان التنافي في مورد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التقييد متصلاً ومؤثراً في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الحال فيه كالحال فيما لو كان التنافي بين جزئي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المحتمل أن البيان المذكور يجري فيما لو كانت الجملة المستقلة مطلقة نسبتها إلى المطلق الأول أخص مطلقاً، وينبغي الالتفات إلى أنه ليس كلامنا في التقديم إذ لا كلام في أن الغالب تقديم إطلاق الأخص مطلقاً، وإنما الكلام في أن عدم الأخص مطلقاً هذا مأخوذ في مقدمات الحكمة أم لا؟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كانت الجملة المستقلة عاماً ونسبتها إلى المطلق العموم من 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القول بتوقف دلالة العام على مقدمات الحكمة يأتي فيه البيان السابق بعينه، أما على القول المشهور من عدم التوقف فقد</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يقال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حال المتكلم بيان الحكم إثباتاً كما هو عليه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الحكم لباً مجعول على نحو التقييد لا على نحو قضيتين كليتين متعارضتين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في مقام الإثبات لابد وان يكون بيان القيد بلسان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البيان لو تم يأتي بعينه في المطلق الذي هو أعم من 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حتى الأخص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بملاحظة النكتة الثبوتية كما مرَّ يتضح أنه ليس لظهور الحال هذه المساحة من التأثير، وإنما المهم هو أنه هل يوجد دليل على ضرورة التطابق بين مقام الثبوت والإثبات في الكيفية أم لا؟</w:t>
      </w:r>
    </w:p>
    <w:p>
      <w:pPr>
        <w:pStyle w:val="BookText"/>
        <w:rPr/>
      </w:pPr>
      <w:r>
        <w:rPr>
          <w:rFonts w:ascii="Amiri" w:hAnsi="Amiri" w:eastAsia="Amiri" w:cs="Amiri"/>
          <w:color w:val="111111"/>
          <w:sz w:val="28"/>
          <w:sz w:val="28"/>
          <w:szCs w:val="28"/>
          <w:rtl w:val="true"/>
          <w:lang w:bidi="ar-SA"/>
        </w:rPr>
        <w:t>ويبدو أنه لا 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يوجد بناء من العقلاء على ذلك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اتضح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القرائن المتصلة وإن كان جميعها يؤثر في الظهور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هذا التأثير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به الظهور الإطلاقي عن بقية الظهورات، وهو أن تأثيره في الظهور من جهة أخذ عدمه في مقتضي الظهور أعني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يؤثر في الظهور الإطلاقي كما هو الحال في بقية الظهورات، وهو فيما لو كانت القرينة المتصلة جملة مستقلة بمختلف أنحائها السابقة بناءً على أن الصحيح حاجة العموم الوضعي إلى مقدمات الحكمة وفاقاً لجملة من الأعلام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ثمار هذا التفريق أن النحو الأول دائماً مقدم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النحو الثاني فيشترط في تقديمه أن يكون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الكفاية</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عدَّ انتفاء القدر المتيقن في مقام التخاطب في جملة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ووافقه جملة من أعلام تلامذته كالمحقق العراقي والأصفهاني والمشكيني والقوجاني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ونوقع الكلام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المقصود من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اشتراط عدمه في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 عن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المناسب نقل بعض العبائر الصريحة في تحديد المراد من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مبتدئين بتلامذة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المحقق القوجاني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المتيقن لابد أن يكون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الانسباق إلى الذهن من اللفظ مع ما يحف به من القرائن، لا أن يكون بالمقدمات الخارجية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يستند إلى اللفظ، وإلا يحكم بالإطلاق للزوم نقض الغرض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المراد من كون المتكلم في مقام البيان كونه بصدد بيان المقصود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بأمرٍ خارج كما هو ظاهر</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والمحقق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توضيح عبارة الكفاية من أن القدر المتيقن إذا كان بملاحظة الخارج لا يؤثر في انعقاد الإطلاق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المفروض كون المولى في مقام البيان بحسب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يؤثر في رفع الإخلال إلا التيقن بحسب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الفرد مسؤولاً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هناك حكم عقلي ارتكازي يحتمل أن يتكل عليه</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والمراد من وجود القدر المتيقن في مقام </w:t>
      </w:r>
    </w:p>
    <w:p>
      <w:pPr>
        <w:pStyle w:val="BookText"/>
        <w:rPr/>
      </w:pPr>
      <w:r>
        <w:rPr>
          <w:rFonts w:ascii="IRNazanin" w:hAnsi="IRNazanin" w:eastAsia="IRNazanin"/>
          <w:color w:val="111111"/>
          <w:sz w:val="28"/>
          <w:sz w:val="28"/>
          <w:szCs w:val="28"/>
          <w:rtl w:val="true"/>
          <w:lang w:bidi="fa-IR"/>
        </w:rPr>
        <w:t>التخاطب هو ثبوت القدر المتيقن بحسب دلالة اللفظ وظهوره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بحسب الحكم وواقع الإرادة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ثبوت المتيقن بحسب واقع الإرادة مما لا يتوهم دخله في صحة التعويل على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الذي يمكن دخله في ذلك هو عدم وجود المتيقن في مقام التخاطب ومرحلة اللفظ وظهوره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أوضح مصاديق القدر المتيقن في مقام التخاطب هو ورود العام والمطلق في موردٍ خاص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الله الماء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مورد السؤال عن ماء بئر بضاعة فإن المورد هو المتيقن والمراد من اللفظ المطلق</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والمستفاد من هذه العبائر بخصوص القدر المتيقن في مقام التخاطب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المقدمات الخارجية العقلية بعضها يعد من القرائن المختصة بالكلام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وبعضها لا يُعَّد كذلك، وبتعبير المحقق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ارتكازي ومنه غير ارتكازي، مع المحافظة على كونها قرائن متصلة، وإلا تكون خارجة عن حدود مقدمات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الفرد المسؤول عنه بتعبير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أوضح مصاديق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يصح أن يكون هو محور الأخذ والرد كما هو المتعارف في مثل ذلك، كما أنه يعم بمقتضى الإطلاق ما إذا لم يتكرر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أُعيد ذكره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عبارة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اللفظ وظهوره، فإن كان مقصوده منها خصوص الظاهر من اللفظ بحيث لا يشمل ما يصلح 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يناقض عبارة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أنها مرتبطة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يكن ظاهراً فيه بخصوصه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والنفي المتوجه إلى المركب من المقيد والقيد ظاهر في نفي القيد بخصوصه لا المقيد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ووجه اعتبار</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انتفاء القدر المتيقن في مقام التخاطب من جملة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فرضنا أن القدر المتيقن في مقام التخاطب هو تمام مراد المتكلم واقعاً، فإنه لو اقتصر عليه في مقام البيان لا يكون ناقضاً لغرضه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مخالفاً للأصل العقلائي والظهور الحالي، حيث إنه بيَّن تمام مراده بخطابه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الفارق</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بين التقييد والقدر المتيقن في مقام التخاطب هو أن الأول يوجب التقييد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يصح أن يكون معارضاً لمطلق آخر، ولكن الثاني مع أنه لا مجال للأخذ بالإطلاق مع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يقتصر عليه دون التعدي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لما لم يكن موجباً للتقييد بخصوص لا يكون معارضاً مع مطلق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لعل المطلق الآخر يرفع ما فيه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بعض الأعلام بإيرادات نقتصر على ذكر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المراد من كون المتكلم في مقام البيان هو كونه في مقام بيان ما تعلقت به إرادته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إرادته مختصة بقسم خاص من المطلق المذكور في كلامه لزمه أن ينصب عليه قرينة متصلة أو منفصلة، ومجرد اليقين بدخول ذلك القسم في موضوع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w:t>
      </w:r>
    </w:p>
    <w:p>
      <w:pPr>
        <w:pStyle w:val="BookText"/>
        <w:rPr/>
      </w:pPr>
      <w:r>
        <w:rPr>
          <w:rFonts w:ascii="Amiri" w:hAnsi="Amiri" w:eastAsia="Amiri" w:cs="Amiri"/>
          <w:color w:val="111111"/>
          <w:sz w:val="28"/>
          <w:sz w:val="28"/>
          <w:szCs w:val="28"/>
          <w:rtl w:val="true"/>
          <w:lang w:bidi="ar-SA"/>
        </w:rPr>
        <w:t>متعلقه لا يصلح لأن يكون قرينة على اختصاص الحكم به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ملتفتاً إلى هذه الفكرة وأجاب عليها بما توضيحه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الأصل العقلائي المذكور في بحث المقدمة الأولى في مفاده احتمالان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تمام مراده بخطابه من دون أن يكون للمتكلم نظر إلى إفهام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بيان آخر على أن ما بينه هو التمام أي بيان وصف التمامية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النظر المذكور ملحوظاً للمتكلم كجزء من الأصل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إذا لم يبين ذلك يكون مخلاً بغرضه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ومخالفاً للظهور الحالي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الاحتمال الثاني يتم الإيراد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على المتكلم أن يقيم قرينة على أن ما بينه هو تمام مراده، فإذا لم يقم القرينة فإن القدر المتيقن أقصى ما فيه أنه مراد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التمام فمسكوت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مانع من الأخذ بإطلاق اسم الجنس من دون أن يضر القدر المتيقن في مقام التخاطب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الاحتمال الأول فلا يتم الإيراد كما عرفنا من أنه لا إخلال بالغرض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احتمال أن القدر المتيقن هو تمام المراد لازم ولا دافع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الاحتمال الأول دون الثاني والوجه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المقدمة الأولى لا طريق لنا لإثباتها إلا الأصل العقلائي الذي سبق بحثه القائم على كون المتكلم في مقام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الأصل العقلائي بملاحظة مبناه الثبوتي يفيد أن المتكلم بمقتضى طبعه يبين تمام ما تعلقت به إرادته مما هو دخيل في حكمه من الأجزاء والشرائط والموانع، وإفهام السامع أن ما بينه هو التمام ليس دخيلاً في المطلوب،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يحتاج إلى قرينة خاصة ولا يكون جزءً من الأصل العقلائي المذكور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حتى على الاحتمال الثاني هذا ذُكرت عدة بيانات على أنه يتعين القدر المتيقن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تمام مدلول اسم الجنس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لا يكون وجهاً للإيراد المذكور أصلاً، وأهمها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البيان الأول</w:t>
      </w:r>
      <w:r>
        <w:rPr>
          <w:rStyle w:val="FootnoteAnchor"/>
          <w:rtl w:val="true"/>
        </w:rPr>
        <w:footnoteReference w:id="20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يقضي بأن القدر المتيقن في مقام التخاطب لا إشكال في إرادته من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غيره فمشكوك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من الممكن أن المتكلم يتكل في بيان إرادة خصوص المتيقن على حكم العقل هذا من دون الحاجة إلى إقامة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إرادة تمام المدلول هو الذي يحتاج إلى إقامة القرينة للخروج عن حكم العقل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أجاب عنه 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والتقييد في الذهن أمران متباينان لرجوع الإطلاق إلى عدم دخل الخصوصية في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التقييد إلى 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متباينان في عالم اللحاظ بلا وجود متيقن بين 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بقطع النظر عن جواب المحقق العراقي أقصى ما يفيده حكم العقل أن هذا 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مشكوك ولا يدفع الشك، مضافاً إلى أن ما يمنع من انعقاد الإطلاق لا يراد به مطلق ما يحتمل اتكال المتكلم عليه في عدم 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خصوص ما يكون لو اتكل عليه المتكلم لكان مقبولاً لدى أبناء المحاورة، وسيرة العقلاء قائمة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انعقاد الإطلاق نادراً كما هو واضح، ومن هنا نمنع أن يكون حكم العقل هذا مما يعتمد عليه العقلاء في بيان مقاصدهم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الثاني</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إضافة النظر المذكور لا تجدي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نفعاً في إثبات الإطلاق؛ لأن ثبوت الحكم على القدر المتيقن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جميع الأفراد فغير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مبنياً بتمامه لو 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وبمقتضى كونه في مقام بيان تمام المراد نستكشف أنه ليس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تمام المراد هو المقيد المتيقن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القدر المتيقن أقصى ما فيه أنه مراد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التمام فمسكوت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مانع من الأخذ بإطلاق اسم الجنس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مقتضي الإطلاق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والمانع وهو إقامة القرينة على كون القدر المتيقن هو تمام المراد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ذكر اسم الجنس مثلاً وتردد تمام المراد منه بين مدلول اسم الجنس الشامل لجميع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القدر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يذكر قرينة على أن المتيقن هو تمام المراد فإنه يكفي قرينة على أن اسم الجنس هو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يقال إن عليه أن يضم قرينة على أن مدلول اسم الجنس هو التمام فإذا لم يقم قرينة يتعين القدر المتيقن؟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المشكوك أعني غير المتيقن من الأفراد هو المحتاج لدفعه من خلال القرينة إن لم يكن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تكن قرينة فلا دافع لإرادته من اسم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وجود القدر المتيقن في مقام التخاطب مانعاً من جواز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وجود القدر المتيقن من الخارج أيضاً كذلك، ضرورة أن كون الشيء قدراً متيقناً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خصوصية له توجب اختصاصه بالمنع من التمسك بالإطلاق، فلو كان ذلك مانعاً لكان منعه بملاك كونه قدراً متيقناً في ثبوت الحكم له، فيلزم القول بكون وجود القدر المتيقن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مانعاً من الأخذ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w:t>
      </w:r>
    </w:p>
    <w:p>
      <w:pPr>
        <w:pStyle w:val="BookText"/>
        <w:rPr/>
      </w:pPr>
      <w:r>
        <w:rPr>
          <w:rFonts w:ascii="Amiri" w:hAnsi="Amiri" w:eastAsia="Amiri" w:cs="Amiri"/>
          <w:color w:val="111111"/>
          <w:sz w:val="28"/>
          <w:sz w:val="28"/>
          <w:szCs w:val="28"/>
          <w:rtl w:val="true"/>
          <w:lang w:bidi="ar-SA"/>
        </w:rPr>
        <w:t>يبقى مورد للتمسك بالإطلاق إلا نادراً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الحالي والأصل العقلائي مفاده أن المتكلم في مقام بيان تمام مراده بخطابه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يعم ما يكون بأمرٍ خارج عن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ذكره جملة من الأعلام</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الإيراد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نقض به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وجود القدر المتيقن في مقام التخاطب مضراً بالتمسك بالإطلاق لما جاز التمسك بالمطلقات في غير موارد ورودها، إذ المورد من أظهر موارد وجود القدر المتيقن في مقام التخاطب</w:t>
      </w:r>
      <w:r>
        <w:rPr>
          <w:rFonts w:eastAsia="Amiri" w:cs="Amiri" w:ascii="Amiri" w:hAnsi="Amiri"/>
          <w:color w:val="111111"/>
          <w:sz w:val="28"/>
          <w:szCs w:val="28"/>
          <w:rtl w:val="true"/>
          <w:lang w:bidi="ar-SA"/>
        </w:rPr>
        <w:t>)</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هذا النقض إلى أن العرف وأهل المحاورة على الإجمال يبنون على الإطلاق مع وجود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يكشف عن أنه لا يضر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الخروج عما عليه العرف لا يكون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تقريب شرطية انتفاء القدر المتيقن في انعقاد الإطلاق من جهة احتمال أن يكون المتكلم قد أتكل على كونه قدراً متيقناً في مقام بيان أنه تمام مراده، لا يمكن قبوله؛ لأنه وكما أشرنا سابقاً من أن ما يمنع من انعقاد الإطلاق لا يراد به مطلق ما يحتمل اتكال المتكلم عليه في عدم 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خصوص ما يكون لو اتكل عليه المتكلم لكان مقبولاً لدى أبناء المحاورة، وسيرة العقلاء قائمة على ذلك، وإلا كان انعقاد الإطلاق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أهل المحاورة على عدم الاعتناء بالقدر المتيقن في مقام التخاطب كما في النقض المذكور شاهد على أن العرف لا يقبله مانعاً عن انعقاد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حقيقة أخذ انتفاء القدر المتيقن في مقام التخاطب من جملة مقدمات الحكمة احتمالات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بعنوانه وبنحو الموضوعية فيكون مقدمة برأسه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يرجع إلى الصالح للقرينة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يكون مختصاً بالقيد المذكور في كلام السائل دون أن يكرر في جواب </w:t>
      </w:r>
    </w:p>
    <w:p>
      <w:pPr>
        <w:pStyle w:val="BookText"/>
        <w:rPr/>
      </w:pPr>
      <w:r>
        <w:rPr>
          <w:rFonts w:ascii="Amiri" w:hAnsi="Amiri" w:eastAsia="Amiri" w:cs="Amiri"/>
          <w:color w:val="111111"/>
          <w:sz w:val="28"/>
          <w:sz w:val="28"/>
          <w:szCs w:val="28"/>
          <w:rtl w:val="true"/>
          <w:lang w:bidi="ar-SA"/>
        </w:rPr>
        <w:t>المجيب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وفرقه عن القيد المذكور في الجواب أنه ظاهر في الاحترازية ومفهوم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المذكور في خصوص السؤال فليس له مثل هذا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ساكت عما عداه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يرجع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واضح أنه ليس بمراد لصاحب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يدخل في المقدمة الثانية بحسب تعداد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بخصوصه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المحقق النائيني والمشكيني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ذكراه على أنه من مصاديق القدر المتيقن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هو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الأمر يكون دائراً بين الاحتمالين الأولين، وما ذكرناه في الأمر الأول كان على أساس أخذه بعنوانه في ضمن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الشواهد إنما هي لصالح الاحتمال الثاني 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المحقق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مراتب الانصراف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لا إطلاق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كان له الانصراف إلى خصوص بعض الأفراد أو الأصناف لظهوره فيه، أو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متيقناً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خصوص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كونه متيقناً منه، ولو لم يكن ظاهراً فيه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مفاده أن</w:t>
      </w:r>
    </w:p>
    <w:p>
      <w:pPr>
        <w:pStyle w:val="BookText"/>
        <w:rPr/>
      </w:pPr>
      <w:r>
        <w:rPr>
          <w:rFonts w:ascii="Amiri" w:hAnsi="Amiri" w:eastAsia="Amiri" w:cs="Amiri"/>
          <w:color w:val="111111"/>
          <w:sz w:val="28"/>
          <w:sz w:val="28"/>
          <w:szCs w:val="28"/>
          <w:rtl w:val="true"/>
          <w:lang w:bidi="ar-SA"/>
        </w:rPr>
        <w:t>بعض الأفراد أو الأصناف مع أنه متيقن إرادته من ظاهر المطلق إلا أنه ليس ظاهراً فيه بخصوصه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يفترق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إلا الصالح للقرينة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المحقق العراقي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مراتب الانصراف أيضاً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أنس الذهن بمرتبة يوجب الشك المستقر بنحو لا يزول بالتأمل والتدبر</w:t>
      </w:r>
    </w:p>
    <w:p>
      <w:pPr>
        <w:pStyle w:val="BookText"/>
        <w:rPr/>
      </w:pPr>
      <w:r>
        <w:rPr>
          <w:rFonts w:ascii="Amiri" w:hAnsi="Amiri" w:eastAsia="Amiri" w:cs="Amiri"/>
          <w:color w:val="111111"/>
          <w:sz w:val="28"/>
          <w:sz w:val="28"/>
          <w:szCs w:val="28"/>
          <w:rtl w:val="true"/>
          <w:lang w:bidi="ar-SA"/>
        </w:rPr>
        <w:t>أيضاً كما في القدر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المضرة الإجمالية فتمنع عن الأخذ بالإطلاق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القدر المتيقن في مقام التخاطب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حكيناه من الفارق بين التقييد والقدر المتيقن في مقام التخاطب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أن حقيقة انتفاء القدر المتيقن في مقام التخاطب أنه يرجع إلى انتفاء ما يصلح للقرينة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هنا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طرحه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هذا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عنوان انتفاء ما يصلح 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الثاني أعم من الأول؟</w:t>
      </w:r>
    </w:p>
    <w:p>
      <w:pPr>
        <w:pStyle w:val="BookText"/>
        <w:rPr/>
      </w:pPr>
      <w:r>
        <w:rPr>
          <w:rFonts w:ascii="Amiri" w:hAnsi="Amiri" w:eastAsia="Amiri" w:cs="Amiri"/>
          <w:color w:val="111111"/>
          <w:sz w:val="28"/>
          <w:sz w:val="28"/>
          <w:szCs w:val="28"/>
          <w:rtl w:val="true"/>
          <w:lang w:bidi="ar-SA"/>
        </w:rPr>
        <w:t>بدا لي من متابعة جملة من المباحث الفقهية</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لصاحب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شرحه على تبصرة المتعلمين</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كأنهم يرون أن القدر المتيقن في مقام التخاطب مانع عن انعقاد الإطلاق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الانصراف أو الأنحاء الأخرى من الصالح 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أنها تختص بحال دون حال، ومن ثم فهو وإن كان من مصاديق ما يصلح 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خصوصيته المذكورة دعت إلى ذكره بعنوانه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لا يغفر من أن المناسب أن يذكر عنوان انتفاء الصالح للقرينة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وينبه على أن ما كان من قبيل القدر المتيقن في مقام التخاطب له خصوصية يختلف بها عن بقية أنحاء ما يصلح للقرينة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 أنه لا خصوصية له أصلاً</w:t>
      </w:r>
      <w:r>
        <w:rPr>
          <w:rFonts w:eastAsia="Amiri" w:cs="Amiri" w:ascii="Amiri" w:hAnsi="Amiri"/>
          <w:color w:val="111111"/>
          <w:sz w:val="28"/>
          <w:szCs w:val="28"/>
          <w:rtl w:val="true"/>
          <w:lang w:bidi="ar-SA"/>
        </w:rPr>
        <w:t xml:space="preserve">. </w:t>
      </w:r>
      <w:bookmarkStart w:id="135" w:name="pg9087_85186"/>
    </w:p>
    <w:p>
      <w:pPr>
        <w:pStyle w:val="Heading4"/>
        <w:numPr>
          <w:ilvl w:val="3"/>
          <w:numId w:val="1"/>
        </w:numPr>
        <w:rPr/>
      </w:pPr>
      <w:bookmarkStart w:id="136" w:name="__RefHeading___Toc2684189_2870459653"/>
      <w:bookmarkStart w:id="137" w:name="_Toc45"/>
      <w:bookmarkEnd w:id="135"/>
      <w:bookmarkEnd w:id="136"/>
      <w:r>
        <w:rPr>
          <w:rtl w:val="true"/>
        </w:rPr>
        <w:t>المبحث الثالث</w:t>
      </w:r>
      <w:bookmarkEnd w:id="137"/>
    </w:p>
    <w:p>
      <w:pPr>
        <w:pStyle w:val="BookText"/>
        <w:rPr/>
      </w:pPr>
      <w:r>
        <w:rPr>
          <w:rFonts w:ascii="Amiri" w:hAnsi="Amiri" w:eastAsia="Amiri" w:cs="Amiri"/>
          <w:color w:val="111111"/>
          <w:sz w:val="28"/>
          <w:sz w:val="28"/>
          <w:szCs w:val="28"/>
          <w:rtl w:val="true"/>
          <w:lang w:bidi="ar-SA"/>
        </w:rPr>
        <w:t>الثالثة من مقدمات الحكمة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الإطلاق والتقييد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امتناع الإطلاق والتقييد يكون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على سبيل السالبة بانتفاء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عدم تحقق موضوع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موضوع الإطلاق هو الماهية الوسيعة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موضوع للإطلاق فيما لو لم يكن لشيء من قبيل الماهية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كان أمراً موجوداً في الخارج، إذ الإطلاق والتقييد لحاظان ذهنيان فلا يردان على أمرٍ خارجي مضافاً إلى أن الوجود يساوق التشخص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الماهية الخارجية لا تكون إلا على وجه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لها سعة وشمول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موضوع له فيما إذا كانت الماهية ضيقة في حد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فالإنسان مثلاً لا يقبل الإطلاق والتقييد بالنسبة للحيوان الناطق لضيق مفهومه في حد نفسه، واعتبار هذا الوجه من إمكان الإطلاق والتقييد في انعقادهما أمر بديهي لاشك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الامتناع على سبيل السالبة بانتفاء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موضوع الإطلاق والتقييد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الماهية الوسيعة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إلا أنهما يمتنعان رغم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لا إشكال في اعتبار إمكان الإطلاق ثبوتاً إذ لا يتعلق الجعل بأمرٍ غير ممكن، فإذا لم يكن إطلاق الجعل ممكناً لم يكن موجوداً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اعتبار إمكان التقييد ثبوتاً وإثباتاً وكذلك اعتبار الإطلاق إثباتاً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اعتبار إمكان التقييد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مبني على بعض المباني دون جميعها، ذلك أنا إذا قلنا إن التقابل بين الإطلاق والتقييد في عالم الثبوت من قبيل العدم والملكة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امتنع التقييد من جهة ارتفاع الشأنية امتنع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إذا قلنا إن التقابل بينهما من قبيل الضدين الذين لا ثالث لهما أو النقيضين؛ لأنه إذا امتنع التقييد ثبت الإطلاق بلا حاجة إلى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الحالات يكون إمكان التقييد ثبوتاً من مقدمات الحكمة؛ لأنه لو امتنع يثبت الإطلاق بلا حاجة إلى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قلنا إن التقابل بينهما من قبيل الضدين الذين لهما ثالث لإمكان الإهمال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إمكان التقييد من مقدمات انعقاد الإطلاق؛ لأن امتناع التقييد ثبوتاً لا يوجب تعذر الإطلاق أو تحققه قهراً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إمكان التقييد إثباتاً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الإطلاق واقعاً إنما يحصل بانعقاد أصالة التطابق بين مقام الإثبات ومقام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كاشفية مقام الإثبات عن مقام الثبوت، فإذا امتنع ذكر القيد إثباتاً لم يكن لعدم ذكره كاشفية عن عدم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أن يكون مراده واقعاً هو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يستطع كشفه إثباتاً للامتناع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يظهر الوجه في اشتراط إمكان الإطلاق إثباتاً في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متى تعذر إمكان الإطلاق تعين على المتكلم إما سوق الكلام على سبيل الإجمال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القيد حتى وأن لم يكن مراداً له، وعلى كلا الحالين لا ينعقد الإطلاق الإثباتي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أمر ينبغي الالتفات إليه وهو إن المقصود بالإمكان والامتناع هل خصوص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المتبادر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منه ومن العرفي الدقي؟</w:t>
      </w:r>
    </w:p>
    <w:p>
      <w:pPr>
        <w:pStyle w:val="BookText"/>
        <w:rPr/>
      </w:pPr>
      <w:r>
        <w:rPr>
          <w:rFonts w:ascii="Amiri" w:hAnsi="Amiri" w:eastAsia="Amiri" w:cs="Amiri"/>
          <w:color w:val="111111"/>
          <w:sz w:val="28"/>
          <w:sz w:val="28"/>
          <w:szCs w:val="28"/>
          <w:rtl w:val="true"/>
          <w:lang w:bidi="ar-SA"/>
        </w:rPr>
        <w:t>والصحيح فيه التفصيل بين اعتبار إمكان الإطلاق والتقييد ثبوتاً وإثباتاً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فاعتبار إمكانهما ثبوتاً يراد بالإمكان فيه الإمكان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دخل للعرف في مقام الثبوت بالمعنى المنظور ههنا</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اعتبار إمكانهما إثباتاً فهو أعم من الإمكان العقلي والعرفي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أن ملاك اعتبار ذلك عدم انعقاد الدلالة لعدم ذكر القيد كما تقدم، ويكفي في انتفاء الدلالة وجود عذر للمتكلم ولو كان الحذر والتقية</w:t>
      </w:r>
      <w:r>
        <w:rPr>
          <w:rFonts w:eastAsia="Amiri" w:cs="Amiri" w:ascii="Amiri" w:hAnsi="Amiri"/>
          <w:color w:val="111111"/>
          <w:sz w:val="28"/>
          <w:szCs w:val="28"/>
          <w:rtl w:val="true"/>
          <w:lang w:bidi="ar-SA"/>
        </w:rPr>
        <w:t xml:space="preserve">. </w:t>
      </w:r>
      <w:bookmarkStart w:id="138" w:name="pg9087_85188"/>
    </w:p>
    <w:p>
      <w:pPr>
        <w:pStyle w:val="BookText"/>
        <w:rPr/>
      </w:pPr>
      <w:bookmarkEnd w:id="138"/>
      <w:r>
        <w:rPr>
          <w:rFonts w:ascii="Amiri" w:hAnsi="Amiri" w:eastAsia="Amiri" w:cs="Amiri"/>
          <w:color w:val="111111"/>
          <w:sz w:val="28"/>
          <w:sz w:val="28"/>
          <w:szCs w:val="28"/>
          <w:rtl w:val="true"/>
          <w:lang w:bidi="ar-SA"/>
        </w:rPr>
        <w:t>والفارق بينهما أنه على الأخير يدخل الاضطرار والإكراه والتقية وما شاكلها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بخلافه على الأول</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2684191_2870459653"/>
      <w:bookmarkStart w:id="140" w:name="_Toc46"/>
      <w:bookmarkEnd w:id="139"/>
      <w:r>
        <w:rPr>
          <w:rtl w:val="true"/>
        </w:rPr>
        <w:t>المبحث الرابع</w:t>
      </w:r>
      <w:bookmarkEnd w:id="140"/>
    </w:p>
    <w:p>
      <w:pPr>
        <w:pStyle w:val="BookText"/>
        <w:rPr/>
      </w:pPr>
      <w:r>
        <w:rPr>
          <w:rFonts w:ascii="IRNazanin" w:hAnsi="IRNazanin" w:eastAsia="IRNazanin"/>
          <w:color w:val="111111"/>
          <w:sz w:val="28"/>
          <w:sz w:val="28"/>
          <w:szCs w:val="28"/>
          <w:rtl w:val="true"/>
          <w:lang w:bidi="fa-IR"/>
        </w:rPr>
        <w:t xml:space="preserve">الرابعة من مقدمات الحكمة ما حُكيت اضافته عن بعض أعاظم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ضرورة التطابق بين المراد الاستعمالي والمراد الجدي في ذاتهما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ووافقه السيد الأستاذ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مرجع الأخذ بالإطلاق اللفظي في أصالة التطابق بين المراد الجدي والمراد الاستعمالي، أي التطابق بين القضية اللفظية والقضية اللبية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أنه مالم يذكر في القضية اللفظية ليس له دخل في القضية اللبية، هذا فيما إذا كان التطابق بين المراد الاستعمالي والمراد الجدي في الذات متحققاً ونشك في الحدود، فلو قال الآمر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وشككنا في أن للعدالة دخلاً في ثبوت هذا الحكم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مقتضى أصالة التطابق بين المراد الجدي والاستعمالي، هو أن لا يكون للعدالة أي دخل في ثبوت هذا الحكم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افترضنا أن المراد الجدي مغاير في الذات للمراد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ذكر شيئاً وأراد شيئاً آخر لأي مبرر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باب الكنايات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بذلك أنه جواد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هناك تطابق أصلاً بين المرادين حتى يكون مجرى لأصالة التطابق والأخذ بالإطلاق اللفظي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جميع الموارد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كانت أو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شككنا في سعة المراد الجدي وضيقه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اللجوء إلى القرائن والمناسبات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 في أن المراد الجدي هو مطلق من يعد كريماً في العرف أو خصوص من يتسم بكرم الضيافة مثلاً، يمكن الأخذ بالإطلاق، ومقتضاه كفاية الإتيان بأي رجل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كرمه في الضيافة أم في غيرها من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التطابق بين المرادين الجدي والاستعمالي في الذات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w:t>
      </w:r>
    </w:p>
    <w:p>
      <w:pPr>
        <w:pStyle w:val="BookText"/>
        <w:rPr/>
      </w:pPr>
      <w:r>
        <w:rPr>
          <w:rFonts w:ascii="Amiri" w:hAnsi="Amiri" w:eastAsia="Amiri" w:cs="Amiri"/>
          <w:color w:val="111111"/>
          <w:sz w:val="28"/>
          <w:sz w:val="28"/>
          <w:szCs w:val="28"/>
          <w:rtl w:val="true"/>
          <w:lang w:bidi="ar-SA"/>
        </w:rPr>
        <w:t>لم يقيد بخصوصية معينة فمقتضى أصالة التطابق هو أن لا تكون أي خصوصية غير مذكورة معتبرة في المراد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جئني برجل كثير الرماد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وشككنا في أن المراد خصوص الكريم في مجال الضيافة أو أعم من ذلك، فلا يؤخذ بالإطلاق؛ لأن المراد الجدي هو الرجل الكريم وليس كثير الرماد، فلا تطابق بين المرادين الاستعمالي والجدي في الذات ليبنى على تطابقهما في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محيص من الرجوع في مثل ذلك إلى الشواهد والمناسبات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مقتضاها في المورد إرادة خصوص كرم الضيافة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الاقتصار عليه ولا مجال للأخذ بالإطلاق على كل حال</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الدلالة الإطلاقية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حدود المعنى وهي مضافة إلى معنى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عبرنا عنه سابقاً بأصل المعنى المفاد من الحكم أو متعلقه أو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حدود المراد الاستعمالي يصح أن تمثل حدود المراد الجدي فيما لو كان المراد الاستعمالي هو هو المراد الجدي في أصل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كما أن الأصل أن يكون المراد الاستعمالي مطابقاً للمراد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الأصل أن تكون حدوده مطابقة لحدود المراد الجدي، أما إذا اختلفا فلا دليل على أن حدود المراد الاستعمالي هي حدود للمراد الجدي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أنه معنى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لا مكان لأصالة التطابق في حدود المعنيين بعد عدم التطابق بين أصلهما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التأمل في ما يعبر عنه في كلماتهم بإطلاق التنزيل إذ أنه لا إطلاق فيه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حمله على أبرز الجهات دون جميعها لأجل عدم انعقاد الإطلاق من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لأجل انعقاد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عدم إحراز أن يكون من جميع الجهات</w:t>
      </w:r>
      <w:r>
        <w:rPr>
          <w:rFonts w:eastAsia="Amiri" w:cs="Amiri" w:ascii="Amiri" w:hAnsi="Amiri"/>
          <w:color w:val="111111"/>
          <w:sz w:val="28"/>
          <w:szCs w:val="28"/>
          <w:rtl w:val="true"/>
          <w:lang w:bidi="ar-SA"/>
        </w:rPr>
        <w:t xml:space="preserve">. </w:t>
      </w:r>
      <w:bookmarkStart w:id="141" w:name="pg9087_85190"/>
    </w:p>
    <w:p>
      <w:pPr>
        <w:pStyle w:val="Heading3"/>
        <w:numPr>
          <w:ilvl w:val="2"/>
          <w:numId w:val="1"/>
        </w:numPr>
        <w:rPr/>
      </w:pPr>
      <w:bookmarkStart w:id="142" w:name="__RefHeading___Toc2684193_2870459653"/>
      <w:bookmarkStart w:id="143" w:name="_Toc47"/>
      <w:bookmarkEnd w:id="141"/>
      <w:bookmarkEnd w:id="142"/>
      <w:r>
        <w:rPr>
          <w:rtl w:val="true"/>
        </w:rPr>
        <w:t>المصادر</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الإيرواني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كتاب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السيد محمود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الغدير للدراسات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شرح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محمد رضا السيستاني دامت بركاته بقلم الشيخ أمجد رياض والشيخ نزار يوسف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تحريرات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مصطفى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تنظيم ونشر آثار السيد مصطفى الخميني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تعارض الأدلة واختلاف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بحث السيد السيستاني مد ظله بقلم هاشم الهاشمي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تعليقة القوجاني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علي القوجاني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المؤتمر العالمي للإمام الشهيد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الحلقة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للإمام الشهيد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درر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عبد الكريم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محمد علي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القوانين المحكمة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أبي القاسم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المحجة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كفاية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الخراساني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 ومؤسسة النشر الإسلامي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محاضرات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الشيخ الفياض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مؤسسة السيد الخوئي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المحكم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سعيد الحكيم مد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السيد محمد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السيد جلال الدين الطاهري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علاء الدين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الزهراء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مطارح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الشيخ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الكلانتري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مقالات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منتقى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محمد الروحاني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عبد الصاحب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الهادي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الأيرواني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الأعلام الإسلامي 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نهاية الدراية في شرح الكفاية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المحقق الأصفهاني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نتائج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محمود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السيد محمد جعفر المروج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المرتضى للتحقيق والنشر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تقرير بحث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الشيخ حسن الصافي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صاحب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هداية المسترشدين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تقي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المشكيني على كفاية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أبي الحسن المشكيني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الحكمة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تبصرة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مؤسسة النشر الإسلامي التابعة لجماعة المدرسين بقم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اللمعات النيّرة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الآخوند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ولي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الدراسات والبحوث</w:t>
      </w:r>
      <w:r>
        <w:rPr>
          <w:rFonts w:eastAsia="Amiri" w:cs="Amiri" w:ascii="Amiri" w:hAnsi="Amiri"/>
          <w:color w:val="111111"/>
          <w:sz w:val="28"/>
          <w:szCs w:val="28"/>
          <w:rtl w:val="true"/>
          <w:lang w:bidi="ar-SA"/>
        </w:rPr>
        <w:t xml:space="preserve">. </w:t>
      </w:r>
      <w:bookmarkStart w:id="144" w:name="pg9087_85193"/>
    </w:p>
    <w:p>
      <w:pPr>
        <w:pStyle w:val="Heading2"/>
        <w:numPr>
          <w:ilvl w:val="1"/>
          <w:numId w:val="1"/>
        </w:numPr>
        <w:rPr/>
      </w:pPr>
      <w:bookmarkStart w:id="145" w:name="__RefHeading___Toc2684195_2870459653"/>
      <w:bookmarkStart w:id="146" w:name="_Toc48"/>
      <w:bookmarkEnd w:id="144"/>
      <w:bookmarkEnd w:id="145"/>
      <w:r>
        <w:rPr>
          <w:rtl w:val="true"/>
        </w:rPr>
        <w:t>دراسة حول الواسطة المبهمة بين الحسن بن محمد بن سماعة و أبان بن عثمان</w:t>
      </w:r>
      <w:r>
        <w:rPr>
          <w:rtl w:val="true"/>
        </w:rPr>
        <w:t>(</w:t>
      </w:r>
      <w:r>
        <w:rPr>
          <w:rtl w:val="true"/>
        </w:rPr>
        <w:t>القسم الأول</w:t>
      </w:r>
      <w:r>
        <w:rPr>
          <w:rtl w:val="true"/>
        </w:rPr>
        <w:t xml:space="preserve">) - </w:t>
      </w:r>
      <w:r>
        <w:rPr>
          <w:rtl w:val="true"/>
        </w:rPr>
        <w:t>علي سالم الناصري دام عزه</w:t>
      </w:r>
      <w:bookmarkEnd w:id="146"/>
    </w:p>
    <w:p>
      <w:pPr>
        <w:pStyle w:val="Heading3"/>
        <w:numPr>
          <w:ilvl w:val="2"/>
          <w:numId w:val="1"/>
        </w:numPr>
        <w:rPr/>
      </w:pPr>
      <w:bookmarkStart w:id="147" w:name="__RefHeading___Toc2684197_2870459653"/>
      <w:bookmarkStart w:id="148" w:name="_Toc49"/>
      <w:bookmarkEnd w:id="147"/>
      <w:r>
        <w:rPr>
          <w:rtl w:val="true"/>
        </w:rPr>
        <w:t>اشارة</w:t>
      </w:r>
      <w:bookmarkEnd w:id="14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الاستدلال بالسنة الشريفة صعوبات نشأت من مشاكل في مثبتاتها، كالإرسال في الأسانيد، وليس بالضرورة أن يكون لسبب قهر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 منه ولَّده ضياع قرينة، أو تصريح اعتُمد عليه عند الإتيان بلفظ 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ونظرية الاحتمال من الأساليب العلمية المتَّبعة للتغلُّب على بعض عقبات صراط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بين يديك محاولة لحلِّ مشكلة نجمت عن إبهام الواسطة بين راويين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سماعة، وأبان بن عثمان اعتماداً على نظرية الاحتمال مع إيجاز لبعض أساسياتها وقوانينها</w:t>
      </w:r>
      <w:r>
        <w:rPr>
          <w:rFonts w:eastAsia="Amiri" w:cs="Amiri" w:ascii="Amiri" w:hAnsi="Amiri"/>
          <w:color w:val="111111"/>
          <w:sz w:val="28"/>
          <w:szCs w:val="28"/>
          <w:rtl w:val="true"/>
          <w:lang w:bidi="ar-SA"/>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والحمد لله رب العالمين والصلاة، والسلام على محمد وآله الطيبين الطاهرين، واللعنة الدائمة على أعدائهم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يوجد في كتب الحديث العديد من الروايات التي في سندها واسطة مبهمة بين الحسن بن محمد بن سماعة، وبين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الواسطة فيه متعددة عرضاً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الكافي وحده ما يقرب من مائة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كانت الواسطة فيه واحدة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الكافي ما يقرب من خمس عشرة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أنَّه يُتعامل مع الأول معاملة المُعتبر ومع الثاني معاملة المُرسل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وعنايتنا موجَّهة إلى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الواسطة فيه متعددة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محاولين حلّ المشكلة بالاعتماد على حساب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ذلك علينا أن لا نغفل عن أمر مهم، أعني وجود ثمرة عملية للبحث، أو عدم وجودها من ناحية أنه هل توجد مشكلة عملية نحتاج إلى حلّها، أم أن البحث ضرب من الترف العلمي؟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شكَّ فيه أن هذا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اجتماع جماعة يمتنع اجتماعهم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لأول وهلة الأمر يستحق المتابعة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تصل النوبة إلى طريقة حساب الاحتمال، لما تتطلبه من وقت وجهد ليسا بالقليلين، إلا بعد العجز عن حلّ المشكلة بغيرها مما هو أيسر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يمكن </w:t>
      </w:r>
    </w:p>
    <w:p>
      <w:pPr>
        <w:pStyle w:val="BookText"/>
        <w:rPr/>
      </w:pPr>
      <w:r>
        <w:rPr>
          <w:rFonts w:ascii="Amiri" w:hAnsi="Amiri" w:eastAsia="Amiri" w:cs="Amiri"/>
          <w:color w:val="111111"/>
          <w:sz w:val="28"/>
          <w:sz w:val="28"/>
          <w:szCs w:val="28"/>
          <w:rtl w:val="true"/>
          <w:lang w:bidi="ar-SA"/>
        </w:rPr>
        <w:t>التشبث به لحل المشكلة بلا خوض في عملية حساب الاحتمال أمران قد يغنيان عن حساب الاحتمال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الاعتماد على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وههنا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الاطمئنان بعدم اجتماع ثلاثة 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المحسني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عدّة أو عن جماعة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واحد أو أمثال هذه العبارات نبني على اعتبار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نعرف المحذوفين اسماً بالمدح والذم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للاطمئنان بعدم كذب جميع الجماعة المذكورة في أخبارهم</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والفرق بين هذه الطريقة والطريقة التي نحن بصدد اعتمادها – وإن كان واقعها أيضا الاعتماد على حساب الاحتمال – هو أن هذه الطريقة تقرب الاعتماد على الرواية بنفي احتمال الكذب، حتى على تقدير كون الجماعة جميعاً غير 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ما نريد اعتماده هو إثبات أن أحد الرواة على الأقل ثقة بنفي احتمال أن الجميع من غير الموثقين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تتم هذه الدعوى أو لا تتم؟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حصول الاطمئنان على نحو كلي من هكذا تعبير فيه مجال للنقاش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يتأثر بطبيعة القضية المنقولة، وبكون النقل مفصلاً أو مجملاً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وبكون الناقلين من مشارب متعددة أم من مشرب وطريقة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وبكونهم من أهل بلد واحد أو من بلاد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السبزواري في الذخيرة عند الكلام فيما لو نسي تعيين الصلاة الفائتة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غير واحد من أصحابنا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في رواية 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تعدد الرواية، وظهور صحة الخبر عنده، ومثل </w:t>
      </w:r>
    </w:p>
    <w:p>
      <w:pPr>
        <w:pStyle w:val="BookText"/>
        <w:rPr/>
      </w:pPr>
      <w:r>
        <w:rPr>
          <w:rFonts w:ascii="Amiri" w:hAnsi="Amiri" w:eastAsia="Amiri" w:cs="Amiri"/>
          <w:color w:val="111111"/>
          <w:sz w:val="28"/>
          <w:sz w:val="28"/>
          <w:szCs w:val="28"/>
          <w:rtl w:val="true"/>
          <w:lang w:bidi="ar-SA"/>
        </w:rPr>
        <w:t>هذا الكلام عند ضعف الرواة وعدم صحة التعويل على نقلهم لا يصدر عن الثقات الأجلاء؛ لما فيه من التلبيس</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أبو المعالي الكلباسي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خبير بأن دعوى الظهور المذكور محل الإشكال، سواء كان الظهور مستنداً إلى نفس رواية العدل أم تعبيره بغير واحد، بل على الأول يلزم أن يكون رواية العدل تعديلاً للمروي عنه</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من التعليق متين، أما الاول فواضح، و أما الثاني فدلالة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الأكثر من الاثنين مسلمة، لكن أي تلبيس في قول الثقة عن غير واحد اذا كانوا في الواقع متعددين وإن كانوا جميعاً غير معلومي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في قول أحدنا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غير واحد أنه حدث كذا وكذا إذا سمعه ممن لا يعرفهم تلبيس، أو ظهور في صحة الخبر عنده؟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عن غير واحد على 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أبو المعالي الكلباسي</w:t>
      </w:r>
      <w:r>
        <w:rPr>
          <w:rStyle w:val="FootnoteAnchor"/>
          <w:rtl w:val="true"/>
        </w:rPr>
        <w:footnoteReference w:id="218"/>
      </w:r>
      <w:r>
        <w:rPr>
          <w:rFonts w:ascii="Amiri" w:hAnsi="Amiri" w:eastAsia="Amiri" w:cs="Amiri"/>
          <w:color w:val="111111"/>
          <w:sz w:val="28"/>
          <w:sz w:val="28"/>
          <w:szCs w:val="28"/>
          <w:rtl w:val="true"/>
          <w:lang w:bidi="ar-SA"/>
        </w:rPr>
        <w:t>أن ذلك تام بناءً على اعتبار الخبر المستفيض، خصوصاً بناءً على كون المدار في الاستفاضة على ما فوق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عقَّب صاحب المدارك على رواية في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يضر إرسالها، لأن في قوله عن غير واحد من أصحابه إشعاراً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باستفاضة ذلك</w:t>
      </w:r>
      <w:r>
        <w:rPr>
          <w:rFonts w:eastAsia="Amiri" w:cs="Amiri" w:ascii="Amiri" w:hAnsi="Amiri"/>
          <w:color w:val="111111"/>
          <w:sz w:val="28"/>
          <w:szCs w:val="28"/>
          <w:rtl w:val="true"/>
          <w:lang w:bidi="ar-SA"/>
        </w:rPr>
        <w:t>)</w:t>
      </w:r>
      <w:r>
        <w:rPr>
          <w:rStyle w:val="FootnoteAnchor"/>
          <w:rtl w:val="true"/>
        </w:rPr>
        <w:footnoteReference w:id="219"/>
      </w:r>
      <w:r>
        <w:rPr>
          <w:rFonts w:ascii="IRNazanin" w:hAnsi="IRNazanin" w:eastAsia="IRNazanin"/>
          <w:color w:val="111111"/>
          <w:sz w:val="28"/>
          <w:sz w:val="28"/>
          <w:szCs w:val="28"/>
          <w:rtl w:val="true"/>
          <w:lang w:bidi="fa-IR"/>
        </w:rPr>
        <w:t>عنده</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المبنى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دليل على كفاية الاستفاضة بعنوانها، لا بمعنى أكثر من واحد ولا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قيام سيرة عقلائية مستوفية لشروط الحجية، ولا شرعية كذلك على العمل بالخبر المستفيض وإن لم يوجب الاطمئنان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فيه إشعار بالاستفاضة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والإشعار لا ينفعنا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اليه الوحيد البهبهاني، فإنه بعد أن اعتبر رواية الثقة الجليل عن غير واحد أقوى من كثير من الصحاح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يعد من الصحاح بناءً على أنه يبعد أن لا يكون فيهم ثقة وفيه تأمل</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الأقوائية التي التزم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بيّنة ولا مبيّنة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تأمله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يحتاج إلى معرفة عدد مشايخ الراوي، وكم فيهم من الثقات، وكم فيهم من غير الثقات وإلا فهو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يثبت اعتبار مطلق الظنون الرجالية، لا مطلقا، ولا عند خصوص القائلين بالانسداد الصغير في باب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تمامية مقدمات دليل الانسداد لا تلازم حجيّة كل 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فالظنون مراتب من حيث الشدّة والضعف، ولا يكفي دليل الانسداد للمصير الى أدناها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للمنع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ومقابل ذلك يمكن أن يقرب وجه للمنع من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نفس عدول الثقة عن التصريح باسم الراوي إلى غير واحد، أو عدّة، أو غيرها يعني عدم وجود ثقة بينهم، وإلا فذكر الثقة أولى، فبه يتم السند ولا حاجة إلى الإيهام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الإنصاف أن هذا بعيد، ولا ينحصر السبب بما ذكر مع أنه كثيراً ما يذكر الثقة إلى جنب غير الثقة، بل وإلى جنب الثقة في الأسانيد</w:t>
      </w:r>
      <w:r>
        <w:rPr>
          <w:rFonts w:eastAsia="Amiri" w:cs="Amiri" w:ascii="Amiri" w:hAnsi="Amiri"/>
          <w:color w:val="111111"/>
          <w:sz w:val="28"/>
          <w:szCs w:val="28"/>
          <w:rtl w:val="true"/>
          <w:lang w:bidi="ar-SA"/>
        </w:rPr>
        <w:t xml:space="preserve">. </w:t>
      </w:r>
      <w:bookmarkStart w:id="149" w:name="pg9087_85199"/>
    </w:p>
    <w:p>
      <w:pPr>
        <w:pStyle w:val="Heading3"/>
        <w:numPr>
          <w:ilvl w:val="2"/>
          <w:numId w:val="1"/>
        </w:numPr>
        <w:rPr/>
      </w:pPr>
      <w:bookmarkStart w:id="150" w:name="__RefHeading___Toc2684199_2870459653"/>
      <w:bookmarkStart w:id="151" w:name="_Toc50"/>
      <w:bookmarkEnd w:id="149"/>
      <w:bookmarkEnd w:id="150"/>
      <w:r>
        <w:rPr>
          <w:rtl w:val="true"/>
        </w:rPr>
        <w:t>تفسير الواسطة المبهمة</w:t>
      </w:r>
      <w:bookmarkEnd w:id="151"/>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العدّة وبيان المقصودين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بين الحسن بن محمد بن سماعة وأبان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حديث تفسير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الحرّ</w:t>
      </w:r>
    </w:p>
    <w:p>
      <w:pPr>
        <w:pStyle w:val="BookText"/>
        <w:rPr/>
      </w:pPr>
      <w:r>
        <w:rPr>
          <w:rFonts w:ascii="IRNazanin" w:hAnsi="IRNazanin" w:eastAsia="IRNazanin"/>
          <w:color w:val="111111"/>
          <w:sz w:val="28"/>
          <w:sz w:val="28"/>
          <w:szCs w:val="28"/>
          <w:rtl w:val="true"/>
          <w:lang w:bidi="fa-IR"/>
        </w:rPr>
        <w:t xml:space="preserve">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 في الفائدة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ورد في أسانيد الكافي وغيره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سماعة، عن غير واحد، عن 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عدَّة أسانيد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التصريح بأسماء المقصودين،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سماعة، والميثمي، والحسن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التهذيب في باب الغرر والمجازفة وغيره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وأورد في الوسائل سند رواية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الحسن بإسناده عن الحسن ابن محمد بن سماعة، عن جعفر و الميثمي والحسن بن حماد كلهم، عن أبان عن أبي العباس البقباق،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تشاح قوم في طريق</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عليه في الهامش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كثير من الأسانيد الحسن بن محمد بن سماعة، عن غير واحد،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ومن مواضع أخر تعلم تلك الوسائط</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الحديث ورد في التهذيب</w:t>
      </w:r>
      <w:r>
        <w:rPr>
          <w:rStyle w:val="FootnoteAnchor"/>
          <w:rtl w:val="true"/>
        </w:rPr>
        <w:footnoteReference w:id="224"/>
      </w:r>
      <w:r>
        <w:rPr>
          <w:rFonts w:ascii="Amiri" w:hAnsi="Amiri" w:eastAsia="Amiri" w:cs="Amiri"/>
          <w:color w:val="111111"/>
          <w:sz w:val="28"/>
          <w:sz w:val="28"/>
          <w:szCs w:val="28"/>
          <w:rtl w:val="true"/>
          <w:lang w:bidi="ar-SA"/>
        </w:rPr>
        <w:t>وليس في سنده أبان على ما في بعض الطبعات</w:t>
      </w:r>
      <w:r>
        <w:rPr>
          <w:rStyle w:val="FootnoteAnchor"/>
          <w:rtl w:val="true"/>
        </w:rPr>
        <w:footnoteReference w:id="225"/>
      </w:r>
      <w:r>
        <w:rPr>
          <w:rFonts w:ascii="Amiri" w:hAnsi="Amiri" w:eastAsia="Amiri" w:cs="Amiri"/>
          <w:color w:val="111111"/>
          <w:sz w:val="28"/>
          <w:sz w:val="28"/>
          <w:szCs w:val="28"/>
          <w:rtl w:val="true"/>
          <w:lang w:bidi="ar-SA"/>
        </w:rPr>
        <w:t>لكنه موجود في طبعة أخرى</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الأخيرة أصح؛ لأنه لم ترد رواية لجعفر، ولا للميثمي، ولا للحسن بن حماد عن أبي العباس بالمباشرة فيما </w:t>
      </w:r>
    </w:p>
    <w:p>
      <w:pPr>
        <w:pStyle w:val="BookText"/>
        <w:rPr/>
      </w:pPr>
      <w:r>
        <w:rPr>
          <w:rFonts w:ascii="Amiri" w:hAnsi="Amiri" w:eastAsia="Amiri" w:cs="Amiri"/>
          <w:color w:val="111111"/>
          <w:sz w:val="28"/>
          <w:sz w:val="28"/>
          <w:szCs w:val="28"/>
          <w:rtl w:val="true"/>
          <w:lang w:bidi="ar-SA"/>
        </w:rPr>
        <w:t>بأيدينا من روايات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ووردت رواية أحمد بن الحسن الميثمي عن أبان</w:t>
      </w:r>
    </w:p>
    <w:p>
      <w:pPr>
        <w:pStyle w:val="BookText"/>
        <w:rPr/>
      </w:pPr>
      <w:r>
        <w:rPr>
          <w:rFonts w:ascii="Amiri" w:hAnsi="Amiri" w:eastAsia="Amiri" w:cs="Amiri"/>
          <w:color w:val="111111"/>
          <w:sz w:val="28"/>
          <w:sz w:val="28"/>
          <w:szCs w:val="28"/>
          <w:rtl w:val="true"/>
          <w:lang w:bidi="ar-SA"/>
        </w:rPr>
        <w:t>عن أبي العباس</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تتبعي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موضع آخر ذكر لثلاثة أو أكثر معينين بين الحسن بن محمد بن سماعة، وأبان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رواية ابن سماعة عن أكثر من واحد معينين، لكن عن غير أبان وهذه المجاميع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رباط، والحسين بن هاشم، وصفوان عن ابن مسكان</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 وحسين بن هاشم، وابن رباط، وصفوان عن يعقوب بن شعيب</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رباط، وابن جبلة، وصفوان بن يحيى عن إسحاق بن عمار</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وجعفر ومحمد بن العباس عن العلا</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رباط، والحسين بن هاشم، وصفوان بن يحيى عن عيص بن القاسم</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هاشم، وعلي بن رباط، وصفوان بن يحيى عن يعقوب بن شعيب</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المجاميع هي التي أشار إليها الحر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ولكن يبقى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مجرد وجود ثلاثة أو أكثر يروي عنهم ابن سماعة في طريق أو أكثر يكفي في تفسير العدّة المجهولة وبيان المراد من غير واحد أينما وردا؟</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سبب هذه الظاهرة هو وصول كتاب شخص بأكثر من طريق فيذكر الوسائط في موضع أو أكثر ثم يترك ذكرها اختصاراً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 الترك الإحالة على ما بيَّنه في بعض الموارد وهو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ينفع في المقام لو ثبت أن مجموعة معيّنة روت عن أبان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قوّيناه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ليس بذلك الوضوح، فإنه وإن كان ترك أول السند اعتماداً على سند سابق أمراً متعارفاً لكن ذكر واسطة مبهمة في وسط السند اعتماداً على سند آخر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فإنه فيما لو كان السند ذوالواسطة المبهمة لاحقاً لسند قد بيّنت فيه الواسطة والحال هنا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إن الأمر كان كذلك في المصادر، لكن أصحاب الجوامع الحديثية فرَّقوها بحسب الأبواب الفقهية فاختل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انَّى لنا الوثوق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ضرورياً أن تثبت رواية الجماعة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المهم أن هذه الوسائط مما ثبت اعتماد ابن سماعة عليها في النقل، ولا ينظر إلى من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إن حصل الاطمئنان بوجود ثقة في مَن توَّسطوا بين الحسن بن محمد بن سماعة وأبان بن عثمان اعتماداً على 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حصل الاطمئنان بعدم اجتماع ثلاثة على الكذب أو وثق بتفسير العدَّة بما ذكره الحر العاملي فبها ونعمت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فتصل النوبة إلى حساب الاحتمال</w:t>
      </w:r>
      <w:r>
        <w:rPr>
          <w:rFonts w:eastAsia="Amiri" w:cs="Amiri" w:ascii="Amiri" w:hAnsi="Amiri"/>
          <w:color w:val="111111"/>
          <w:sz w:val="28"/>
          <w:szCs w:val="28"/>
          <w:rtl w:val="true"/>
          <w:lang w:bidi="ar-SA"/>
        </w:rPr>
        <w:t xml:space="preserve">. </w:t>
      </w:r>
      <w:bookmarkStart w:id="152" w:name="pg9087_85202"/>
    </w:p>
    <w:p>
      <w:pPr>
        <w:pStyle w:val="Heading3"/>
        <w:numPr>
          <w:ilvl w:val="2"/>
          <w:numId w:val="1"/>
        </w:numPr>
        <w:rPr/>
      </w:pPr>
      <w:bookmarkStart w:id="153" w:name="__RefHeading___Toc2684201_2870459653"/>
      <w:bookmarkStart w:id="154" w:name="_Toc51"/>
      <w:bookmarkEnd w:id="152"/>
      <w:bookmarkEnd w:id="153"/>
      <w:r>
        <w:rPr>
          <w:rtl w:val="true"/>
        </w:rPr>
        <w:t>حساب الاحتمال</w:t>
      </w:r>
      <w:bookmarkEnd w:id="154"/>
    </w:p>
    <w:p>
      <w:pPr>
        <w:pStyle w:val="Heading4"/>
        <w:numPr>
          <w:ilvl w:val="3"/>
          <w:numId w:val="1"/>
        </w:numPr>
        <w:rPr/>
      </w:pPr>
      <w:bookmarkStart w:id="155" w:name="__RefHeading___Toc2684203_2870459653"/>
      <w:bookmarkStart w:id="156" w:name="_Toc52"/>
      <w:bookmarkEnd w:id="155"/>
      <w:r>
        <w:rPr>
          <w:rtl w:val="true"/>
        </w:rPr>
        <w:t>اشارة</w:t>
      </w:r>
      <w:bookmarkEnd w:id="156"/>
    </w:p>
    <w:p>
      <w:pPr>
        <w:pStyle w:val="BookText"/>
        <w:rPr/>
      </w:pPr>
      <w:r>
        <w:rPr>
          <w:rFonts w:ascii="Amiri" w:hAnsi="Amiri" w:eastAsia="Amiri" w:cs="Amiri"/>
          <w:color w:val="111111"/>
          <w:sz w:val="28"/>
          <w:sz w:val="28"/>
          <w:szCs w:val="28"/>
          <w:rtl w:val="true"/>
          <w:lang w:bidi="ar-SA"/>
        </w:rPr>
        <w:t>نتكلم في حساب الاحتمال عن قرينة موجبة للاطمئنان النوعي</w:t>
      </w:r>
      <w:r>
        <w:rPr>
          <w:rStyle w:val="FootnoteAnchor"/>
          <w:rtl w:val="true"/>
        </w:rPr>
        <w:footnoteReference w:id="234"/>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وفق حساب الاحتمال كم هي حظوظ وجود ثلاثة وسائط من غير الثقات –فإنه يكفي وجود واسطة واحدة 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الحسن بن محمد بن سماعة وأبان ؟ طبعاً كلما زادت امتنع الاعتماد على الروايات ذات الواسطة المجهولة، وإذا تضاءلت حتى تبلغ حداً لا يحتفظ به الذهن البشري، أو لا يعتني به العقلاء أمكن الاعتماد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هذا يتوقف على معرفة مشايخ ابن سماعة الذين ثبتت روايته عنهم، ومعرفة الثقات منهم من غير الثقات، بل ويتوقف على الأصح على معرفة عدد رواياتهم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فحساب الاحتمال يتأثر بعدد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لابد من القيام بدراسة لجميع من وردت رواية الحسن بن محمد بن سماعة عنه في كتب الحديث الفقهية وغيرها، وفي كتب الفهارس، ومعرفة من ثبتت رواية ابن سماعة عنه من الذي ذكرت روايته عنه، لكنها غير صحيحة لمشكلة ما، وتمييز الثقة من غيره، وحساب روايات الفريقين وقبل الشروع بذلك لابد من الكلام في أمور</w:t>
      </w:r>
      <w:r>
        <w:rPr>
          <w:rFonts w:eastAsia="Amiri" w:cs="Amiri" w:ascii="Amiri" w:hAnsi="Amiri"/>
          <w:color w:val="111111"/>
          <w:sz w:val="28"/>
          <w:szCs w:val="28"/>
          <w:rtl w:val="true"/>
          <w:lang w:bidi="ar-SA"/>
        </w:rPr>
        <w:t>:</w:t>
      </w:r>
    </w:p>
    <w:p>
      <w:pPr>
        <w:pStyle w:val="Heading4"/>
        <w:numPr>
          <w:ilvl w:val="3"/>
          <w:numId w:val="1"/>
        </w:numPr>
        <w:rPr/>
      </w:pPr>
      <w:bookmarkStart w:id="157" w:name="__RefHeading___Toc2684205_2870459653"/>
      <w:bookmarkStart w:id="158" w:name="_Toc53"/>
      <w:bookmarkEnd w:id="157"/>
      <w:r>
        <w:rPr>
          <w:rtl w:val="true"/>
        </w:rPr>
        <w:t>الأمر الأول</w:t>
      </w:r>
      <w:bookmarkEnd w:id="158"/>
    </w:p>
    <w:p>
      <w:pPr>
        <w:pStyle w:val="Heading5"/>
        <w:numPr>
          <w:ilvl w:val="4"/>
          <w:numId w:val="1"/>
        </w:numPr>
        <w:rPr/>
      </w:pPr>
      <w:bookmarkStart w:id="159" w:name="__RefHeading___Toc2684207_2870459653"/>
      <w:bookmarkStart w:id="160" w:name="_Toc54"/>
      <w:bookmarkEnd w:id="159"/>
      <w:r>
        <w:rPr>
          <w:rtl w:val="true"/>
        </w:rPr>
        <w:t>اشارة</w:t>
      </w:r>
      <w:bookmarkEnd w:id="160"/>
    </w:p>
    <w:p>
      <w:pPr>
        <w:pStyle w:val="BookText"/>
        <w:rPr/>
      </w:pPr>
      <w:r>
        <w:rPr>
          <w:rFonts w:ascii="IRNazanin" w:hAnsi="IRNazanin" w:eastAsia="IRNazanin"/>
          <w:color w:val="111111"/>
          <w:sz w:val="28"/>
          <w:sz w:val="28"/>
          <w:szCs w:val="28"/>
          <w:rtl w:val="true"/>
          <w:lang w:bidi="fa-IR"/>
        </w:rPr>
        <w:t xml:space="preserve">في التعريف بالحسن بن محمد بن سماعة، وبيان طبقته، وصحة روايته عن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 وعناوينه في الأسانيد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سماعة أبو محمد الكندي الصيرفي من شيوخ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 الحديث فقيه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يعاند في الوقف ويتعصب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وفيه إنكار الحسن بن محمد بن سماعة لفضيلة من فضائل الإمام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النكاح، </w:t>
      </w:r>
    </w:p>
    <w:p>
      <w:pPr>
        <w:pStyle w:val="BookText"/>
        <w:rPr/>
      </w:pPr>
      <w:r>
        <w:rPr>
          <w:rFonts w:ascii="IRNazanin" w:hAnsi="IRNazanin" w:eastAsia="IRNazanin"/>
          <w:color w:val="111111"/>
          <w:sz w:val="28"/>
          <w:sz w:val="28"/>
          <w:szCs w:val="28"/>
          <w:rtl w:val="true"/>
          <w:lang w:bidi="fa-IR"/>
        </w:rPr>
        <w:t>الطلاق، الحدود، الديات، القبلة، السهو، الطهور، الوقت، الشرى، البيع، الغيبة، البشارات، الحيض، الفرائض، الحج، الزهد، الصلاة، الجنائز، اللباس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رويت كتب الحسن بن محمد بن سماعة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لنا أحمد بن 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علي بن حبشي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حميد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من الحسن بن محمد بن سماعة الصيرفي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ينزل كندة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كتبه المصنفة، وهي على هذا الشرح وزيادة كتاب زيارة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حميد توفى أبو علي ليلة الخميس لخمس خلون من جمادى الأولى سنة ثلاث وستين ومائتين بالكوفة، وصلى عليه إبراهيم بن محمد العلوي، ودفن في جعفي</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محمد بن سماعة الكوفي، واقفي المذهب، إلا أنه جيد التصانيف، نقي الفقه، حسن الانتقاد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ثلاثون كتابا،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القبلة، كتاب الصلاة، كتاب الصيام، كتاب الشراء والبيع، كتاب الفرائض، كتاب النكاح، كتاب الطلاق، كتاب الحيض، كتاب وفاة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الطهور، كتاب السهو، كتاب المواقيت، كتاب الزهد، كتاب البشارات، كتاب الدلائل، كتاب العبادات، كتاب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ابن سماعة سنة ثلاث وستين ومائتين في جمادي الأولى، وصلى عليه إبراهيم بن محمد العلوي، ودفن في جعفي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بجميع كتبه ورواياته أحمد بن عبدون، عن أبي طالب الأنباري، عن حميد بن زياد النينوائي،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أحمد بن عبدون، عن علي بن محمد بن الزبير، عن علي بن الحسن بن فضال، عن الحسن بن محمد بن</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161" w:name="pg9087_85204"/>
    </w:p>
    <w:p>
      <w:pPr>
        <w:pStyle w:val="BookText"/>
        <w:rPr/>
      </w:pPr>
      <w:bookmarkEnd w:id="161"/>
      <w:r>
        <w:rPr>
          <w:rFonts w:ascii="IRNazanin" w:hAnsi="IRNazanin" w:eastAsia="IRNazanin"/>
          <w:color w:val="111111"/>
          <w:sz w:val="28"/>
          <w:sz w:val="28"/>
          <w:szCs w:val="28"/>
          <w:rtl w:val="true"/>
          <w:lang w:bidi="fa-IR"/>
        </w:rPr>
        <w:t xml:space="preserve">وذكره الشيخ الطوسي في الرجال 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بن سماعة، واقفي، مات سنة ثلاث وستين ومائتين، يكنى أبا علي، له كتب ذكرناها في الفهرست</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إشكال في وثاقة الحسن بن محمد بن سماعة بعد تنصيص النجاشي وعدم 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فالوقف لا يؤثر في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ليس ممن ابتدع المذهب، حتى يقال لابد للمبتدع من وضع أحاديث يدعم بها مذهبه ويستميل الناس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وإنكاره فضائل الأئمة المتأخرين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يستلزم الكذب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ففرق كبير بين من ينكر فضيلة لمبتنيات فكرية وبين من يتعمّد الكذب لدعم مذهب يعتنقه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مطالب مهمة نتعرض لها</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2684209_2870459653"/>
      <w:bookmarkStart w:id="163" w:name="_Toc55"/>
      <w:bookmarkEnd w:id="162"/>
      <w:r>
        <w:rPr>
          <w:rtl w:val="true"/>
        </w:rPr>
        <w:t>المطلب الأول</w:t>
      </w:r>
      <w:bookmarkEnd w:id="163"/>
    </w:p>
    <w:p>
      <w:pPr>
        <w:pStyle w:val="BookText"/>
        <w:rPr/>
      </w:pPr>
      <w:r>
        <w:rPr>
          <w:rFonts w:ascii="Amiri" w:hAnsi="Amiri" w:eastAsia="Amiri" w:cs="Amiri"/>
          <w:color w:val="111111"/>
          <w:sz w:val="28"/>
          <w:sz w:val="28"/>
          <w:szCs w:val="28"/>
          <w:rtl w:val="true"/>
          <w:lang w:bidi="ar-SA"/>
        </w:rPr>
        <w:t>في بيان طبقته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تقدّم أن الشيخ ذكره في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ضممنا إليه ما يساعد عليه الاعتبار مما حكي عن السيد البروجردي في موسوعته الرجالية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والرواة عن أبي الحسن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جلهم من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شاركهم بعض معمّري الرابعة، و شاذ من كبار السادسة</w:t>
      </w:r>
      <w:r>
        <w:rPr>
          <w:rFonts w:eastAsia="IRNazanin" w:cs="IRNazanin"/>
          <w:color w:val="111111"/>
          <w:sz w:val="28"/>
          <w:szCs w:val="28"/>
          <w:rtl w:val="true"/>
          <w:lang w:bidi="fa-IR"/>
        </w:rPr>
        <w:t>)</w:t>
      </w:r>
      <w:r>
        <w:rPr>
          <w:rStyle w:val="FootnoteAnchor"/>
          <w:rtl w:val="true"/>
        </w:rPr>
        <w:footnoteReference w:id="238"/>
      </w:r>
      <w:r>
        <w:rPr>
          <w:rFonts w:ascii="Amiri" w:hAnsi="Amiri" w:eastAsia="Amiri" w:cs="Amiri"/>
          <w:color w:val="111111"/>
          <w:sz w:val="28"/>
          <w:sz w:val="28"/>
          <w:szCs w:val="28"/>
          <w:rtl w:val="true"/>
          <w:lang w:bidi="ar-SA"/>
        </w:rPr>
        <w:t>تكون النتيجة أنه من السادسة، فلا يحتمل أن يكون من الخامسة فضلاً عن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لمن له أدنى ممارسة في الأسانيد</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هكذا يمكن أن يقال لكنه ضعيف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من روى عنهم، ومن رووا عنه يظهر أنه من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أغلب رواياته عن مَن هم من السادسة، كمحمد بن أبي عمير، وعبد الله بن جبلة، والحسن بن محبوب، وأحمد بن الحسن الميثمي، وعلي بن الحسن بن رباط، وجعفر بن سماعة، وحسين بن هاشم، وصفوان بن يحيى، وعبيس بن هاشم، وعلي بن النعمان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وبعض من ثبتت روايته عنهم من الخامسة هم ممن طال عمره بحيث يروي عنه من هو من السابعة، كوهيب بن حفص</w:t>
      </w:r>
      <w:r>
        <w:rPr>
          <w:rStyle w:val="FootnoteAnchor"/>
          <w:rtl w:val="true"/>
        </w:rPr>
        <w:footnoteReference w:id="23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الشيخ في الفهرست روى كتابه عن طريق محمد بن الحسين وهو محمد بن الحسين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السابعة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 من هم من السابعة عنه كثيرة مبثوثة في الكتب، كمحمد بن الحسين ابن أبي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رواياته في التهذيب وحده خمس عشرة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ولم يوجد ولا في مورد واحد واسطة بينهم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روايات مَن هم من الطبقة السادسة عنه لا تؤثر في ثبوت روايات الطبقة السابعة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 الخامسة وبقي إلى السادسة تروي عنه السادسة والسابعة وسيأتي المزيد في الملحق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جهة ومن جهة أخرى أغلب رواياته يرويها حميد بن زياد النينوائي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وهو من الثامنة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وفاة الحسن بن محمد بن سماعة سنة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 كما ذكره النجاشي والشيخ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وفرض كونه من أصحاب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يستلزم كون عمره أكثر من مائة سنة، ولم يذكر في المعمرين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يؤيد ذلك عدم وجود أي رواية له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لا ينفي كونه من السادسة وهم أصحاب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يثبت كونه من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يقال إن وفيات من هم من الطبقة السادسة تتراوح بين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أما من تتراوح وفياتهم بين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فهم </w:t>
      </w:r>
      <w:bookmarkStart w:id="164" w:name="pg9087_85206"/>
    </w:p>
    <w:p>
      <w:pPr>
        <w:pStyle w:val="BookText"/>
        <w:rPr/>
      </w:pPr>
      <w:bookmarkEnd w:id="164"/>
      <w:r>
        <w:rPr>
          <w:rFonts w:ascii="Amiri" w:hAnsi="Amiri" w:eastAsia="Amiri" w:cs="Amiri"/>
          <w:color w:val="111111"/>
          <w:sz w:val="28"/>
          <w:sz w:val="28"/>
          <w:szCs w:val="28"/>
          <w:rtl w:val="true"/>
          <w:lang w:bidi="ar-SA"/>
        </w:rPr>
        <w:t xml:space="preserve">من السابعة كما ذكره السيد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2684211_2870459653"/>
      <w:bookmarkStart w:id="166" w:name="_Toc56"/>
      <w:bookmarkEnd w:id="165"/>
      <w:r>
        <w:rPr>
          <w:rtl w:val="true"/>
        </w:rPr>
        <w:t>المطلب الثاني</w:t>
      </w:r>
      <w:bookmarkEnd w:id="166"/>
    </w:p>
    <w:p>
      <w:pPr>
        <w:pStyle w:val="BookText"/>
        <w:rPr/>
      </w:pPr>
      <w:r>
        <w:rPr>
          <w:rFonts w:ascii="IRNazanin" w:hAnsi="IRNazanin" w:eastAsia="IRNazanin"/>
          <w:color w:val="111111"/>
          <w:sz w:val="28"/>
          <w:sz w:val="28"/>
          <w:szCs w:val="28"/>
          <w:rtl w:val="true"/>
          <w:lang w:bidi="fa-IR"/>
        </w:rPr>
        <w:t xml:space="preserve">في صحة روايته عن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المطلب السابق يتضح عدم صحة روايته عن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 لأنهم من الرابعة والخامسة وهو من السابعة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يقال إن الممنوع من رواية طبقة عن أخرى إنما هو فيما إذا كان الفاصل طبقتين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رواية السابعة عن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كان الفاصل طبقة واحدة كرواية السابعة عن الخامسة فليس ممنوعاً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فكبار السابعة يمكنهم الرواية عن أحداث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يمكن رواية ابن سماعة عن أحداث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هكذا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غفلة عن أن أحداث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كبار الخامسة، وليس من أحداثها، وإنما أحداثها أصحاب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لم يدرك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قد يقرب قبول الرواية بالاعتماد على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بلوغ الشخص سن الثمانين أمرٌ طبيعي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تحمل الرواية في سن العشرين أمرٌ طبيعي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بناءً على هذين الأمرين حيث أن وفاة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وموت ابن سماعة سنة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رواية ابن سماعة عن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بشكل 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 فرض أن شخصا ولد سنة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عمره سنة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سنة، فيمكن أن يروي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يدرك سنتين من عمره المبارك فيكون قادرا على تحمل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عمّر ثمانين سنة تكون وفاته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كانت وفاة ابن سماعة سنة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تكون ولادته سنة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عمره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عشرين سنة، فيدرك ثلاث سنوات من عمر ذاك الشخص فيكون قادرا </w:t>
      </w:r>
    </w:p>
    <w:p>
      <w:pPr>
        <w:pStyle w:val="BookText"/>
        <w:rPr/>
      </w:pPr>
      <w:r>
        <w:rPr>
          <w:rFonts w:ascii="IRNazanin" w:hAnsi="IRNazanin" w:eastAsia="IRNazanin"/>
          <w:color w:val="111111"/>
          <w:sz w:val="28"/>
          <w:sz w:val="28"/>
          <w:szCs w:val="28"/>
          <w:rtl w:val="true"/>
          <w:lang w:bidi="fa-IR"/>
        </w:rPr>
        <w:t>على تحمل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يمكن أن يقرب كون رواية ابن سماعة عن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أمراً طبيعياً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الإمكان شيء والوقوع الخارجي شيء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فالمنهج الصحيح الذي ينبغي اتباعه في قبول رواية راوٍ عن آخر أو عدم قبولها هو الذي يستند إلى الطبقات التي اعتمد فيها المعطيات الطبيعية المتعارفة في تحمل ونقل الرواية كما لوحظ فيها المعدل الطبيعي للأعمار وقد وقع فيها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الطبقة الثانية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لا يكفي مجرد عدم إباء الطبقة عن الرواية، وإنما نحتاج إلى متابعة رواياته الأخرى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كانت جل روايات راوٍ عن آخر بالواسطة لا يكفي ظهور السند في الاتصال لو وردت روايته 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هذا الأساس من كان من الطبقة السابعة كالحسن بن محمد بن سماعة لا يروي عن صغار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من الطبقة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الكبار الذين هم من الطبقة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قامت قرينة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بتتبع روايات ابن سماعة في كتب الحديث وجدنا أنه في أكثر من النصف توجد ثلاث وسائط بينه وبين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الباقي واسطتين ولم يخرج عن ذلك إلا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مواضع وجدت روايته بأربع وسائط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سماعة، عن علي عمران الشفا، عن ربعي بن عبد الله، عن عبد الرحمان بن أبي عبد الله البصري،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سماعة، عن الحسن بن حذيفة، عن جميل، عن الفضيل ابن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سماعة، وعلي بن خالد العاقولي، عن كرام، عن ابن </w:t>
      </w:r>
      <w:bookmarkStart w:id="167" w:name="pg9087_85208"/>
    </w:p>
    <w:p>
      <w:pPr>
        <w:pStyle w:val="BookText"/>
        <w:rPr/>
      </w:pPr>
      <w:bookmarkEnd w:id="167"/>
      <w:r>
        <w:rPr>
          <w:rFonts w:ascii="IRNazanin" w:hAnsi="IRNazanin" w:eastAsia="IRNazanin"/>
          <w:color w:val="111111"/>
          <w:sz w:val="28"/>
          <w:sz w:val="28"/>
          <w:szCs w:val="28"/>
          <w:rtl w:val="true"/>
          <w:lang w:bidi="fa-IR"/>
        </w:rPr>
        <w:t xml:space="preserve">مسكان،عن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المواضع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موارد أخرى نادرة وجدت بواسطة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لا تشكل دليلاً على الرواية الطبيعية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إما عن شخص ثبت طول عمره كحنان، أو مطمأن بخطئها، كما عن أبي حمزة وهو الذي توفى سنة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هجرية، أو مطمأن بسقوط الواسطة بينه وبين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باقي رواياته، كما عن جعفر بن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البعد بمكان رواية ابن سماعة عن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بالوضع الطبيعي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يأتي منك رد رواية ابن سماعة عن مجموعة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يشكل هذا قرينة على صحة روايته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الطبقة و ورود رواية ابن سماعة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بالوسائط المتعددة دليلاً على وجود سقط في أسانيد الروايات التي ظاهرها رواية ابن سماعة عن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فلماذا لا نعكس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ونقول بأن هذه الروايات دليل رواية ابن سماعة عن أصحاب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منسجم مع ظاهر الأسانيد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 هكذا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الرد ليس لمجرد هذا الاستبعاد في الجميع، بل في الكثير منهم لأسباب خاصة به كورود الطريق بواسطة بنقل النجاشي، أو بمقارنتها ببقية روايته وغيرها</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2684213_2870459653"/>
      <w:bookmarkStart w:id="169" w:name="_Toc57"/>
      <w:bookmarkEnd w:id="168"/>
      <w:r>
        <w:rPr>
          <w:rtl w:val="true"/>
        </w:rPr>
        <w:t>المطلب الثالث</w:t>
      </w:r>
      <w:bookmarkEnd w:id="169"/>
    </w:p>
    <w:p>
      <w:pPr>
        <w:pStyle w:val="BookText"/>
        <w:rPr/>
      </w:pPr>
      <w:r>
        <w:rPr>
          <w:rFonts w:ascii="Amiri" w:hAnsi="Amiri" w:eastAsia="Amiri" w:cs="Amiri"/>
          <w:color w:val="111111"/>
          <w:sz w:val="28"/>
          <w:sz w:val="28"/>
          <w:szCs w:val="28"/>
          <w:rtl w:val="true"/>
          <w:lang w:bidi="ar-SA"/>
        </w:rPr>
        <w:t>نحاول في هذا المطلب الإجابة عن سؤالين هما كوجهين لعملة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سماعة هل هو ابن سماعة بن مهران أو ابن محمد ابن سماعة بن موسى بن رويد بن نشيط الحضرمي؟</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الحسن بن سماعة في الأسانيد مغاير للحسن بن محمد بن سماعة؟ </w:t>
      </w:r>
    </w:p>
    <w:p>
      <w:pPr>
        <w:pStyle w:val="BookText"/>
        <w:rPr/>
      </w:pPr>
      <w:r>
        <w:rPr>
          <w:rFonts w:ascii="Amiri" w:hAnsi="Amiri" w:eastAsia="Amiri" w:cs="Amiri"/>
          <w:color w:val="111111"/>
          <w:sz w:val="28"/>
          <w:sz w:val="28"/>
          <w:szCs w:val="28"/>
          <w:rtl w:val="true"/>
          <w:lang w:bidi="ar-SA"/>
        </w:rPr>
        <w:t>ومنشأ السؤالين هو ما ذكره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الحسن بن محمد بن سماعة، والحسن بن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ذكره عن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سماعة واقفياً،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سماعة ليس من ولد سماعة بن مهران، له ابن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سماعة واقفي</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ولكن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بعض نسخ الكشي وقال إنه الموافق للنسخة المطبوعة</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ما ذكر أعلاه، مع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عن ترتيب الكشي للقهبائي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بن محمد بن سماعة، من أصحاب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ما تقدّم بإسقاط ابن مهران من آخر العبارة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والموجود في التحرير الطاووسي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بن سماعة</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حمدويه، عن الحسن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سماعة واقفياً، وذكر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سماعة ليس من ولد سماعة بن مهران،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يقال له الحسن بن سماعة، واقفي</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بنينا على وجود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العبارة أو على وجود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 بن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العنوان يكون القول بمغايرة الحسن بن محمد بن سماعة للحسن بن سماعة بن مهران وجيهاً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عليه عدم وضوح كون المراد بالحسن بن سماعة في الأسانيد والذي يبدأ به الشيخ في تهذيبيه هو الحسن بن محمد بن سماعة الثقة، وصاحب الطرق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الروايات</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المبدوءة به بلا طريق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بنينا على عدم وجودهما فالصحيح أن المراد بالحسن بن سماعة في آخر العبارة هو الحسن بن محمد بن سماعة صاحب الترجمة لوضوح كون الضمير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على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المعني بالكلام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عوده على سماعة بن مهران ليكون المراد بالحسن بن سماعة الحسن ابن سماعة بن مهران</w:t>
      </w:r>
      <w:r>
        <w:rPr>
          <w:rStyle w:val="FootnoteAnchor"/>
          <w:rtl w:val="true"/>
        </w:rPr>
        <w:footnoteReference w:id="248"/>
      </w:r>
      <w:r>
        <w:rPr>
          <w:rFonts w:ascii="Amiri" w:hAnsi="Amiri" w:eastAsia="Amiri" w:cs="Amiri"/>
          <w:color w:val="111111"/>
          <w:sz w:val="28"/>
          <w:sz w:val="28"/>
          <w:szCs w:val="28"/>
          <w:rtl w:val="true"/>
          <w:lang w:bidi="ar-SA"/>
        </w:rPr>
        <w:t>فبعيد غايته ولا يشفع له القرب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داعي لها، بينما لا تكون كذلك لو كان المراد الحسن بن محمد بن سماعة؛ لأنها تكون للتنبيه على أنه قد يدعى لجده في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شاهد في العبارة على كل حال على وجود ابن لسماعة بن مهران يدعى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فأقصى ما فيها أن محمد بن سماعة ليس ابن سماعة بن مهران، وأن لسماعة بن مهران ابن يسمى الحسن بن سماعة، أما أن يكون المراد أن لسماعة بن مهران ابن ابن اسمه الحسن يُدعى لجده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أبيه محمد فلا يخرج من العبارة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ذكره العلامة في الخلاصة، حيث جعل العنوان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الترجمة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محمد بن سماعة أبوه، من ولد سماعة من مهران</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ذكره الكلباسي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أنّه على الأخير يلزم ذكر شخص في ترجمة شخص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ذكر الحسن بن سماعة بن مهران في ترجمة الحسن ابن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يلزم ذكر ما يتعلّق بالشخص في ترجمته؛ إذ المفاد أنّ الحسن بن محمّد بن سماعة المفقودَ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العنوان يقال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الحسن بن سماعة، ولا ريب أنّه لو تردّد الأمر بين ذكر ما يتعلّق بالشخص في ترجمة شخص آخر، وذكرِ ما يتعلّق بالشخص في ترجمته، فالأخير أظهر</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والأقرب عدم وجود العبارتين لعدم وجودهما في ترتيب الكشي للقهبائي، وفي 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الأنسب 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المعجم كلام 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ولكن الظاهر أن الصحيح هو ما في ترتيب الكشي للقهبائي،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بن محمد بن سماعة، من أصحاب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 ما تقدّم بإسقاط ابن مهران من آخر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المتحصّل مما ذكره بعد ظهور أن الضمير المستتر في قوله، وذكر أن محمد 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يرجع إلى حمدويه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حمدويه أخبر الكشي بأن الحسن بن موسى،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بن سماعة كان واقفياً، ثمَّ ذكر حمدويه أن محمد بن سماعة، ليس من ولد سماعة بن مهران وكان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سماعة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سماعة، واقفي، وعلى ذلك لا وجود للحسن بن سماعة بن مهران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يدل على ذلك أن العلامة، وابن داود، والسيد التفريشي وغيرهم</w:t>
      </w:r>
    </w:p>
    <w:p>
      <w:pPr>
        <w:pStyle w:val="BookText"/>
        <w:rPr/>
      </w:pPr>
      <w:r>
        <w:rPr>
          <w:rFonts w:ascii="Amiri" w:hAnsi="Amiri" w:eastAsia="Amiri" w:cs="Amiri"/>
          <w:color w:val="111111"/>
          <w:sz w:val="28"/>
          <w:sz w:val="28"/>
          <w:szCs w:val="28"/>
          <w:rtl w:val="true"/>
          <w:lang w:bidi="ar-SA"/>
        </w:rPr>
        <w:t xml:space="preserve">ممن تقدَّم على الميرزا، لم يذكروا الحسن بن سماعة بن مهران أصلاً، ولم يقع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الكشي، لتعرضوا له لا محالة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بإسناده، عن سعد بن عبد الله، عن أحمد بن محمد، عن أحمد بن محمد بن أبي نصر، عن محمد بن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نزول المزدلفة من كتاب الحج، الحديث </w:t>
      </w:r>
      <w:r>
        <w:rPr>
          <w:rFonts w:eastAsia="Amiri" w:cs="Amiri" w:ascii="Amiri" w:hAnsi="Amiri"/>
          <w:color w:val="111111"/>
          <w:sz w:val="28"/>
          <w:szCs w:val="28"/>
          <w:lang w:bidi="ar-SA"/>
        </w:rPr>
        <w:t>627</w:t>
      </w:r>
      <w:r>
        <w:rPr>
          <w:rFonts w:ascii="Amiri" w:hAnsi="Amiri" w:eastAsia="Amiri" w:cs="Amiri"/>
          <w:color w:val="111111"/>
          <w:sz w:val="28"/>
          <w:sz w:val="28"/>
          <w:szCs w:val="28"/>
          <w:rtl w:val="true"/>
          <w:lang w:bidi="ar-SA"/>
        </w:rPr>
        <w:t>، والاستبصار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باب وقت الخروج إلى منى، الحديث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صحت الرواية لثبت لسماعة ابن مهران ابن يسمى محمداً، إلا أنه مع ذلك لم يثبت لمحمد بن سماعة بن مهران ابن يسمى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الظاهر وقوع التحريف في سند الرواية، وإن </w:t>
      </w:r>
    </w:p>
    <w:p>
      <w:pPr>
        <w:pStyle w:val="BookText"/>
        <w:rPr/>
      </w:pPr>
      <w:r>
        <w:rPr>
          <w:rFonts w:ascii="Amiri" w:hAnsi="Amiri" w:eastAsia="Amiri" w:cs="Amiri"/>
          <w:color w:val="111111"/>
          <w:sz w:val="28"/>
          <w:sz w:val="28"/>
          <w:szCs w:val="28"/>
          <w:rtl w:val="true"/>
          <w:lang w:bidi="ar-SA"/>
        </w:rPr>
        <w:t>كان جميع النسخ كما ذكرنا، وذلك فإن أحمد بن محمد بن أبي نصر، روى عن محمد بن سماعة الصيرفي عن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باب الغدو إلى عرفات الحديث </w:t>
      </w:r>
      <w:r>
        <w:rPr>
          <w:rFonts w:eastAsia="Amiri" w:cs="Amiri" w:ascii="Amiri" w:hAnsi="Amiri"/>
          <w:color w:val="111111"/>
          <w:sz w:val="28"/>
          <w:szCs w:val="28"/>
          <w:lang w:bidi="ar-SA"/>
        </w:rPr>
        <w:t>604</w:t>
      </w:r>
      <w:r>
        <w:rPr>
          <w:rFonts w:ascii="Amiri" w:hAnsi="Amiri" w:eastAsia="Amiri" w:cs="Amiri"/>
          <w:color w:val="111111"/>
          <w:sz w:val="28"/>
          <w:sz w:val="28"/>
          <w:szCs w:val="28"/>
          <w:rtl w:val="true"/>
          <w:lang w:bidi="ar-SA"/>
        </w:rPr>
        <w:t xml:space="preserve">، وباب الكفارة عن خطأ المحرم، الحديث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في الرواية السابقة أحمد بن محمد بن أبي نصر، عن محمد بن سماعة، عن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لم يثبت لسماعة بن مهران ابن يسمى بمحمداً أيضا، فضلا عن ثبوت ابن لمحمد بن سماعة المسمى بالحسن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ينحصر الحسن بن سماعة، بالحسن بن محمد بن سماعة بن موسى الكندي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ذكرناه يترتب أنه كلما كان الحسن بن سماعة في سند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الحسن بن محمد بن سماعة، الذي له كتب كثيرة، على ما يأتي في ترجمته، وأن محمد بن سماعة بن مهران غير والد الحسن بن محمد بن سماعة، ولم يعلم لمحمد بن سماعة بن مهران ولد يسمى بالحسن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القول بتعدد الحسن بن محمد بن سماعة، والحسن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المراد بالحسن بن سماعة في بداية أسانيد التهذيبين الحسن بن سماعة بن مهران أو الحسن بن محمد بن سماعة؟</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الكلباسي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أنّ الحسن بن سماعة لو اتّفق في صدر سند التهذيبين هو الحسن بن محمّد بن سماعة، لا الحسن بن سماعة؛ لتقدّم كثرة التقييد في المضاف أعني تقييد الحسن بابن محمّد على اشتهار المضاف إليه، لو لم نقل بتقدّم أصل التقييد على الاشتهار المشار إليه، قضيّةَ كثرة وقوع الحسن بن محمّد بن سماعة في صدر أسانيد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أواسط بعض الأسانيد بملاحظة تطرّق الفتور إلى ظهور المضاف إليه؛ لفرض استعماله في موارد التقييد في غير المشهور، فظهور المضاف في المقيّد خال عن المعارض، وإن كان المضاف إليه ظاهراً في غير حال الإضافة في المشهور، فيحصل الظنّ بكون الأمر من باب </w:t>
      </w:r>
      <w:bookmarkStart w:id="170" w:name="pg9087_85213"/>
    </w:p>
    <w:p>
      <w:pPr>
        <w:pStyle w:val="BookText"/>
        <w:rPr/>
      </w:pPr>
      <w:bookmarkEnd w:id="170"/>
      <w:r>
        <w:rPr>
          <w:rFonts w:ascii="Amiri" w:hAnsi="Amiri" w:eastAsia="Amiri" w:cs="Amiri"/>
          <w:color w:val="111111"/>
          <w:sz w:val="28"/>
          <w:sz w:val="28"/>
          <w:szCs w:val="28"/>
          <w:rtl w:val="true"/>
          <w:lang w:bidi="ar-SA"/>
        </w:rPr>
        <w:t>النسبة إلى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استعمال المضاف إليه في غير المشهور إنّما هو في إضافة 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يوجب تطرّق الفتور إلى ظهور المضاف إليه، أعني سماعة في ابن مهران ؛ لاختلاف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المضاف لا يمانع عن تطرّق الفتور إلى الظهور، نظير عدم ممانعة الاختلاف في الصنف عن إلحاق المشكوك فيه بالغالب</w:t>
      </w:r>
      <w:r>
        <w:rPr>
          <w:rFonts w:eastAsia="Amiri" w:cs="Amiri" w:ascii="Amiri" w:hAnsi="Amiri"/>
          <w:color w:val="111111"/>
          <w:sz w:val="28"/>
          <w:szCs w:val="28"/>
          <w:rtl w:val="true"/>
          <w:lang w:bidi="ar-SA"/>
        </w:rPr>
        <w:t>)</w:t>
      </w:r>
      <w:r>
        <w:rPr>
          <w:rStyle w:val="FootnoteAnchor"/>
          <w:rtl w:val="true"/>
        </w:rPr>
        <w:footnoteReference w:id="25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القول بأن المراد به الحسن بن محمد بن سماعة؛ لأنه ورد في صدر أسانيد التهذيبين الحسن بن سماعة، وكان المراد به الحسن بن محمد بن سماعة، كما في التهذيب</w:t>
      </w:r>
      <w:r>
        <w:rPr>
          <w:rStyle w:val="FootnoteAnchor"/>
          <w:rtl w:val="true"/>
        </w:rPr>
        <w:footnoteReference w:id="253"/>
      </w:r>
      <w:r>
        <w:rPr>
          <w:rFonts w:ascii="IRNazanin" w:hAnsi="IRNazanin" w:eastAsia="IRNazanin"/>
          <w:color w:val="111111"/>
          <w:sz w:val="28"/>
          <w:sz w:val="28"/>
          <w:szCs w:val="28"/>
          <w:rtl w:val="true"/>
          <w:lang w:bidi="fa-IR"/>
        </w:rPr>
        <w:t>فقد أورد رواية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رواه الحسن بن سماعة عن محمد ابن زياد ومحمد بن الحسن العطار عن هشام عن سليمان بن خالد علي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مملوك أعتق سائبة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أوردها في الاستبصار</w:t>
      </w:r>
      <w:r>
        <w:rPr>
          <w:rStyle w:val="FootnoteAnchor"/>
          <w:rtl w:val="true"/>
        </w:rPr>
        <w:footnoteReference w:id="254"/>
      </w:r>
      <w:r>
        <w:rPr>
          <w:rFonts w:ascii="IRNazanin" w:hAnsi="IRNazanin" w:eastAsia="IRNazanin"/>
          <w:color w:val="111111"/>
          <w:sz w:val="28"/>
          <w:sz w:val="28"/>
          <w:szCs w:val="28"/>
          <w:rtl w:val="true"/>
          <w:lang w:bidi="fa-IR"/>
        </w:rPr>
        <w:t>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الحسن بن محمد بن سماعة، عن محمد بن زياد، عن محمد ابن الحسن العطار، عن هشام،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بن محمد بن سماعة هو ابن موسى الكندي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وجود للحسن بن سماعة غير الحسن بن محمد بن سماعة</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2684215_2870459653"/>
      <w:bookmarkStart w:id="172" w:name="_Toc58"/>
      <w:bookmarkEnd w:id="171"/>
      <w:r>
        <w:rPr>
          <w:rtl w:val="true"/>
        </w:rPr>
        <w:t>المطلب الرابع</w:t>
      </w:r>
      <w:bookmarkEnd w:id="172"/>
    </w:p>
    <w:p>
      <w:pPr>
        <w:pStyle w:val="BookText"/>
        <w:rPr/>
      </w:pPr>
      <w:r>
        <w:rPr>
          <w:rFonts w:ascii="Amiri" w:hAnsi="Amiri" w:eastAsia="Amiri" w:cs="Amiri"/>
          <w:color w:val="111111"/>
          <w:sz w:val="28"/>
          <w:sz w:val="28"/>
          <w:szCs w:val="28"/>
          <w:rtl w:val="true"/>
          <w:lang w:bidi="ar-SA"/>
        </w:rPr>
        <w:t>في بيان عناوين الحسن بن محمد بن سماعة في الأسانيد ورد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الحسن بن محمد بن سماعة بعدَّة عناوين في الأسانيد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ابن سماعة</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سماعة</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سماعة</w:t>
      </w:r>
      <w:r>
        <w:rPr>
          <w:rStyle w:val="FootnoteAnchor"/>
          <w:rtl w:val="true"/>
        </w:rPr>
        <w:footnoteReference w:id="2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 بن محمد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والحسن بن محمد الكندي</w:t>
      </w:r>
      <w:r>
        <w:rPr>
          <w:rStyle w:val="FootnoteAnchor"/>
          <w:rtl w:val="true"/>
        </w:rPr>
        <w:footnoteReference w:id="2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محمد الأسدي</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سماعة الكوفي</w:t>
      </w:r>
      <w:r>
        <w:rPr>
          <w:rStyle w:val="FootnoteAnchor"/>
          <w:rtl w:val="true"/>
        </w:rPr>
        <w:footnoteReference w:id="2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ورد بعنوان الحسن بن محمد الحضرمي والحسن بن محمد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يرد؟</w:t>
      </w:r>
    </w:p>
    <w:p>
      <w:pPr>
        <w:pStyle w:val="BookText"/>
        <w:rPr/>
      </w:pPr>
      <w:r>
        <w:rPr>
          <w:rFonts w:ascii="Amiri" w:hAnsi="Amiri" w:eastAsia="Amiri" w:cs="Amiri"/>
          <w:color w:val="111111"/>
          <w:sz w:val="28"/>
          <w:sz w:val="28"/>
          <w:szCs w:val="28"/>
          <w:rtl w:val="true"/>
          <w:lang w:bidi="ar-SA"/>
        </w:rPr>
        <w:t>أمّا الحسن بن محمد الحضرمي فالظاهر أنه ليس عنوانا لابن سماعة في الأسانيد وإن ذكر النجاشي</w:t>
      </w:r>
      <w:r>
        <w:rPr>
          <w:rStyle w:val="FootnoteAnchor"/>
          <w:rtl w:val="true"/>
        </w:rPr>
        <w:footnoteReference w:id="263"/>
      </w:r>
      <w:r>
        <w:rPr>
          <w:rFonts w:ascii="Amiri" w:hAnsi="Amiri" w:eastAsia="Amiri" w:cs="Amiri"/>
          <w:color w:val="111111"/>
          <w:sz w:val="28"/>
          <w:sz w:val="28"/>
          <w:szCs w:val="28"/>
          <w:rtl w:val="true"/>
          <w:lang w:bidi="ar-SA"/>
        </w:rPr>
        <w:t>في ترجمة أخيه جعفر بن محمد بن سماعة أنه 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فالموارد التي ورد فيها عنوان الحسن بن محمد الحضرمي لا يُراد بها ابن سماعة، بل ابن أخت أبي مالك الحضرمي بحسب الطبقة فإنها تناسب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 زرعة بن محمد الحضرمي</w:t>
      </w:r>
      <w:r>
        <w:rPr>
          <w:rStyle w:val="FootnoteAnchor"/>
          <w:rtl w:val="true"/>
        </w:rPr>
        <w:footnoteReference w:id="264"/>
      </w:r>
      <w:r>
        <w:rPr>
          <w:rFonts w:ascii="Amiri" w:hAnsi="Amiri" w:eastAsia="Amiri" w:cs="Amiri"/>
          <w:color w:val="111111"/>
          <w:sz w:val="28"/>
          <w:sz w:val="28"/>
          <w:szCs w:val="28"/>
          <w:rtl w:val="true"/>
          <w:lang w:bidi="ar-SA"/>
        </w:rPr>
        <w:t>وعبد الله بن يحيى الكاهلي</w:t>
      </w:r>
      <w:r>
        <w:rPr>
          <w:rStyle w:val="FootnoteAnchor"/>
          <w:rtl w:val="true"/>
        </w:rPr>
        <w:footnoteReference w:id="265"/>
      </w:r>
      <w:r>
        <w:rPr>
          <w:rFonts w:ascii="Amiri" w:hAnsi="Amiri" w:eastAsia="Amiri" w:cs="Amiri"/>
          <w:color w:val="111111"/>
          <w:sz w:val="28"/>
          <w:sz w:val="28"/>
          <w:szCs w:val="28"/>
          <w:rtl w:val="true"/>
          <w:lang w:bidi="ar-SA"/>
        </w:rPr>
        <w:t>وروى عنه يعقوب بن يزيد</w:t>
      </w:r>
      <w:r>
        <w:rPr>
          <w:rStyle w:val="FootnoteAnchor"/>
          <w:rtl w:val="true"/>
        </w:rPr>
        <w:footnoteReference w:id="266"/>
      </w:r>
      <w:r>
        <w:rPr>
          <w:rFonts w:ascii="Amiri" w:hAnsi="Amiri" w:eastAsia="Amiri" w:cs="Amiri"/>
          <w:color w:val="111111"/>
          <w:sz w:val="28"/>
          <w:sz w:val="28"/>
          <w:szCs w:val="28"/>
          <w:rtl w:val="true"/>
          <w:lang w:bidi="ar-SA"/>
        </w:rPr>
        <w:t>وابن أورمة</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تناسب السابعة وابن سماعة من السابعة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رواية روى فيها حميد بن زياد عن الحسن بن محمد الحضرمي </w:t>
      </w:r>
    </w:p>
    <w:p>
      <w:pPr>
        <w:pStyle w:val="BookText"/>
        <w:rPr/>
      </w:pPr>
      <w:r>
        <w:rPr>
          <w:rFonts w:ascii="Amiri" w:hAnsi="Amiri" w:eastAsia="Amiri" w:cs="Amiri"/>
          <w:color w:val="111111"/>
          <w:sz w:val="28"/>
          <w:sz w:val="28"/>
          <w:szCs w:val="28"/>
          <w:rtl w:val="true"/>
          <w:lang w:bidi="ar-SA"/>
        </w:rPr>
        <w:t>بالمباشرة، فلعلّها تصلح شاهداً على كون الحسن بن محمد الحضرمي عنواناً لابن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هذا ليس بتام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فالرواية هي ما رواه النعماني في الغيبة</w:t>
      </w:r>
      <w:r>
        <w:rPr>
          <w:rStyle w:val="FootnoteAnchor"/>
          <w:rtl w:val="true"/>
        </w:rPr>
        <w:footnoteReference w:id="2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سعيد، قال حدثنا حميد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عليه من كتابه، قال حدثنا الحسن بن محمد الحضرمي، قال حدثنا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الذي تطلبون وترجون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والملاحَظ أن حميد بن زياد في هذه الرواية يروي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واحدة وهذا فيه خطأ لا محالة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وجود سقط في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بين حميد والحضرمي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هذا المورد الواحد شاهداً على أن الحضرمي من عناوين ابن سماعة في الروايات، اعتماداً على كون الراوي هو حميد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لا يروي عن الحضرمي ابن أخت</w:t>
      </w:r>
    </w:p>
    <w:p>
      <w:pPr>
        <w:pStyle w:val="BookText"/>
        <w:rPr/>
      </w:pPr>
      <w:r>
        <w:rPr>
          <w:rFonts w:ascii="Amiri" w:hAnsi="Amiri" w:eastAsia="Amiri" w:cs="Amiri"/>
          <w:color w:val="111111"/>
          <w:sz w:val="28"/>
          <w:sz w:val="28"/>
          <w:szCs w:val="28"/>
          <w:rtl w:val="true"/>
          <w:lang w:bidi="ar-SA"/>
        </w:rPr>
        <w:t>أبي مالك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عنوان الحسن بن محمد الصيرفي فالظاهر أنه عنوان لابن سماعة؛ لأن النجاشي ذكر أنه صيرفي، كما وإن الطبقة تساعد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في هذه الطبقة ممن يسمى بالحسن بن محمد صيرفياً غير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269"/>
      </w:r>
      <w:r>
        <w:rPr>
          <w:rFonts w:ascii="IRNazanin" w:hAnsi="IRNazanin" w:eastAsia="IRNazanin"/>
          <w:color w:val="111111"/>
          <w:sz w:val="28"/>
          <w:sz w:val="28"/>
          <w:szCs w:val="28"/>
          <w:rtl w:val="true"/>
          <w:lang w:bidi="fa-IR"/>
        </w:rPr>
        <w:t xml:space="preserve">من التعجب من الأردبيلي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ذكره في ذيل ترجمة الحسن بن محمد بن سماعة اعتماداً على أنه روى عن إسماعيل بن عبد الخالق وهو من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يكون هو ابن سماعة المتوفى سنة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غير محلّه؛ لأنه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يستبعد التعدد بين إسماعيل بن عبد الخالق الذي هو من أصحاب السجاد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هو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173" w:name="pg9087_85216"/>
    </w:p>
    <w:p>
      <w:pPr>
        <w:pStyle w:val="BookText"/>
        <w:rPr/>
      </w:pPr>
      <w:bookmarkEnd w:id="1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بملاحظة طرق الشيخ والنجاشي إلى كتبه يتضح أن رواية الحسن بن محمد ابن سماعة عنه طبيعية، فلعل عمره طال بحيث يروي عنه من هم من الطبقة السابعة مع أنه من أصحاب الصادق والكاظم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من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 النجاشي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وإسماعيل نفسه،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كتاب رواه عنه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محمد بن محمد، عن أبي غالب أحمد بن محمد، حدثنا عم أبي علي ابن سليمان، عن محمد بن خالد، عن إسماعيل، بكتابه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إسماعيل بن عبد الخالق، له كتاب، أخبرنا به ابن أبي جيد، عن محمد بن الحسن بن الوليد، عن محمد بن الحسن الصفار، عن محمد ابن الوليد، عن إسماعيل، وأخبرنا أحمد بن عبدون، عن أبي طالب الأنباري، عن حميد بن زياد، عن أبي محمد القاسم بن إسماعيل القرشي، عن إسماعيل ابن عبد الخالق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محمد الصيرفي عمَّن ثبتت رواية ابن سماعة عنه، كصالح ابن خالد</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 w:name="__RefHeading___Toc2684217_2870459653"/>
      <w:bookmarkStart w:id="175" w:name="_Toc59"/>
      <w:bookmarkEnd w:id="174"/>
      <w:r>
        <w:rPr>
          <w:rtl w:val="true"/>
        </w:rPr>
        <w:t>الأمر الثاني</w:t>
      </w:r>
      <w:bookmarkEnd w:id="175"/>
    </w:p>
    <w:p>
      <w:pPr>
        <w:pStyle w:val="Heading5"/>
        <w:numPr>
          <w:ilvl w:val="4"/>
          <w:numId w:val="1"/>
        </w:numPr>
        <w:rPr/>
      </w:pPr>
      <w:bookmarkStart w:id="176" w:name="__RefHeading___Toc2684219_2870459653"/>
      <w:bookmarkStart w:id="177" w:name="_Toc60"/>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في التعريف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طبقته وعناوينه في الأسانيد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أبان بن عثمان الأحمر البجلي مولاهم، أصله كوفي، كان يسكنها تارة، والبصرة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عنه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عبيدة معمر بن المثنى، وأبو عبد الله محمد بن سلام وأكثروا الحكاية عنه في أخبار الشعراء والنسب والأيام، روى عن أبي عبد الله وأبي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 كتاب حسن كبير يجمع المبتدأ والمغازي والوفاة والردة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بها أبو الحسن التميمي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ابن </w:t>
      </w:r>
    </w:p>
    <w:p>
      <w:pPr>
        <w:pStyle w:val="BookText"/>
        <w:rPr/>
      </w:pPr>
      <w:r>
        <w:rPr>
          <w:rFonts w:ascii="Amiri" w:hAnsi="Amiri" w:eastAsia="Amiri" w:cs="Amiri"/>
          <w:color w:val="111111"/>
          <w:sz w:val="28"/>
          <w:sz w:val="28"/>
          <w:szCs w:val="28"/>
          <w:rtl w:val="true"/>
          <w:lang w:bidi="ar-SA"/>
        </w:rPr>
        <w:t>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أبان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أبو عبد الله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أبان بكتبه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أبان بن عثمان الأحمر البجلي، أبو عبد الله مولاهم، أصله 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يسكنها تارة والبصرة أخرى، وقد أخذ عنه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المثنى، وأبو عبد الله محمد بن سلام، وأكثروا الحكاية عنه في أخبار الشعراء، والنسب، والأيام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 أبي عبد الله وأبي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عرف من مصنفاته إلا كتابه الذي يجمع المبدأ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المبتدأ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والمبعث، والمغازي، والوفاة، والسقيفة، والردة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بهذه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ابن النعمان، والحسين بن عبيد الله جميعاً، عن محمد بن عمر بن يحيى العلوي الحسيني،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سعيد 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أحمد بن محمد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محمد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الحسن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أبان، قال علي بن الحسن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إسماعيل ابن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ومحمد بن سعيد ابن أبي نصر جميعاً، عن أبان الأحمر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وأخبرنا أحمد بن 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محمد بن الزبير،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الحسن بن علي 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وأخبرنا الحسين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على ابن أبي غالب أحمد بن محمد بن سليمان الزراري،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جد أبي وعم أبي محمد وعلي ابنا سليمان، عن علي بن الحسن بن فضال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الحسين بن أبي جيد القمي، والحسين بن عبيد الله جميعاً، عن أحمد بن محمد بن يحيى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جعفر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أبي نصر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رواية ابن فضال ومن شاركه فيها من القميين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نسخة أخرى أنقص منها رواها القميون، أخبرنا بها الحسين بن عبيد الله عن أحمد بن 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بن أبي الخطاب، عن جعفر بن بشير،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وأخبرنا أبو الحسين بن أبي جيد، عن محمد بن الحسن بن الوليد، عن المعلى بن محمد البصري، عن محمد بن جمهور العمّي، عن جعفر بن بشير، عن أبان بن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أصل أخبرنا به عدة من أصحابنا، عن أبي المفضل محمد بن عبيد الله الشيباني، عن أبي جعفر محمد بن جعفر بن بطة، عن أحمد بن محمد بن عيسى، عن محسن بن أحمد،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الإسناد عن أحمد بن محمد بن عيسى، عن ابن أبي نصر، عن أبان، كتاب المغازي</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عدَّه الشيخ في رجاله</w:t>
      </w:r>
      <w:r>
        <w:rPr>
          <w:rStyle w:val="FootnoteAnchor"/>
          <w:rtl w:val="true"/>
        </w:rPr>
        <w:footnoteReference w:id="274"/>
      </w:r>
      <w:r>
        <w:rPr>
          <w:rFonts w:ascii="IRNazanin" w:hAnsi="IRNazanin" w:eastAsia="IRNazanin"/>
          <w:color w:val="111111"/>
          <w:sz w:val="28"/>
          <w:sz w:val="28"/>
          <w:szCs w:val="28"/>
          <w:rtl w:val="true"/>
          <w:lang w:bidi="fa-IR"/>
        </w:rPr>
        <w:t xml:space="preserve">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صنع البرقي</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الكشي في تسمية الفقهاء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78" w:name="pg9087_85219"/>
    </w:p>
    <w:p>
      <w:pPr>
        <w:pStyle w:val="BookText"/>
        <w:rPr/>
      </w:pPr>
      <w:bookmarkEnd w:id="1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من هؤلاء وتصديقهم لما يقولون وأقروا لهم بالفقه، من دون أولئك الستة الذين عددناهم وسميناهم، ستة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مسكان، وعبد الله بن بكير، وحماد بن عيسى، وحماد بن عثمان، وأبان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أبو إسحاق الفقيه يعنى ثعلبة 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أفقه هؤلاء جميل بن دراج وهم أحداث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الكشي في حقه روايتين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نصير وحمدويه،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عيسى، عن الحسن بن علي بن يقطين، عن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أقود أبي وقد كان كف بصره، حتى صرنا إلى حلقة فيها أبان الأحمر،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تحدث؟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ويحه سمعت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 منكم الكذابين ومن غيركم المكذبين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أبان من</w:t>
      </w:r>
    </w:p>
    <w:p>
      <w:pPr>
        <w:pStyle w:val="BookText"/>
        <w:rPr/>
      </w:pPr>
      <w:r>
        <w:rPr>
          <w:rFonts w:ascii="Amiri" w:hAnsi="Amiri" w:eastAsia="Amiri" w:cs="Amiri"/>
          <w:color w:val="111111"/>
          <w:sz w:val="28"/>
          <w:sz w:val="28"/>
          <w:szCs w:val="28"/>
          <w:rtl w:val="true"/>
          <w:lang w:bidi="ar-SA"/>
        </w:rPr>
        <w:t>أهل البصرة، وكان مولى بجيلة، وكان يسكن الكوفة، وكان من الناووسية</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مطالب مهمَّة نتعرض لها</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2684221_2870459653"/>
      <w:bookmarkStart w:id="180" w:name="_Toc61"/>
      <w:bookmarkEnd w:id="179"/>
      <w:r>
        <w:rPr>
          <w:rtl w:val="true"/>
        </w:rPr>
        <w:t>المطلب الأول</w:t>
      </w:r>
      <w:r>
        <w:rPr>
          <w:rtl w:val="true"/>
        </w:rPr>
        <w:t xml:space="preserve">: </w:t>
      </w:r>
      <w:r>
        <w:rPr>
          <w:rtl w:val="true"/>
        </w:rPr>
        <w:t>في وثاقته</w:t>
      </w:r>
      <w:bookmarkEnd w:id="180"/>
    </w:p>
    <w:p>
      <w:pPr>
        <w:pStyle w:val="BookText"/>
        <w:rPr/>
      </w:pPr>
      <w:r>
        <w:rPr>
          <w:rFonts w:ascii="Amiri" w:hAnsi="Amiri" w:eastAsia="Amiri" w:cs="Amiri"/>
          <w:color w:val="111111"/>
          <w:sz w:val="28"/>
          <w:sz w:val="28"/>
          <w:szCs w:val="28"/>
          <w:rtl w:val="true"/>
          <w:lang w:bidi="ar-SA"/>
        </w:rPr>
        <w:t>ويدل عليها مضافاً إلى كونه من الذين أجمعت العصابة على تصحيح ما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يصح عنهم كما نقله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رواية محمد بن أبي عمير</w:t>
      </w:r>
      <w:r>
        <w:rPr>
          <w:rStyle w:val="FootnoteAnchor"/>
          <w:rtl w:val="true"/>
        </w:rPr>
        <w:footnoteReference w:id="278"/>
      </w:r>
      <w:r>
        <w:rPr>
          <w:rFonts w:ascii="Amiri" w:hAnsi="Amiri" w:eastAsia="Amiri" w:cs="Amiri"/>
          <w:color w:val="111111"/>
          <w:sz w:val="28"/>
          <w:sz w:val="28"/>
          <w:szCs w:val="28"/>
          <w:rtl w:val="true"/>
          <w:lang w:bidi="ar-SA"/>
        </w:rPr>
        <w:t>وصفوان بن يحيى، وأحمد بن محمد بن أبي نصر</w:t>
      </w:r>
      <w:r>
        <w:rPr>
          <w:rStyle w:val="FootnoteAnchor"/>
          <w:rtl w:val="true"/>
        </w:rPr>
        <w:footnoteReference w:id="279"/>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قبال ذلك شيئان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روايتا الكشي المتقدمتان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أبا إبراهيم بن أبي البلاد – يحيى بن سليم، أو يحيى بن أبي سليمان– لم يوثق مع أن الحديث ليس واضح الدلالة على الخدش بأبان هذا بالنسبة إلى الحديث الأول، أما الثاني فعلى تقدير ثبوت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من الناووسية</w:t>
      </w:r>
      <w:r>
        <w:rPr>
          <w:rFonts w:eastAsia="Amiri" w:cs="Amiri" w:ascii="Amiri" w:hAnsi="Amiri"/>
          <w:color w:val="111111"/>
          <w:sz w:val="28"/>
          <w:szCs w:val="28"/>
          <w:rtl w:val="true"/>
          <w:lang w:bidi="ar-SA"/>
        </w:rPr>
        <w:t>)</w:t>
      </w:r>
      <w:r>
        <w:rPr>
          <w:rStyle w:val="FootnoteAnchor"/>
          <w:rtl w:val="true"/>
        </w:rPr>
        <w:footnoteReference w:id="280"/>
      </w:r>
      <w:r>
        <w:rPr>
          <w:rFonts w:ascii="IRNazanin" w:hAnsi="IRNazanin" w:eastAsia="IRNazanin"/>
          <w:color w:val="111111"/>
          <w:sz w:val="28"/>
          <w:sz w:val="28"/>
          <w:szCs w:val="28"/>
          <w:rtl w:val="true"/>
          <w:lang w:bidi="fa-IR"/>
        </w:rPr>
        <w:t xml:space="preserve">وعدم معارضتها بروايته عن الإمام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دلالة فيه على التضعيف إذ مجرد انحراف العقيدة لا يمنع من قبول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يظهر حال دعوى أنه من الفطحية</w:t>
      </w:r>
      <w:r>
        <w:rPr>
          <w:rStyle w:val="FootnoteAnchor"/>
          <w:rtl w:val="true"/>
        </w:rPr>
        <w:footnoteReference w:id="281"/>
      </w:r>
      <w:r>
        <w:rPr>
          <w:rFonts w:ascii="Amiri" w:hAnsi="Amiri" w:eastAsia="Amiri" w:cs="Amiri"/>
          <w:color w:val="111111"/>
          <w:sz w:val="28"/>
          <w:sz w:val="28"/>
          <w:szCs w:val="28"/>
          <w:rtl w:val="true"/>
          <w:lang w:bidi="ar-SA"/>
        </w:rPr>
        <w:t>أو الواقفية</w:t>
      </w:r>
      <w:r>
        <w:rPr>
          <w:rStyle w:val="FootnoteAnchor"/>
          <w:rtl w:val="true"/>
        </w:rPr>
        <w:footnoteReference w:id="282"/>
      </w:r>
      <w:r>
        <w:rPr>
          <w:rFonts w:ascii="IRNazanin" w:hAnsi="IRNazanin" w:eastAsia="IRNazanin"/>
          <w:color w:val="111111"/>
          <w:sz w:val="28"/>
          <w:sz w:val="28"/>
          <w:szCs w:val="28"/>
          <w:rtl w:val="true"/>
          <w:lang w:bidi="fa-IR"/>
        </w:rPr>
        <w:t>فإنها لو ثبتت</w:t>
      </w:r>
      <w:r>
        <w:rPr>
          <w:rStyle w:val="FootnoteAnchor"/>
          <w:rtl w:val="true"/>
        </w:rPr>
        <w:footnoteReference w:id="283"/>
      </w:r>
      <w:r>
        <w:rPr>
          <w:rFonts w:ascii="IRNazanin" w:hAnsi="IRNazanin" w:eastAsia="IRNazanin"/>
          <w:color w:val="111111"/>
          <w:sz w:val="28"/>
          <w:sz w:val="28"/>
          <w:szCs w:val="28"/>
          <w:rtl w:val="true"/>
          <w:lang w:bidi="fa-IR"/>
        </w:rPr>
        <w:t>لا تؤثر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تضعيف المحقق له في المعتبر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والعلامة في المنتهى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ما نقله السيد التفريشي عن فخر المحققين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لو قبلت توثيقات المتأخرين و تضعيفاتهم لا تقبل هنا؛ لمخالفتها </w:t>
      </w:r>
      <w:bookmarkStart w:id="181" w:name="pg9087_85221"/>
    </w:p>
    <w:p>
      <w:pPr>
        <w:pStyle w:val="BookText"/>
        <w:rPr/>
      </w:pPr>
      <w:bookmarkEnd w:id="181"/>
      <w:r>
        <w:rPr>
          <w:rFonts w:ascii="Amiri" w:hAnsi="Amiri" w:eastAsia="Amiri" w:cs="Amiri"/>
          <w:color w:val="111111"/>
          <w:sz w:val="28"/>
          <w:sz w:val="28"/>
          <w:szCs w:val="28"/>
          <w:rtl w:val="true"/>
          <w:lang w:bidi="ar-SA"/>
        </w:rPr>
        <w:t>للإجماع، ولقرب كونها مستندة الى انحراف العقيدة مع مخالفتها لما في الخلاصة</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عندي قبول روايته، وإن كان فاسد المذهب للإجماع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ويظهر من المحقق أيضاً الاعتماد على رواية أبان في بعض المواضع</w:t>
      </w:r>
      <w:r>
        <w:rPr>
          <w:rStyle w:val="FootnoteAnchor"/>
          <w:rtl w:val="true"/>
        </w:rPr>
        <w:footnoteReference w:id="285"/>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2684223_2870459653"/>
      <w:bookmarkStart w:id="183" w:name="_Toc62"/>
      <w:bookmarkEnd w:id="182"/>
      <w:r>
        <w:rPr>
          <w:rtl w:val="true"/>
        </w:rPr>
        <w:t>المطلب الثاني</w:t>
      </w:r>
      <w:r>
        <w:rPr>
          <w:rtl w:val="true"/>
        </w:rPr>
        <w:t xml:space="preserve">: </w:t>
      </w:r>
      <w:r>
        <w:rPr>
          <w:rtl w:val="true"/>
        </w:rPr>
        <w:t>في بيان طبقته</w:t>
      </w:r>
      <w:bookmarkEnd w:id="183"/>
    </w:p>
    <w:p>
      <w:pPr>
        <w:pStyle w:val="BookText"/>
        <w:rPr/>
      </w:pPr>
      <w:r>
        <w:rPr>
          <w:rFonts w:ascii="IRNazanin" w:hAnsi="IRNazanin" w:eastAsia="IRNazanin"/>
          <w:color w:val="111111"/>
          <w:sz w:val="28"/>
          <w:sz w:val="28"/>
          <w:szCs w:val="28"/>
          <w:rtl w:val="true"/>
          <w:lang w:bidi="fa-IR"/>
        </w:rPr>
        <w:t xml:space="preserve">الظاهر أنه من الطبقة الخامسة لما ذكره الشيخ والنجاشي من أنه روى عن أبي عبد الله وأبي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ذكره الكشي في آخر عبارته عند نقل الإجماع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وهم أحداث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هو المعهود من رواياته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الكثير منها قد رواها عن من هم من الطبقة الرابعة كأبي بصير، ومحمد بن مسلم، وزرارة، وبريد العجلي، وبكير، وحمران ابني أعين، وضريس بن عبد الملك، ومحمد بن علي الحلبي، والطيار، وعبد الرحمن بن أبي عبد الله وغيرهم، بل وروى عن أبان بن تغلب المتوفي سنة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ﻫ ورواها عنه من هم من السادسة كمحمد بن أبي عمير، وأحمد بن محمد بن أبي نصر، وجعفر بن بشير، والحسن بن علي بن فضال، والحسن بن محبوب، والحسين بن سعيد، وفضالة بن أيوب، ويونس بن عبد الرحمن، والميثمي، والوشاء، وعبيس بن هاشم، ومحمد بن سنان، وعلي بن الحكم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عاصر السادسة أي بقي إلى حد يمكن لمن هم من السابعة الرواية عنه؟</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عنه إبراهيم بن هاشم</w:t>
      </w:r>
      <w:r>
        <w:rPr>
          <w:rStyle w:val="FootnoteAnchor"/>
          <w:rtl w:val="true"/>
        </w:rPr>
        <w:footnoteReference w:id="286"/>
      </w:r>
      <w:r>
        <w:rPr>
          <w:rFonts w:ascii="Amiri" w:hAnsi="Amiri" w:eastAsia="Amiri" w:cs="Amiri"/>
          <w:color w:val="111111"/>
          <w:sz w:val="28"/>
          <w:sz w:val="28"/>
          <w:szCs w:val="28"/>
          <w:rtl w:val="true"/>
          <w:lang w:bidi="ar-SA"/>
        </w:rPr>
        <w:t>ومحمد بن خالد البرقي</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رواية إبراهيم محل نظر، فلم أعثر عليها إلا في موضع واحد ووردت</w:t>
      </w:r>
    </w:p>
    <w:p>
      <w:pPr>
        <w:pStyle w:val="BookText"/>
        <w:rPr/>
      </w:pPr>
      <w:r>
        <w:rPr>
          <w:rFonts w:ascii="Amiri" w:hAnsi="Amiri" w:eastAsia="Amiri" w:cs="Amiri"/>
          <w:color w:val="111111"/>
          <w:sz w:val="28"/>
          <w:sz w:val="28"/>
          <w:szCs w:val="28"/>
          <w:rtl w:val="true"/>
          <w:lang w:bidi="ar-SA"/>
        </w:rPr>
        <w:t>في مواضع عديدة بالواسطة كابن أبي عمير</w:t>
      </w:r>
      <w:r>
        <w:rPr>
          <w:rStyle w:val="FootnoteAnchor"/>
          <w:rtl w:val="true"/>
        </w:rPr>
        <w:footnoteReference w:id="288"/>
      </w:r>
      <w:r>
        <w:rPr>
          <w:rFonts w:ascii="IRNazanin" w:hAnsi="IRNazanin" w:eastAsia="IRNazanin"/>
          <w:color w:val="111111"/>
          <w:sz w:val="28"/>
          <w:sz w:val="28"/>
          <w:szCs w:val="28"/>
          <w:rtl w:val="true"/>
          <w:lang w:bidi="fa-IR"/>
        </w:rPr>
        <w:t>، وصفوان</w:t>
      </w:r>
      <w:r>
        <w:rPr>
          <w:rStyle w:val="FootnoteAnchor"/>
          <w:rtl w:val="true"/>
        </w:rPr>
        <w:footnoteReference w:id="289"/>
      </w:r>
      <w:r>
        <w:rPr>
          <w:rFonts w:ascii="Amiri" w:hAnsi="Amiri" w:eastAsia="Amiri" w:cs="Amiri"/>
          <w:color w:val="111111"/>
          <w:sz w:val="28"/>
          <w:sz w:val="28"/>
          <w:szCs w:val="28"/>
          <w:rtl w:val="true"/>
          <w:lang w:bidi="ar-SA"/>
        </w:rPr>
        <w:t>، وفضالة</w:t>
      </w:r>
      <w:r>
        <w:rPr>
          <w:rStyle w:val="FootnoteAnchor"/>
          <w:rtl w:val="true"/>
        </w:rPr>
        <w:footnoteReference w:id="290"/>
      </w:r>
      <w:r>
        <w:rPr>
          <w:rFonts w:ascii="Amiri" w:hAnsi="Amiri" w:eastAsia="Amiri" w:cs="Amiri"/>
          <w:color w:val="111111"/>
          <w:sz w:val="28"/>
          <w:sz w:val="28"/>
          <w:szCs w:val="28"/>
          <w:rtl w:val="true"/>
          <w:lang w:bidi="ar-SA"/>
        </w:rPr>
        <w:t>، والحسن بن علي بن فضال</w:t>
      </w:r>
      <w:r>
        <w:rPr>
          <w:rStyle w:val="FootnoteAnchor"/>
          <w:rtl w:val="true"/>
        </w:rPr>
        <w:footnoteReference w:id="291"/>
      </w:r>
      <w:r>
        <w:rPr>
          <w:rFonts w:ascii="Amiri" w:hAnsi="Amiri" w:eastAsia="Amiri" w:cs="Amiri"/>
          <w:color w:val="111111"/>
          <w:sz w:val="28"/>
          <w:sz w:val="28"/>
          <w:szCs w:val="28"/>
          <w:rtl w:val="true"/>
          <w:lang w:bidi="ar-SA"/>
        </w:rPr>
        <w:t>، وإبراهيم بن محمد الثقفي</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رواية محمد بن خالد بالمباشرة عنه فهي وإن كانت ثابتة لكن يمكن أن يقال إنها مما لا يقاس عليها؛ لأن محمد بن خالد من كبار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روت عنه السابعة كابنه أحمد</w:t>
      </w:r>
      <w:r>
        <w:rPr>
          <w:rStyle w:val="FootnoteAnchor"/>
          <w:rtl w:val="true"/>
        </w:rPr>
        <w:footnoteReference w:id="293"/>
      </w:r>
      <w:r>
        <w:rPr>
          <w:rFonts w:ascii="Amiri" w:hAnsi="Amiri" w:eastAsia="Amiri" w:cs="Amiri"/>
          <w:color w:val="111111"/>
          <w:sz w:val="28"/>
          <w:sz w:val="28"/>
          <w:szCs w:val="28"/>
          <w:rtl w:val="true"/>
          <w:lang w:bidi="ar-SA"/>
        </w:rPr>
        <w:t>وأحمد بن محمد بن عيسى</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هو عن الخامسة</w:t>
      </w:r>
    </w:p>
    <w:p>
      <w:pPr>
        <w:pStyle w:val="BookText"/>
        <w:rPr/>
      </w:pPr>
      <w:r>
        <w:rPr>
          <w:rFonts w:ascii="Amiri" w:hAnsi="Amiri" w:eastAsia="Amiri" w:cs="Amiri"/>
          <w:color w:val="111111"/>
          <w:sz w:val="28"/>
          <w:sz w:val="28"/>
          <w:szCs w:val="28"/>
          <w:rtl w:val="true"/>
          <w:lang w:bidi="ar-SA"/>
        </w:rPr>
        <w:t>كأبي البختري</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قد يقال بعدم كون محمد بن خالد البرقي من السابعة، وإنما هو من السادسة؛ لأن الشيخ عدَّه في رجاله في أصحاب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و في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خالد البرقي، ثقة، هؤلاء – إشارة إلى مجموعة ذكرها قبله هم محمد بن علي بن موسى بن جعفر، ومحمد بن سليمان الديلمي، ومحمد بن الفضل الأزدي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خالد البرقي من أصحاب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أصحاب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خالد البرقي من أصحاب </w:t>
      </w:r>
      <w:bookmarkStart w:id="184" w:name="pg9087_85223"/>
    </w:p>
    <w:p>
      <w:pPr>
        <w:pStyle w:val="BookText"/>
        <w:rPr/>
      </w:pPr>
      <w:bookmarkEnd w:id="184"/>
      <w:r>
        <w:rPr>
          <w:rFonts w:ascii="IRNazanin" w:hAnsi="IRNazanin" w:eastAsia="IRNazanin"/>
          <w:color w:val="111111"/>
          <w:sz w:val="28"/>
          <w:sz w:val="28"/>
          <w:szCs w:val="28"/>
          <w:rtl w:val="true"/>
          <w:lang w:bidi="fa-IR"/>
        </w:rPr>
        <w:t xml:space="preserve">موسى بن جعفر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Style w:val="FootnoteAnchor"/>
          <w:rtl w:val="true"/>
        </w:rPr>
        <w:footnoteReference w:id="298"/>
      </w:r>
      <w:r>
        <w:rPr>
          <w:rFonts w:ascii="Amiri" w:hAnsi="Amiri" w:eastAsia="Amiri" w:cs="Amiri"/>
          <w:color w:val="111111"/>
          <w:sz w:val="28"/>
          <w:sz w:val="28"/>
          <w:szCs w:val="28"/>
          <w:rtl w:val="true"/>
          <w:lang w:bidi="ar-SA"/>
        </w:rPr>
        <w:t>وعدَّه البرقي في أصحاب الكاظم</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وفي أصحاب الرضا</w:t>
      </w:r>
      <w:r>
        <w:rPr>
          <w:rStyle w:val="FootnoteAnchor"/>
          <w:rtl w:val="true"/>
        </w:rPr>
        <w:footnoteReference w:id="300"/>
      </w:r>
      <w:r>
        <w:rPr>
          <w:rFonts w:ascii="Amiri" w:hAnsi="Amiri" w:eastAsia="Amiri" w:cs="Amiri"/>
          <w:color w:val="111111"/>
          <w:sz w:val="28"/>
          <w:sz w:val="28"/>
          <w:szCs w:val="28"/>
          <w:rtl w:val="true"/>
          <w:lang w:bidi="ar-SA"/>
        </w:rPr>
        <w:t>وفي أصحاب الجواد</w:t>
      </w:r>
      <w:r>
        <w:rPr>
          <w:rStyle w:val="FootnoteAnchor"/>
          <w:rtl w:val="true"/>
        </w:rPr>
        <w:footnoteReference w:id="301"/>
      </w:r>
      <w:r>
        <w:rPr>
          <w:rFonts w:ascii="Amiri" w:hAnsi="Amiri" w:eastAsia="Amiri" w:cs="Amiri"/>
          <w:color w:val="111111"/>
          <w:sz w:val="28"/>
          <w:sz w:val="28"/>
          <w:szCs w:val="28"/>
          <w:rtl w:val="true"/>
          <w:lang w:bidi="ar-SA"/>
        </w:rPr>
        <w:t>عليهم السلام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684225_2870459653"/>
      <w:bookmarkStart w:id="186" w:name="_Toc63"/>
      <w:bookmarkEnd w:id="185"/>
      <w:r>
        <w:rPr>
          <w:rtl w:val="true"/>
        </w:rPr>
        <w:t>المطلب الثالث</w:t>
      </w:r>
      <w:r>
        <w:rPr>
          <w:rtl w:val="true"/>
        </w:rPr>
        <w:t xml:space="preserve">: </w:t>
      </w:r>
      <w:r>
        <w:rPr>
          <w:rtl w:val="true"/>
        </w:rPr>
        <w:t>في عناوينه التي وردت في الأسانيد</w:t>
      </w:r>
      <w:bookmarkEnd w:id="186"/>
    </w:p>
    <w:p>
      <w:pPr>
        <w:pStyle w:val="BookText"/>
        <w:rPr/>
      </w:pPr>
      <w:r>
        <w:rPr>
          <w:rFonts w:ascii="Amiri" w:hAnsi="Amiri" w:eastAsia="Amiri" w:cs="Amiri"/>
          <w:color w:val="111111"/>
          <w:sz w:val="28"/>
          <w:sz w:val="28"/>
          <w:szCs w:val="28"/>
          <w:rtl w:val="true"/>
          <w:lang w:bidi="ar-SA"/>
        </w:rPr>
        <w:t>ورد أبان بن عثمان بعناوين عديدة 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أبان</w:t>
      </w:r>
      <w:r>
        <w:rPr>
          <w:rStyle w:val="FootnoteAnchor"/>
          <w:rtl w:val="true"/>
        </w:rPr>
        <w:footnoteReference w:id="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 الأحمر</w:t>
      </w:r>
      <w:r>
        <w:rPr>
          <w:rStyle w:val="FootnoteAnchor"/>
          <w:rtl w:val="true"/>
        </w:rPr>
        <w:footnoteReference w:id="3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الأحمر</w:t>
      </w:r>
      <w:r>
        <w:rPr>
          <w:rStyle w:val="FootnoteAnchor"/>
          <w:rtl w:val="true"/>
        </w:rPr>
        <w:footnoteReference w:id="305"/>
      </w:r>
    </w:p>
    <w:p>
      <w:pPr>
        <w:pStyle w:val="BookText"/>
        <w:rPr/>
      </w:pPr>
      <w:r>
        <w:rPr>
          <w:rFonts w:ascii="Amiri" w:hAnsi="Amiri" w:eastAsia="Amiri" w:cs="Amiri"/>
          <w:color w:val="111111"/>
          <w:sz w:val="28"/>
          <w:sz w:val="28"/>
          <w:szCs w:val="28"/>
          <w:rtl w:val="true"/>
          <w:lang w:bidi="ar-SA"/>
        </w:rPr>
        <w:t>وأبان الأحمري</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وأبان بن عثمان الأحمر التميمي</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2684227_2870459653"/>
      <w:bookmarkStart w:id="188" w:name="_Toc64"/>
      <w:bookmarkEnd w:id="187"/>
      <w:r>
        <w:rPr>
          <w:rtl w:val="true"/>
        </w:rPr>
        <w:t>الأمر الثالث</w:t>
      </w:r>
      <w:bookmarkEnd w:id="188"/>
    </w:p>
    <w:p>
      <w:pPr>
        <w:pStyle w:val="Heading5"/>
        <w:numPr>
          <w:ilvl w:val="4"/>
          <w:numId w:val="1"/>
        </w:numPr>
        <w:rPr/>
      </w:pPr>
      <w:bookmarkStart w:id="189" w:name="__RefHeading___Toc2684229_2870459653"/>
      <w:bookmarkStart w:id="190" w:name="_Toc65"/>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في كيفية حساب الاحتمال</w:t>
      </w:r>
      <w:r>
        <w:rPr>
          <w:rFonts w:eastAsia="Amiri" w:cs="Amiri" w:ascii="Amiri" w:hAnsi="Amiri"/>
          <w:color w:val="111111"/>
          <w:sz w:val="28"/>
          <w:szCs w:val="28"/>
          <w:rtl w:val="true"/>
          <w:lang w:bidi="ar-SA"/>
        </w:rPr>
        <w:t>.</w:t>
      </w:r>
    </w:p>
    <w:p>
      <w:pPr>
        <w:pStyle w:val="Heading5"/>
        <w:numPr>
          <w:ilvl w:val="4"/>
          <w:numId w:val="1"/>
        </w:numPr>
        <w:rPr/>
      </w:pPr>
      <w:bookmarkStart w:id="191" w:name="__RefHeading___Toc2684231_2870459653"/>
      <w:bookmarkStart w:id="192" w:name="_Toc66"/>
      <w:bookmarkEnd w:id="191"/>
      <w:r>
        <w:rPr>
          <w:rtl w:val="true"/>
        </w:rPr>
        <w:t>التمهيد</w:t>
      </w:r>
      <w:bookmarkEnd w:id="192"/>
    </w:p>
    <w:p>
      <w:pPr>
        <w:pStyle w:val="BookText"/>
        <w:rPr/>
      </w:pPr>
      <w:r>
        <w:rPr>
          <w:rFonts w:ascii="IRNazanin" w:hAnsi="IRNazanin" w:eastAsia="IRNazanin"/>
          <w:color w:val="111111"/>
          <w:sz w:val="28"/>
          <w:sz w:val="28"/>
          <w:szCs w:val="28"/>
          <w:rtl w:val="true"/>
          <w:lang w:bidi="fa-IR"/>
        </w:rPr>
        <w:t>التمهید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معنى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تعريف الاحتمال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مقياس معين لإمكانية وقوع حدث</w:t>
      </w:r>
      <w:r>
        <w:rPr>
          <w:rFonts w:eastAsia="Amiri" w:cs="Amiri" w:ascii="Amiri" w:hAnsi="Amiri"/>
          <w:color w:val="111111"/>
          <w:sz w:val="28"/>
          <w:szCs w:val="28"/>
          <w:rtl w:val="true"/>
          <w:lang w:bidi="ar-SA"/>
        </w:rPr>
        <w:t xml:space="preserve">). </w:t>
      </w:r>
      <w:bookmarkStart w:id="193" w:name="pg9087_85224"/>
    </w:p>
    <w:p>
      <w:pPr>
        <w:pStyle w:val="Heading5"/>
        <w:numPr>
          <w:ilvl w:val="4"/>
          <w:numId w:val="1"/>
        </w:numPr>
        <w:rPr/>
      </w:pPr>
      <w:bookmarkStart w:id="194" w:name="__RefHeading___Toc2684233_2870459653"/>
      <w:bookmarkStart w:id="195" w:name="_Toc67"/>
      <w:bookmarkEnd w:id="193"/>
      <w:bookmarkEnd w:id="194"/>
      <w:r>
        <w:rPr>
          <w:rtl w:val="true"/>
        </w:rPr>
        <w:t>تعاريف</w:t>
      </w:r>
      <w:bookmarkEnd w:id="195"/>
    </w:p>
    <w:p>
      <w:pPr>
        <w:pStyle w:val="Heading6"/>
        <w:numPr>
          <w:ilvl w:val="5"/>
          <w:numId w:val="1"/>
        </w:numPr>
        <w:rPr/>
      </w:pPr>
      <w:bookmarkStart w:id="196" w:name="__RefHeading___Toc2684235_2870459653"/>
      <w:bookmarkStart w:id="197" w:name="_Toc68"/>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كي نتمكن من معرفة قانون الاحتمال الذي ينطبق على مقامنا نحتاج إلى</w:t>
      </w:r>
    </w:p>
    <w:p>
      <w:pPr>
        <w:pStyle w:val="BookText"/>
        <w:rPr/>
      </w:pPr>
      <w:r>
        <w:rPr>
          <w:rFonts w:ascii="Amiri" w:hAnsi="Amiri" w:eastAsia="Amiri" w:cs="Amiri"/>
          <w:color w:val="111111"/>
          <w:sz w:val="28"/>
          <w:sz w:val="28"/>
          <w:szCs w:val="28"/>
          <w:rtl w:val="true"/>
          <w:lang w:bidi="ar-SA"/>
        </w:rPr>
        <w:t>عرض بعض أُسس علم الاحتمال، ونقوم أولاً بتقديم بعض التعاريف التي تستخدم في هذا المجال</w:t>
      </w:r>
      <w:r>
        <w:rPr>
          <w:rFonts w:eastAsia="Amiri" w:cs="Amiri" w:ascii="Amiri" w:hAnsi="Amiri"/>
          <w:color w:val="111111"/>
          <w:sz w:val="28"/>
          <w:szCs w:val="28"/>
          <w:rtl w:val="true"/>
          <w:lang w:bidi="ar-SA"/>
        </w:rPr>
        <w:t>:</w:t>
      </w:r>
    </w:p>
    <w:p>
      <w:pPr>
        <w:pStyle w:val="Heading6"/>
        <w:numPr>
          <w:ilvl w:val="5"/>
          <w:numId w:val="1"/>
        </w:numPr>
        <w:rPr/>
      </w:pPr>
      <w:bookmarkStart w:id="198" w:name="__RefHeading___Toc2684237_2870459653"/>
      <w:bookmarkStart w:id="199" w:name="_Toc69"/>
      <w:bookmarkEnd w:id="198"/>
      <w:r>
        <w:rPr/>
        <w:t>1</w:t>
      </w:r>
      <w:r>
        <w:rPr>
          <w:rtl w:val="true"/>
        </w:rPr>
        <w:t xml:space="preserve"> - </w:t>
      </w:r>
      <w:r>
        <w:rPr>
          <w:rtl w:val="true"/>
        </w:rPr>
        <w:t>الحادث والتجربة والفراغ العيني</w:t>
      </w:r>
      <w:bookmarkEnd w:id="199"/>
    </w:p>
    <w:p>
      <w:pPr>
        <w:pStyle w:val="BookText"/>
        <w:rPr/>
      </w:pPr>
      <w:r>
        <w:rPr>
          <w:rFonts w:ascii="Amiri" w:hAnsi="Amiri" w:eastAsia="Amiri" w:cs="Amiri"/>
          <w:color w:val="111111"/>
          <w:sz w:val="28"/>
          <w:sz w:val="28"/>
          <w:szCs w:val="28"/>
          <w:rtl w:val="true"/>
          <w:lang w:bidi="ar-SA"/>
        </w:rPr>
        <w:t>افترض أننا نقوم بإجراء تجربة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كرمي حجر النرد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ونلاحظ كل النتائج الممكنة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ظهور أحد الأوجه الستة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ونفترض أننا مهتمون بظهور رقم فردي أي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عملية رمي الحجر تسمى 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رقم فردي وهو محل اهتمامنا يسمى حادثاً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ومجموعة جميع الحالات الممكنة الظهور تسمى بالفراغ العيني أو فضاء العينة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أن الحادث قد يكون حالة أو أكثر من الفراغ العيني</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2684239_2870459653"/>
      <w:bookmarkStart w:id="201" w:name="_Toc70"/>
      <w:bookmarkEnd w:id="200"/>
      <w:r>
        <w:rPr/>
        <w:t>2</w:t>
      </w:r>
      <w:r>
        <w:rPr>
          <w:rtl w:val="true"/>
        </w:rPr>
        <w:t xml:space="preserve"> - </w:t>
      </w:r>
      <w:r>
        <w:rPr>
          <w:rtl w:val="true"/>
        </w:rPr>
        <w:t>الحالات الممكنة</w:t>
      </w:r>
      <w:bookmarkEnd w:id="201"/>
    </w:p>
    <w:p>
      <w:pPr>
        <w:pStyle w:val="BookText"/>
        <w:rPr/>
      </w:pPr>
      <w:r>
        <w:rPr>
          <w:rFonts w:ascii="Amiri" w:hAnsi="Amiri" w:eastAsia="Amiri" w:cs="Amiri"/>
          <w:color w:val="111111"/>
          <w:sz w:val="28"/>
          <w:sz w:val="28"/>
          <w:szCs w:val="28"/>
          <w:rtl w:val="true"/>
          <w:lang w:bidi="ar-SA"/>
        </w:rPr>
        <w:t>هي الحالات أو النتائج المختلفة التي يمكن أن تظهر نتيجة لإجراء تجربة</w:t>
      </w:r>
    </w:p>
    <w:p>
      <w:pPr>
        <w:pStyle w:val="BookText"/>
        <w:rPr/>
      </w:pPr>
      <w:r>
        <w:rPr>
          <w:rFonts w:ascii="Amiri" w:hAnsi="Amiri" w:eastAsia="Amiri" w:cs="Amiri"/>
          <w:color w:val="111111"/>
          <w:sz w:val="28"/>
          <w:sz w:val="28"/>
          <w:szCs w:val="28"/>
          <w:rtl w:val="true"/>
          <w:lang w:bidi="ar-SA"/>
        </w:rPr>
        <w:t xml:space="preserve">معينة، فمثلا عند رمي قطعة عملة تكون نتيجتها صورة أو كتابة، وعند رمي حجر نرد تكون نتيجتها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إن عدد الحالات الممكنة في حالة رمي قطعة العملة هي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حالة رمي حجر النرد 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2684241_2870459653"/>
      <w:bookmarkStart w:id="203" w:name="_Toc71"/>
      <w:bookmarkEnd w:id="202"/>
      <w:r>
        <w:rPr/>
        <w:t>3</w:t>
      </w:r>
      <w:r>
        <w:rPr>
          <w:rtl w:val="true"/>
        </w:rPr>
        <w:t xml:space="preserve"> - </w:t>
      </w:r>
      <w:r>
        <w:rPr>
          <w:rtl w:val="true"/>
        </w:rPr>
        <w:t>الحالات المواتية</w:t>
      </w:r>
      <w:bookmarkEnd w:id="203"/>
    </w:p>
    <w:p>
      <w:pPr>
        <w:pStyle w:val="BookText"/>
        <w:rPr/>
      </w:pPr>
      <w:r>
        <w:rPr>
          <w:rFonts w:ascii="Amiri" w:hAnsi="Amiri" w:eastAsia="Amiri" w:cs="Amiri"/>
          <w:color w:val="111111"/>
          <w:sz w:val="28"/>
          <w:sz w:val="28"/>
          <w:szCs w:val="28"/>
          <w:rtl w:val="true"/>
          <w:lang w:bidi="ar-SA"/>
        </w:rPr>
        <w:t xml:space="preserve">هي النتائج أو الحالات التي تؤدي إلى تحقيق الحادث الذي هو موضع اهتمامنا، فإذا كان الحادث هو الحصول على رقم فردي في حالة رمي حجر النرد، فإن الحالات التي تحقق هذا الحادث هي الحصول 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هذه الحالات الثلاثة تسمى الحالات المواتية</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2684243_2870459653"/>
      <w:bookmarkStart w:id="205" w:name="_Toc72"/>
      <w:bookmarkEnd w:id="204"/>
      <w:r>
        <w:rPr/>
        <w:t>4</w:t>
      </w:r>
      <w:r>
        <w:rPr>
          <w:rtl w:val="true"/>
        </w:rPr>
        <w:t xml:space="preserve"> - </w:t>
      </w:r>
      <w:r>
        <w:rPr>
          <w:rtl w:val="true"/>
        </w:rPr>
        <w:t>الحالات المتماثلة</w:t>
      </w:r>
      <w:bookmarkEnd w:id="205"/>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لدينا عدة كرات معدنية مصنوعة من مادة واحدة متجانسة </w:t>
      </w:r>
      <w:bookmarkStart w:id="206" w:name="pg9087_85225"/>
    </w:p>
    <w:p>
      <w:pPr>
        <w:pStyle w:val="BookText"/>
        <w:rPr/>
      </w:pPr>
      <w:bookmarkEnd w:id="206"/>
      <w:r>
        <w:rPr>
          <w:rFonts w:ascii="Amiri" w:hAnsi="Amiri" w:eastAsia="Amiri" w:cs="Amiri"/>
          <w:color w:val="111111"/>
          <w:sz w:val="28"/>
          <w:sz w:val="28"/>
          <w:szCs w:val="28"/>
          <w:rtl w:val="true"/>
          <w:lang w:bidi="ar-SA"/>
        </w:rPr>
        <w:t>في الكثافة ولها نفس الوزن والحجم وضعناها في كيس وسحبنا كرة منها بعد خلطها جيداً، فإن هذه الكرات تكون حالات متماثلة، أي يكون لكل منها نفس النصيب في السحب</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2684245_2870459653"/>
      <w:bookmarkStart w:id="208" w:name="_Toc73"/>
      <w:bookmarkEnd w:id="207"/>
      <w:r>
        <w:rPr/>
        <w:t>5</w:t>
      </w:r>
      <w:r>
        <w:rPr>
          <w:rtl w:val="true"/>
        </w:rPr>
        <w:t xml:space="preserve">- </w:t>
      </w:r>
      <w:r>
        <w:rPr>
          <w:rtl w:val="true"/>
        </w:rPr>
        <w:t>الحوادث المتنافية</w:t>
      </w:r>
      <w:bookmarkEnd w:id="208"/>
    </w:p>
    <w:p>
      <w:pPr>
        <w:pStyle w:val="BookText"/>
        <w:rPr/>
      </w:pPr>
      <w:r>
        <w:rPr>
          <w:rFonts w:ascii="Amiri" w:hAnsi="Amiri" w:eastAsia="Amiri" w:cs="Amiri"/>
          <w:color w:val="111111"/>
          <w:sz w:val="28"/>
          <w:sz w:val="28"/>
          <w:szCs w:val="28"/>
          <w:rtl w:val="true"/>
          <w:lang w:bidi="ar-SA"/>
        </w:rPr>
        <w:t>يقال عن الحادثين أ وب أنهما متنافيان إذا استحال حدوثهما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 رمي حجر النرد لا يمكن الحصول على وجهين في وقت واحد</w:t>
      </w:r>
      <w:r>
        <w:rPr>
          <w:rFonts w:eastAsia="Amiri" w:cs="Amiri" w:ascii="Amiri" w:hAnsi="Amiri"/>
          <w:color w:val="111111"/>
          <w:sz w:val="28"/>
          <w:szCs w:val="28"/>
          <w:rtl w:val="true"/>
          <w:lang w:bidi="ar-SA"/>
        </w:rPr>
        <w:t>.</w:t>
      </w:r>
    </w:p>
    <w:p>
      <w:pPr>
        <w:pStyle w:val="Heading6"/>
        <w:numPr>
          <w:ilvl w:val="5"/>
          <w:numId w:val="1"/>
        </w:numPr>
        <w:rPr/>
      </w:pPr>
      <w:bookmarkStart w:id="209" w:name="__RefHeading___Toc2684247_2870459653"/>
      <w:bookmarkStart w:id="210" w:name="_Toc74"/>
      <w:bookmarkEnd w:id="209"/>
      <w:r>
        <w:rPr/>
        <w:t>6</w:t>
      </w:r>
      <w:r>
        <w:rPr>
          <w:rtl w:val="true"/>
        </w:rPr>
        <w:t xml:space="preserve">- </w:t>
      </w:r>
      <w:r>
        <w:rPr>
          <w:rtl w:val="true"/>
        </w:rPr>
        <w:t>الحوادث المستقلة</w:t>
      </w:r>
      <w:bookmarkEnd w:id="210"/>
    </w:p>
    <w:p>
      <w:pPr>
        <w:pStyle w:val="BookText"/>
        <w:rPr/>
      </w:pPr>
      <w:r>
        <w:rPr>
          <w:rFonts w:ascii="Amiri" w:hAnsi="Amiri" w:eastAsia="Amiri" w:cs="Amiri"/>
          <w:color w:val="111111"/>
          <w:sz w:val="28"/>
          <w:sz w:val="28"/>
          <w:szCs w:val="28"/>
          <w:rtl w:val="true"/>
          <w:lang w:bidi="ar-SA"/>
        </w:rPr>
        <w:t>يعتبر الحادثان حادثين مستقلين إذا كان وقوع أحدهما أو عدم وقوعه لا يؤثر في وقوع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عند رمي قطعة عملة واحدة مرتين متتاليتين فإن نتيجة الرمية الثانية لا تتأثر بنتيجة الرمية الأولى</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2684249_2870459653"/>
      <w:bookmarkStart w:id="212" w:name="_Toc75"/>
      <w:bookmarkEnd w:id="211"/>
      <w:r>
        <w:rPr/>
        <w:t>7</w:t>
      </w:r>
      <w:r>
        <w:rPr>
          <w:rtl w:val="true"/>
        </w:rPr>
        <w:t xml:space="preserve">- </w:t>
      </w:r>
      <w:r>
        <w:rPr>
          <w:rtl w:val="true"/>
        </w:rPr>
        <w:t>الحوادث الشاملة</w:t>
      </w:r>
      <w:bookmarkEnd w:id="212"/>
    </w:p>
    <w:p>
      <w:pPr>
        <w:pStyle w:val="BookText"/>
        <w:rPr/>
      </w:pPr>
      <w:r>
        <w:rPr>
          <w:rFonts w:ascii="Amiri" w:hAnsi="Amiri" w:eastAsia="Amiri" w:cs="Amiri"/>
          <w:color w:val="111111"/>
          <w:sz w:val="28"/>
          <w:sz w:val="28"/>
          <w:szCs w:val="28"/>
          <w:rtl w:val="true"/>
          <w:lang w:bidi="ar-SA"/>
        </w:rPr>
        <w:t>تسمى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شاملة في تجربة ما إذا كان لابد من حدوث إحداها عند إجراء 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عند اختيار شخص لمعرفة حالته من حيث كونه مدخناً، أو غير مدخن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هذه الحالات حوادث شاملة؛ لأنه لابد للفرد أن يكون له صفة واحدة من هذه الصفات</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فإن الحصول على العدد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رمي حجر النرد تعتبر حوادث شاملة لأنه لابد من حدوث إحداها</w:t>
      </w:r>
      <w:r>
        <w:rPr>
          <w:rFonts w:eastAsia="Amiri" w:cs="Amiri" w:ascii="Amiri" w:hAnsi="Amiri"/>
          <w:color w:val="111111"/>
          <w:sz w:val="28"/>
          <w:szCs w:val="28"/>
          <w:rtl w:val="true"/>
          <w:lang w:bidi="ar-SA"/>
        </w:rPr>
        <w:t xml:space="preserve">. </w:t>
      </w:r>
      <w:bookmarkStart w:id="213" w:name="pg9087_85226"/>
    </w:p>
    <w:p>
      <w:pPr>
        <w:pStyle w:val="Heading5"/>
        <w:numPr>
          <w:ilvl w:val="4"/>
          <w:numId w:val="1"/>
        </w:numPr>
        <w:rPr/>
      </w:pPr>
      <w:bookmarkStart w:id="214" w:name="__RefHeading___Toc2684251_2870459653"/>
      <w:bookmarkStart w:id="215" w:name="_Toc76"/>
      <w:bookmarkEnd w:id="213"/>
      <w:bookmarkEnd w:id="214"/>
      <w:r>
        <w:rPr>
          <w:rtl w:val="true"/>
        </w:rPr>
        <w:t>حساب الاحتمال</w:t>
      </w:r>
      <w:bookmarkEnd w:id="215"/>
    </w:p>
    <w:p>
      <w:pPr>
        <w:pStyle w:val="Heading6"/>
        <w:numPr>
          <w:ilvl w:val="5"/>
          <w:numId w:val="1"/>
        </w:numPr>
        <w:rPr/>
      </w:pPr>
      <w:bookmarkStart w:id="216" w:name="__RefHeading___Toc2684253_2870459653"/>
      <w:bookmarkStart w:id="217" w:name="_Toc77"/>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نسبة عددية غير سالبة محصورة بين الصفر والواحد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تدل القيمة صفر على حالة استحالة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والقيمة واحد على الحادث الأكيد الوقوع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حسابه أو تقديره بطريقتين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والاحتمال التجريبي</w:t>
      </w:r>
      <w:r>
        <w:rPr>
          <w:rFonts w:eastAsia="Amiri" w:cs="Amiri" w:ascii="Amiri" w:hAnsi="Amiri"/>
          <w:color w:val="111111"/>
          <w:sz w:val="28"/>
          <w:szCs w:val="28"/>
          <w:rtl w:val="true"/>
          <w:lang w:bidi="ar-SA"/>
        </w:rPr>
        <w:t>.</w:t>
      </w:r>
    </w:p>
    <w:p>
      <w:pPr>
        <w:pStyle w:val="Heading6"/>
        <w:numPr>
          <w:ilvl w:val="5"/>
          <w:numId w:val="1"/>
        </w:numPr>
        <w:rPr/>
      </w:pPr>
      <w:bookmarkStart w:id="218" w:name="__RefHeading___Toc2684255_2870459653"/>
      <w:bookmarkStart w:id="219" w:name="_Toc78"/>
      <w:bookmarkEnd w:id="218"/>
      <w:r>
        <w:rPr>
          <w:rtl w:val="true"/>
        </w:rPr>
        <w:t>الاحتمال النظري</w:t>
      </w:r>
      <w:bookmarkEnd w:id="219"/>
    </w:p>
    <w:p>
      <w:pPr>
        <w:pStyle w:val="Heading6"/>
        <w:numPr>
          <w:ilvl w:val="5"/>
          <w:numId w:val="1"/>
        </w:numPr>
        <w:rPr/>
      </w:pPr>
      <w:bookmarkStart w:id="220" w:name="__RefHeading___Toc2684257_2870459653"/>
      <w:bookmarkStart w:id="221" w:name="_Toc79"/>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يعرف أيضاً بالاحتمال الكلاسيكي، والاحتمال النظري لحدوث حادثة ما هو نسبة عدد الحالات المواتية إلى عدد الحالات الممكنة الحدوث على فرض أن كل الحالات لها نصيب متكافئ في الحدوث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لدينا كيس بداخله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كرات بيض،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كرات سُود فما هو احتمال أن نسحب كرة ما لا على التعيين فتكون كرة بيضاء؟</w:t>
      </w:r>
    </w:p>
    <w:p>
      <w:pPr>
        <w:pStyle w:val="BookText"/>
        <w:rPr/>
      </w:pP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الحالات الممكنة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الحالات المواتية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سحب كرة بيضاء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إذن من أجل حساب احتمال حدوث حادثة ما لابد من معرفة عدد الحالات الممكنة التي لها نصيب متكافئ في الحدوث</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2684259_2870459653"/>
      <w:bookmarkStart w:id="223" w:name="_Toc80"/>
      <w:bookmarkEnd w:id="222"/>
      <w:r>
        <w:rPr>
          <w:rtl w:val="true"/>
        </w:rPr>
        <w:t>عيوب الاحتمال النظري</w:t>
      </w:r>
      <w:bookmarkEnd w:id="223"/>
    </w:p>
    <w:p>
      <w:pPr>
        <w:pStyle w:val="Heading6"/>
        <w:numPr>
          <w:ilvl w:val="5"/>
          <w:numId w:val="1"/>
        </w:numPr>
        <w:rPr/>
      </w:pPr>
      <w:bookmarkStart w:id="224" w:name="__RefHeading___Toc2684261_2870459653"/>
      <w:bookmarkStart w:id="225" w:name="_Toc81"/>
      <w:bookmarkEnd w:id="224"/>
      <w:r>
        <w:rPr>
          <w:rtl w:val="true"/>
        </w:rPr>
        <w:t>اشارة</w:t>
      </w:r>
      <w:bookmarkEnd w:id="225"/>
    </w:p>
    <w:p>
      <w:pPr>
        <w:pStyle w:val="BookText"/>
        <w:rPr/>
      </w:pPr>
      <w:r>
        <w:rPr>
          <w:rFonts w:ascii="Amiri" w:hAnsi="Amiri" w:eastAsia="Amiri" w:cs="Amiri"/>
          <w:color w:val="111111"/>
          <w:sz w:val="28"/>
          <w:sz w:val="28"/>
          <w:szCs w:val="28"/>
          <w:rtl w:val="true"/>
          <w:lang w:bidi="ar-SA"/>
        </w:rPr>
        <w:t>هناك بعض العيوب أو الصعوبات في تطبيق التعريف النظري للاحتمال منها</w:t>
      </w:r>
      <w:r>
        <w:rPr>
          <w:rFonts w:eastAsia="Amiri" w:cs="Amiri" w:ascii="Amiri" w:hAnsi="Amiri"/>
          <w:color w:val="111111"/>
          <w:sz w:val="28"/>
          <w:szCs w:val="28"/>
          <w:rtl w:val="true"/>
          <w:lang w:bidi="ar-SA"/>
        </w:rPr>
        <w:t>:</w:t>
      </w:r>
    </w:p>
    <w:p>
      <w:pPr>
        <w:pStyle w:val="Heading6"/>
        <w:numPr>
          <w:ilvl w:val="5"/>
          <w:numId w:val="1"/>
        </w:numPr>
        <w:rPr/>
      </w:pPr>
      <w:bookmarkStart w:id="226" w:name="__RefHeading___Toc2684263_2870459653"/>
      <w:bookmarkStart w:id="227" w:name="_Toc82"/>
      <w:bookmarkEnd w:id="226"/>
      <w:r>
        <w:rPr/>
        <w:t>1</w:t>
      </w:r>
      <w:r>
        <w:rPr>
          <w:rtl w:val="true"/>
        </w:rPr>
        <w:t xml:space="preserve">- </w:t>
      </w:r>
      <w:r>
        <w:rPr>
          <w:rtl w:val="true"/>
        </w:rPr>
        <w:t>صعوبة حصر عدد الحالات الممكنة</w:t>
      </w:r>
      <w:bookmarkEnd w:id="22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ضربوا لذلك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لدينا المستقيم 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اسم قطعة منه ج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أخذت عليه نقطة ولتكن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إلينا حساب احتمال وقوع النقطة س في القطعة ج د من 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لحساب احتمال وقوع النقطة س في القطعة ج د علينا أن نحسب مجموع نقاط القطعة ب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تمثل عدد </w:t>
      </w:r>
      <w:bookmarkStart w:id="228" w:name="pg9087_85227"/>
    </w:p>
    <w:p>
      <w:pPr>
        <w:pStyle w:val="BookText"/>
        <w:rPr/>
      </w:pPr>
      <w:bookmarkEnd w:id="228"/>
      <w:r>
        <w:rPr>
          <w:rFonts w:ascii="Amiri" w:hAnsi="Amiri" w:eastAsia="Amiri" w:cs="Amiri"/>
          <w:color w:val="111111"/>
          <w:sz w:val="28"/>
          <w:sz w:val="28"/>
          <w:szCs w:val="28"/>
          <w:rtl w:val="true"/>
          <w:lang w:bidi="ar-SA"/>
        </w:rPr>
        <w:t>الحالات المواتية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نحسب مجموع نقاط المستقيم أ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تمثل عدد الحالات الممكنة، ولكننا نرى أنه من الصعب جداً، بل المستحيل حساب عدد هذه النقاط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فالمستقيم بحسب الفرض الرياضي لا متناهي لأنه لا بداية له ولا 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من الصعب تطبيق التعريف النظري للاحتمال</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2684265_2870459653"/>
      <w:bookmarkStart w:id="230" w:name="_Toc83"/>
      <w:bookmarkEnd w:id="229"/>
      <w:r>
        <w:rPr/>
        <w:t>2</w:t>
      </w:r>
      <w:r>
        <w:rPr>
          <w:rtl w:val="true"/>
        </w:rPr>
        <w:t xml:space="preserve"> - </w:t>
      </w:r>
      <w:r>
        <w:rPr>
          <w:rtl w:val="true"/>
        </w:rPr>
        <w:t>عدم تحقيق تماثل الحالات الممكنة</w:t>
      </w:r>
      <w:bookmarkEnd w:id="230"/>
    </w:p>
    <w:p>
      <w:pPr>
        <w:pStyle w:val="BookText"/>
        <w:rPr/>
      </w:pPr>
      <w:r>
        <w:rPr>
          <w:rFonts w:ascii="Amiri" w:hAnsi="Amiri" w:eastAsia="Amiri" w:cs="Amiri"/>
          <w:color w:val="111111"/>
          <w:sz w:val="28"/>
          <w:sz w:val="28"/>
          <w:szCs w:val="28"/>
          <w:rtl w:val="true"/>
          <w:lang w:bidi="ar-SA"/>
        </w:rPr>
        <w:t>فالتعريف النظري يشترط لتطبيقه تماثل الحالات الممكنة، ولكن هذا</w:t>
      </w:r>
    </w:p>
    <w:p>
      <w:pPr>
        <w:pStyle w:val="BookText"/>
        <w:rPr/>
      </w:pPr>
      <w:r>
        <w:rPr>
          <w:rFonts w:ascii="Amiri" w:hAnsi="Amiri" w:eastAsia="Amiri" w:cs="Amiri"/>
          <w:color w:val="111111"/>
          <w:sz w:val="28"/>
          <w:sz w:val="28"/>
          <w:szCs w:val="28"/>
          <w:rtl w:val="true"/>
          <w:lang w:bidi="ar-SA"/>
        </w:rPr>
        <w:t>لا يتحقق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فمثلاً عند اختيار شخص ما لمعرفة حالته الاجتماعية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الزواج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أعزب أو متزوج، أو مطلق، أو أرمل فلا يمكننا القول، بل ولا يمكن حساب أن احتمال كونه أرملاً مثلاً يساوي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تقدير هذا الاحتمال باستخدام التعريف النظري؛ لأنه من الواضح أن هذه الحالات الممكنة غير 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نشأت الحاجة إلى تعريف آخر للاحتمال يتغلب على مثل هذه الصعوبات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التعريف هو الاحتمال التجريبي</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2684267_2870459653"/>
      <w:bookmarkStart w:id="232" w:name="_Toc84"/>
      <w:bookmarkEnd w:id="231"/>
      <w:r>
        <w:rPr>
          <w:rtl w:val="true"/>
        </w:rPr>
        <w:t>الاحتمال التجريبي</w:t>
      </w:r>
      <w:bookmarkEnd w:id="232"/>
    </w:p>
    <w:p>
      <w:pPr>
        <w:pStyle w:val="BookText"/>
        <w:rPr/>
      </w:pPr>
      <w:r>
        <w:rPr>
          <w:rFonts w:ascii="Amiri" w:hAnsi="Amiri" w:eastAsia="Amiri" w:cs="Amiri"/>
          <w:color w:val="111111"/>
          <w:sz w:val="28"/>
          <w:sz w:val="28"/>
          <w:szCs w:val="28"/>
          <w:rtl w:val="true"/>
          <w:lang w:bidi="ar-SA"/>
        </w:rPr>
        <w:t xml:space="preserve">إذا رمينا علبة كبريت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على شكل متوازي مستطيلات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من المرات وكان عدد الرميات التي نتيجتها ظهور الوجه الكبير إلى أعلى هي 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الرميات التي نتيجتها ظهور الوجه المتوسط 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 الرميات التي نتيجتها ظهور الوجه الصغير 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النسب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نسبة عدد المرات للوجه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عدد المرات للوجه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عدد المرات للوجه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النسب لا تساوي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تماثل الحالات الممكنة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وكلما كانت ن كبيرة اقتربت هذه النسب من الاستقرار عند قيمة ثابتة وقد تكون في المثال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التوالي</w:t>
      </w:r>
      <w:r>
        <w:rPr>
          <w:rFonts w:eastAsia="Amiri" w:cs="Amiri" w:ascii="Amiri" w:hAnsi="Amiri"/>
          <w:color w:val="111111"/>
          <w:sz w:val="28"/>
          <w:szCs w:val="28"/>
          <w:rtl w:val="true"/>
          <w:lang w:bidi="ar-SA"/>
        </w:rPr>
        <w:t xml:space="preserve">. </w:t>
      </w:r>
      <w:bookmarkStart w:id="233" w:name="pg9087_85228"/>
    </w:p>
    <w:p>
      <w:pPr>
        <w:pStyle w:val="Heading5"/>
        <w:numPr>
          <w:ilvl w:val="4"/>
          <w:numId w:val="1"/>
        </w:numPr>
        <w:rPr/>
      </w:pPr>
      <w:bookmarkStart w:id="234" w:name="__RefHeading___Toc2684269_2870459653"/>
      <w:bookmarkStart w:id="235" w:name="_Toc85"/>
      <w:bookmarkEnd w:id="233"/>
      <w:bookmarkEnd w:id="234"/>
      <w:r>
        <w:rPr>
          <w:rtl w:val="true"/>
        </w:rPr>
        <w:t>قوانين الاحتمالات</w:t>
      </w:r>
      <w:bookmarkEnd w:id="235"/>
    </w:p>
    <w:p>
      <w:pPr>
        <w:pStyle w:val="Heading6"/>
        <w:numPr>
          <w:ilvl w:val="5"/>
          <w:numId w:val="1"/>
        </w:numPr>
        <w:rPr/>
      </w:pPr>
      <w:bookmarkStart w:id="236" w:name="__RefHeading___Toc2684271_2870459653"/>
      <w:bookmarkStart w:id="237" w:name="_Toc86"/>
      <w:bookmarkEnd w:id="236"/>
      <w:r>
        <w:rPr>
          <w:rtl w:val="true"/>
        </w:rPr>
        <w:t>جمع الاحتمالات</w:t>
      </w:r>
      <w:bookmarkEnd w:id="237"/>
    </w:p>
    <w:p>
      <w:pPr>
        <w:pStyle w:val="Heading6"/>
        <w:numPr>
          <w:ilvl w:val="5"/>
          <w:numId w:val="1"/>
        </w:numPr>
        <w:rPr/>
      </w:pPr>
      <w:bookmarkStart w:id="238" w:name="__RefHeading___Toc2684273_2870459653"/>
      <w:bookmarkStart w:id="239" w:name="_Toc87"/>
      <w:bookmarkEnd w:id="238"/>
      <w:r>
        <w:rPr>
          <w:rtl w:val="true"/>
        </w:rPr>
        <w:t>أ</w:t>
      </w:r>
      <w:r>
        <w:rPr>
          <w:rtl w:val="true"/>
        </w:rPr>
        <w:t xml:space="preserve">- </w:t>
      </w:r>
      <w:r>
        <w:rPr>
          <w:rtl w:val="true"/>
        </w:rPr>
        <w:t>في حالة كون الحوادث متنافية</w:t>
      </w:r>
      <w:bookmarkEnd w:id="239"/>
    </w:p>
    <w:p>
      <w:pPr>
        <w:pStyle w:val="BookText"/>
        <w:rPr/>
      </w:pPr>
      <w:r>
        <w:rPr>
          <w:rFonts w:ascii="Amiri" w:hAnsi="Amiri" w:eastAsia="Amiri" w:cs="Amiri"/>
          <w:color w:val="111111"/>
          <w:sz w:val="28"/>
          <w:sz w:val="28"/>
          <w:szCs w:val="28"/>
          <w:rtl w:val="true"/>
          <w:lang w:bidi="ar-SA"/>
        </w:rPr>
        <w:t>الحوادث المتنافية تعني أن حدوث أحدها يؤدي إلى استحالة حدوث أي من الحوادث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فإن احتمال حدوث هذه الحوادث معًا يكون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رمي حجر نرد ما هو احتمال الحصول على عدد فردي؟</w:t>
      </w:r>
    </w:p>
    <w:p>
      <w:pPr>
        <w:pStyle w:val="BookText"/>
        <w:rPr/>
      </w:pP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الحصول على عدد فردي معناه الحصول على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هذه الحوادث الثلاثة متنافية فإن قيمة الاحتمال تساوي مجموع احتمالات الوجوه منفردة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2684275_2870459653"/>
      <w:bookmarkStart w:id="241" w:name="_Toc88"/>
      <w:bookmarkEnd w:id="240"/>
      <w:r>
        <w:rPr>
          <w:rtl w:val="true"/>
        </w:rPr>
        <w:t>ب</w:t>
      </w:r>
      <w:r>
        <w:rPr>
          <w:rtl w:val="true"/>
        </w:rPr>
        <w:t xml:space="preserve">- </w:t>
      </w:r>
      <w:r>
        <w:rPr>
          <w:rtl w:val="true"/>
        </w:rPr>
        <w:t xml:space="preserve">في حالة كون الحوادث غير متنافية </w:t>
      </w:r>
      <w:r>
        <w:rPr>
          <w:rtl w:val="true"/>
        </w:rPr>
        <w:t xml:space="preserve">( </w:t>
      </w:r>
      <w:r>
        <w:rPr>
          <w:rtl w:val="true"/>
        </w:rPr>
        <w:t>أ أو ب</w:t>
      </w:r>
      <w:r>
        <w:rPr>
          <w:rtl w:val="true"/>
        </w:rPr>
        <w:t>)</w:t>
      </w:r>
      <w:bookmarkEnd w:id="241"/>
    </w:p>
    <w:p>
      <w:pPr>
        <w:pStyle w:val="BookText"/>
        <w:rPr/>
      </w:pPr>
      <w:r>
        <w:rPr>
          <w:rFonts w:ascii="Amiri" w:hAnsi="Amiri" w:eastAsia="Amiri" w:cs="Amiri"/>
          <w:color w:val="111111"/>
          <w:sz w:val="28"/>
          <w:sz w:val="28"/>
          <w:szCs w:val="28"/>
          <w:rtl w:val="true"/>
          <w:lang w:bidi="ar-SA"/>
        </w:rPr>
        <w:t>عند عدم اشتراط تنافي الحادثين أ و ب ويكون المقصود كفاية وقوع الحادث أ وحده، أو وقوع الحادث ب وحده، أو وقوعهما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فقيمة الاحتمال تساوي مجموع احتمال أ مع احتمال ب مطروحاً منها مرة واحدة احتمال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تعد مرتين مرة مع أ وأخرى مع ب، فلابد من طرحها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لدينا أربعة أشخاص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 علي و محمد ومحمود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وأردنا تشكيل لجنة متكونة من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هي فرص أن يكون في اللجنة من يبدأ اسمه بحرف الميم؟</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الحالات الممكنة 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والحلات المواتية لكون محمد من اللجنة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لمحمود ولاجتماعهما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42" w:name="pg9087_85229"/>
    </w:p>
    <w:p>
      <w:pPr>
        <w:pStyle w:val="BookText"/>
        <w:rPr/>
      </w:pPr>
      <w:bookmarkEnd w:id="242"/>
      <w:r>
        <w:rPr>
          <w:rFonts w:ascii="Amiri" w:hAnsi="Amiri" w:eastAsia="Amiri" w:cs="Amiri"/>
          <w:color w:val="111111"/>
          <w:sz w:val="28"/>
          <w:sz w:val="28"/>
          <w:szCs w:val="28"/>
          <w:rtl w:val="true"/>
          <w:lang w:bidi="ar-SA"/>
        </w:rPr>
        <w:t xml:space="preserve">قيمة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كون محمد من اللجنة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محمود من اللجنة – احتمال اجتماعهما في اللجنة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p>
    <w:p>
      <w:pPr>
        <w:pStyle w:val="Heading6"/>
        <w:numPr>
          <w:ilvl w:val="5"/>
          <w:numId w:val="1"/>
        </w:numPr>
        <w:rPr/>
      </w:pPr>
      <w:bookmarkStart w:id="243" w:name="__RefHeading___Toc2684277_2870459653"/>
      <w:bookmarkStart w:id="244" w:name="_Toc89"/>
      <w:bookmarkEnd w:id="243"/>
      <w:r>
        <w:rPr>
          <w:rtl w:val="true"/>
        </w:rPr>
        <w:t>ضرب الاحتمالات</w:t>
      </w:r>
      <w:bookmarkEnd w:id="244"/>
    </w:p>
    <w:p>
      <w:pPr>
        <w:pStyle w:val="BookText"/>
        <w:rPr/>
      </w:pPr>
      <w:r>
        <w:rPr>
          <w:rFonts w:ascii="Amiri" w:hAnsi="Amiri" w:eastAsia="Amiri" w:cs="Amiri"/>
          <w:color w:val="111111"/>
          <w:sz w:val="28"/>
          <w:sz w:val="28"/>
          <w:szCs w:val="28"/>
          <w:rtl w:val="true"/>
          <w:lang w:bidi="ar-SA"/>
        </w:rPr>
        <w:t>إذا كان لدينا الحادثان المستقلان أ و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احتمال حدوث حادثين مستقلين أو أكثر معاً يساوي حاصل ضرب احتمال حدوث كل واحد من هذه الحوادث ببعضها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رمي زوج من أحجار، ما هو احتمال الحصول على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p>
    <w:p>
      <w:pPr>
        <w:pStyle w:val="BookText"/>
        <w:rPr/>
      </w:pPr>
      <w:r>
        <w:rPr>
          <w:rFonts w:ascii="Amiri" w:hAnsi="Amiri" w:eastAsia="Amiri" w:cs="Amiri"/>
          <w:color w:val="111111"/>
          <w:sz w:val="28"/>
          <w:sz w:val="28"/>
          <w:szCs w:val="28"/>
          <w:rtl w:val="true"/>
          <w:lang w:bidi="ar-SA"/>
        </w:rPr>
        <w:t>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الحصول على الوجه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رمي الحجر الأول من النرد هو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احتمال الحصول على الوجه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رمي الحجر الثاني من النرد هو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فقيمة احتمال وقوعهما معاً يساوي حاصل ضرب قيمتي احتماليهما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p>
    <w:p>
      <w:pPr>
        <w:pStyle w:val="Heading5"/>
        <w:numPr>
          <w:ilvl w:val="4"/>
          <w:numId w:val="1"/>
        </w:numPr>
        <w:rPr/>
      </w:pPr>
      <w:bookmarkStart w:id="245" w:name="__RefHeading___Toc2684279_2870459653"/>
      <w:bookmarkStart w:id="246" w:name="_Toc90"/>
      <w:bookmarkEnd w:id="245"/>
      <w:r>
        <w:rPr>
          <w:rtl w:val="true"/>
        </w:rPr>
        <w:t>الاحتمال الشرطي</w:t>
      </w:r>
      <w:bookmarkEnd w:id="246"/>
    </w:p>
    <w:p>
      <w:pPr>
        <w:pStyle w:val="BookText"/>
        <w:rPr/>
      </w:pPr>
      <w:r>
        <w:rPr>
          <w:rFonts w:ascii="Amiri" w:hAnsi="Amiri" w:eastAsia="Amiri" w:cs="Amiri"/>
          <w:color w:val="111111"/>
          <w:sz w:val="28"/>
          <w:sz w:val="28"/>
          <w:szCs w:val="28"/>
          <w:rtl w:val="true"/>
          <w:lang w:bidi="ar-SA"/>
        </w:rPr>
        <w:t xml:space="preserve">هو احتمال وقوع حادثة بعد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حادثة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لنوضح مفهوم الاحتمال الشرطي بمساعدة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كيس يحتوي على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كرات سود 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كرات 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ولنفرض أننا سحبنا منه كرتين كلاً على حده وبدون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ستكون النتائج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احتمالات النتائج لسحب الكرة الأولى 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بيضاء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سوداء</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احتمالات النتائج لسحب الكرة الثانية فلها صورتان بحسب نتائج سحب الأولى</w:t>
      </w:r>
      <w:r>
        <w:rPr>
          <w:rFonts w:eastAsia="Amiri" w:cs="Amiri" w:ascii="Amiri" w:hAnsi="Amiri"/>
          <w:color w:val="111111"/>
          <w:sz w:val="28"/>
          <w:szCs w:val="28"/>
          <w:rtl w:val="true"/>
          <w:lang w:bidi="ar-SA"/>
        </w:rPr>
        <w:t xml:space="preserve">: </w:t>
      </w:r>
      <w:bookmarkStart w:id="247" w:name="pg9087_85230"/>
    </w:p>
    <w:p>
      <w:pPr>
        <w:pStyle w:val="BookText"/>
        <w:rPr/>
      </w:pPr>
      <w:bookmarkEnd w:id="247"/>
      <w:r>
        <w:rPr>
          <w:rFonts w:ascii="Amiri" w:hAnsi="Amiri" w:eastAsia="Amiri" w:cs="Amiri"/>
          <w:color w:val="111111"/>
          <w:sz w:val="28"/>
          <w:sz w:val="28"/>
          <w:szCs w:val="28"/>
          <w:rtl w:val="true"/>
          <w:lang w:bidi="ar-SA"/>
        </w:rPr>
        <w:t xml:space="preserve">الأولى على فرض كون الأولى بيضاء وهي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بيضاء 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على فرض كون الأولى سوداء وهي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بيضاء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إعطاء الصيغة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قيمة حساب الاحتمال لاجتماع حادثتين شرطيتين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احتمال الحادثة الأولى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قيمة احتمال الحادثة الثانية بعد فرض وقوع الحادثة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قيمة حساب الاحتمال لاجتماع ثلاث حوادث 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احتمال الحادثة الأولى </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قيمة احتمال الحادثة الثانية بعد فرض وقوع الحادثة الأولى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قيمة احتمال الحادثة الثالثة بعد فرض وقوع الحادثتين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ذكره من 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نأخذ نتائج من هذا التمهيد ونبيّن بعض الأمور المهمّة في كيفية حساب الاحتمال في المقام نتكلم بشكل نقاط</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2684281_2870459653"/>
      <w:bookmarkStart w:id="249" w:name="_Toc91"/>
      <w:bookmarkEnd w:id="248"/>
      <w:r>
        <w:rPr>
          <w:rtl w:val="true"/>
        </w:rPr>
        <w:t>نقاط لابد منها قبل حساب الاحتمال</w:t>
      </w:r>
      <w:bookmarkEnd w:id="249"/>
    </w:p>
    <w:p>
      <w:pPr>
        <w:pStyle w:val="Heading6"/>
        <w:numPr>
          <w:ilvl w:val="5"/>
          <w:numId w:val="1"/>
        </w:numPr>
        <w:rPr/>
      </w:pPr>
      <w:bookmarkStart w:id="250" w:name="__RefHeading___Toc2684283_2870459653"/>
      <w:bookmarkStart w:id="251" w:name="_Toc92"/>
      <w:bookmarkEnd w:id="250"/>
      <w:r>
        <w:rPr>
          <w:rtl w:val="true"/>
        </w:rPr>
        <w:t>النقطة الأولى</w:t>
      </w:r>
      <w:bookmarkEnd w:id="251"/>
    </w:p>
    <w:p>
      <w:pPr>
        <w:pStyle w:val="BookText"/>
        <w:rPr/>
      </w:pPr>
      <w:r>
        <w:rPr>
          <w:rFonts w:ascii="Amiri" w:hAnsi="Amiri" w:eastAsia="Amiri" w:cs="Amiri"/>
          <w:color w:val="111111"/>
          <w:sz w:val="28"/>
          <w:sz w:val="28"/>
          <w:szCs w:val="28"/>
          <w:rtl w:val="true"/>
          <w:lang w:bidi="ar-SA"/>
        </w:rPr>
        <w:t>هل الصحيح أن يراعى في حساب الاحتمال عدد المشايخ، أو الصحيح مراعاة عدد الروايات؟</w:t>
      </w:r>
    </w:p>
    <w:p>
      <w:pPr>
        <w:pStyle w:val="BookText"/>
        <w:rPr/>
      </w:pPr>
      <w:r>
        <w:rPr>
          <w:rFonts w:ascii="Amiri" w:hAnsi="Amiri" w:eastAsia="Amiri" w:cs="Amiri"/>
          <w:color w:val="111111"/>
          <w:sz w:val="28"/>
          <w:sz w:val="28"/>
          <w:szCs w:val="28"/>
          <w:rtl w:val="true"/>
          <w:lang w:bidi="ar-SA"/>
        </w:rPr>
        <w:t>الظاهر أن الأدق مراعاة عدد الروايات؛ لوضوح عدم تساوي قيمة احتمال أن تكون الرواية عن زيد، مع قيمة احتمال أن تكون عن عمرو اذا كانت روايات الراوي عن زيد مائة مثلاً ورواياته عن عمرو عشرة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شاهد على كون قيمة الاحتمال الأول أكثر من قيمة الاحتمال الثاني</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التكافؤ مفقود فلا يصح اتباع طريقة الاحتمال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لطريقة الاحتمال التجريبي هو ملاحظة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عدد الروايات الكلي يمثل عدد مرات إجراء التجربة، وعدد روايات الراوي يمثل عدد مرات وقوع النتيجة لصالحه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وبالنتيجة يحصل كل راوٍ على قيمة احتمال </w:t>
      </w:r>
      <w:bookmarkStart w:id="252" w:name="pg9087_85231"/>
    </w:p>
    <w:p>
      <w:pPr>
        <w:pStyle w:val="BookText"/>
        <w:rPr/>
      </w:pPr>
      <w:bookmarkEnd w:id="252"/>
      <w:r>
        <w:rPr>
          <w:rFonts w:ascii="Amiri" w:hAnsi="Amiri" w:eastAsia="Amiri" w:cs="Amiri"/>
          <w:color w:val="111111"/>
          <w:sz w:val="28"/>
          <w:sz w:val="28"/>
          <w:szCs w:val="28"/>
          <w:rtl w:val="true"/>
          <w:lang w:bidi="ar-SA"/>
        </w:rPr>
        <w:t>تتناسب مع عدد روايات ابن سماعة عنه</w:t>
      </w:r>
      <w:r>
        <w:rPr>
          <w:rFonts w:eastAsia="Amiri" w:cs="Amiri" w:ascii="Amiri" w:hAnsi="Amiri"/>
          <w:color w:val="111111"/>
          <w:sz w:val="28"/>
          <w:szCs w:val="28"/>
          <w:rtl w:val="true"/>
          <w:lang w:bidi="ar-SA"/>
        </w:rPr>
        <w:t>.</w:t>
      </w:r>
    </w:p>
    <w:p>
      <w:pPr>
        <w:pStyle w:val="Heading6"/>
        <w:numPr>
          <w:ilvl w:val="5"/>
          <w:numId w:val="1"/>
        </w:numPr>
        <w:rPr/>
      </w:pPr>
      <w:bookmarkStart w:id="253" w:name="__RefHeading___Toc2684285_2870459653"/>
      <w:bookmarkStart w:id="254" w:name="_Toc93"/>
      <w:bookmarkEnd w:id="253"/>
      <w:r>
        <w:rPr>
          <w:rtl w:val="true"/>
        </w:rPr>
        <w:t>النقطة الثانية</w:t>
      </w:r>
      <w:bookmarkEnd w:id="254"/>
    </w:p>
    <w:p>
      <w:pPr>
        <w:pStyle w:val="BookText"/>
        <w:rPr/>
      </w:pPr>
      <w:r>
        <w:rPr>
          <w:rFonts w:ascii="Amiri" w:hAnsi="Amiri" w:eastAsia="Amiri" w:cs="Amiri"/>
          <w:color w:val="111111"/>
          <w:sz w:val="28"/>
          <w:sz w:val="28"/>
          <w:szCs w:val="28"/>
          <w:rtl w:val="true"/>
          <w:lang w:bidi="ar-SA"/>
        </w:rPr>
        <w:t>هل تعد رواية غير الثقة أو لا تعد؟ أي لو وقع غير الثقة قبل ابن سماعة هل تحسب هذه الرواية أو لا تحسب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بمنزلة العدم؟</w:t>
      </w:r>
    </w:p>
    <w:p>
      <w:pPr>
        <w:pStyle w:val="BookText"/>
        <w:rPr/>
      </w:pPr>
      <w:r>
        <w:rPr>
          <w:rFonts w:ascii="Amiri" w:hAnsi="Amiri" w:eastAsia="Amiri" w:cs="Amiri"/>
          <w:color w:val="111111"/>
          <w:sz w:val="28"/>
          <w:sz w:val="28"/>
          <w:szCs w:val="28"/>
          <w:rtl w:val="true"/>
          <w:lang w:bidi="ar-SA"/>
        </w:rPr>
        <w:t>الظاهر أن لرواية غير الثقة قيمة احتمالية، خصوصاً إذا لم يكن كذّاباً و وضاعاً، وإنما لم تثبت وثاقته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قاضٍ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هي أضعف من القيمة الاحتمالية لرواية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يهوّن الخطب أن الغالبية العظمى من روايات ابن سماعة عن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والكليني يروي عن حميد بالمباشرة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إلى حميد معتبر</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طريقه إلى ابن سماعة معتبر</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سوف لا نلاحظ هذا في الحساب</w:t>
      </w:r>
      <w:r>
        <w:rPr>
          <w:rFonts w:eastAsia="Amiri" w:cs="Amiri" w:ascii="Amiri" w:hAnsi="Amiri"/>
          <w:color w:val="111111"/>
          <w:sz w:val="28"/>
          <w:szCs w:val="28"/>
          <w:rtl w:val="true"/>
          <w:lang w:bidi="ar-SA"/>
        </w:rPr>
        <w:t>.</w:t>
      </w:r>
    </w:p>
    <w:p>
      <w:pPr>
        <w:pStyle w:val="Heading6"/>
        <w:numPr>
          <w:ilvl w:val="5"/>
          <w:numId w:val="1"/>
        </w:numPr>
        <w:rPr/>
      </w:pPr>
      <w:bookmarkStart w:id="255" w:name="__RefHeading___Toc2684287_2870459653"/>
      <w:bookmarkStart w:id="256" w:name="_Toc94"/>
      <w:bookmarkEnd w:id="255"/>
      <w:r>
        <w:rPr>
          <w:rtl w:val="true"/>
        </w:rPr>
        <w:t>النقطة الثالثة</w:t>
      </w:r>
      <w:bookmarkEnd w:id="256"/>
    </w:p>
    <w:p>
      <w:pPr>
        <w:pStyle w:val="BookText"/>
        <w:rPr/>
      </w:pPr>
      <w:r>
        <w:rPr>
          <w:rFonts w:ascii="Amiri" w:hAnsi="Amiri" w:eastAsia="Amiri" w:cs="Amiri"/>
          <w:color w:val="111111"/>
          <w:sz w:val="28"/>
          <w:sz w:val="28"/>
          <w:szCs w:val="28"/>
          <w:rtl w:val="true"/>
          <w:lang w:bidi="ar-SA"/>
        </w:rPr>
        <w:t>إذا روى شخص عن آخر كتابه الحاوي على روايات متعددة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تعدّ روايات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حساب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متعددة أو تعد رواية واحدة؟</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مهم من جانبين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درجة تأثيره في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معاملتها معاملة الرواية الواحدة نحتاج الى تحديد أصحاب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الروايات هل من الكتاب أم من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كم كتاب روى عنه ونحو ذلك</w:t>
      </w:r>
      <w:r>
        <w:rPr>
          <w:rFonts w:eastAsia="Amiri" w:cs="Amiri" w:ascii="Amiri" w:hAnsi="Amiri"/>
          <w:color w:val="111111"/>
          <w:sz w:val="28"/>
          <w:szCs w:val="28"/>
          <w:rtl w:val="true"/>
          <w:lang w:bidi="ar-SA"/>
        </w:rPr>
        <w:t xml:space="preserve">. </w:t>
      </w:r>
      <w:bookmarkStart w:id="257" w:name="pg9087_85232"/>
    </w:p>
    <w:p>
      <w:pPr>
        <w:pStyle w:val="BookText"/>
        <w:rPr/>
      </w:pPr>
      <w:bookmarkEnd w:id="257"/>
      <w:r>
        <w:rPr>
          <w:rFonts w:ascii="Amiri" w:hAnsi="Amiri" w:eastAsia="Amiri" w:cs="Amiri"/>
          <w:color w:val="111111"/>
          <w:sz w:val="28"/>
          <w:sz w:val="28"/>
          <w:szCs w:val="28"/>
          <w:rtl w:val="true"/>
          <w:lang w:bidi="ar-SA"/>
        </w:rPr>
        <w:t>وفي مسألة إكثار الثقة الرواية عن 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تدل على الوثاقة أو لا؟ جزم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بأن رواية الكتاب تعد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قياس موردنا على ذلك المورد مع الفارق</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يبدو لي أنه يؤثر في زيادة الاحتمال؛ لأننا هنا نتعامل مع احتمالية كون هذه الرواية عن هذا، أو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كانت روايات أحدهما في الكتب أكثر ولو من كتاب واحد كانت احتمالية كون الرواية عنه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والوجدان يشهد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روى شخص عن زيد كتابه الحاوي على مائة رواية، وروى عن عمرو كتابه الحاوي على عشر روايات واشتبه حال إحدى الروايات هل هي عن زيد أو عن عمرو؟ هل يقال بتساوي قيمتي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التكافؤ هنا أيضا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للاحتمال التجريبي اعتبار روايات الكتاب روايات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سوف لا نعتني بكون الروايات قد أخذت من كتاب واحد، أو من كتابين، أو ليس من كتاب أصلاً</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2684289_2870459653"/>
      <w:bookmarkStart w:id="259" w:name="_Toc95"/>
      <w:bookmarkEnd w:id="258"/>
      <w:r>
        <w:rPr>
          <w:rtl w:val="true"/>
        </w:rPr>
        <w:t>النقطة الرابعة</w:t>
      </w:r>
      <w:bookmarkEnd w:id="259"/>
    </w:p>
    <w:p>
      <w:pPr>
        <w:pStyle w:val="BookText"/>
        <w:rPr/>
      </w:pPr>
      <w:r>
        <w:rPr>
          <w:rFonts w:ascii="Amiri" w:hAnsi="Amiri" w:eastAsia="Amiri" w:cs="Amiri"/>
          <w:color w:val="111111"/>
          <w:sz w:val="28"/>
          <w:sz w:val="28"/>
          <w:szCs w:val="28"/>
          <w:rtl w:val="true"/>
          <w:lang w:bidi="ar-SA"/>
        </w:rPr>
        <w:t>هل يمكن أن يعتمد على طرق الفهارس أو لا؟</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تصحيح الروايات لاستنباط الأحكام الشرعية فصَّل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بين 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فيقبله؛ لأنه ظاهر بوصول نسخة الكتاب بهذا الطريق، وبين ما إذا قال حدثنا بكتابه أو أخبرنا بكتابه فهو طريق </w:t>
      </w:r>
      <w:bookmarkStart w:id="260" w:name="pg9087_85233"/>
    </w:p>
    <w:p>
      <w:pPr>
        <w:pStyle w:val="BookText"/>
        <w:rPr/>
      </w:pPr>
      <w:bookmarkEnd w:id="260"/>
      <w:r>
        <w:rPr>
          <w:rFonts w:ascii="Amiri" w:hAnsi="Amiri" w:eastAsia="Amiri" w:cs="Amiri"/>
          <w:color w:val="111111"/>
          <w:sz w:val="28"/>
          <w:sz w:val="28"/>
          <w:szCs w:val="28"/>
          <w:rtl w:val="true"/>
          <w:lang w:bidi="ar-SA"/>
        </w:rPr>
        <w:t>لأصل الكتاب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والأساس في ذلك ما يطمئن به الممارس عند إمعان النظر في كتاب الفهرست للشيخ فإنه يعرف بذلك مصادر الشيخ عند تأليفه للفهرست وأنه اعتمد على فهارس الأصحاب ولم يعتمد على طرق النسخ الواصلة إليه من مؤلفات الأصحاب بشكل عام ويؤيده استبعاد وصول نسخ كل الكتب التي في الفهارس إلى أصحاب الفهارس وأي مكتبة تحوي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لا يُستبعد ذلك بالنسبة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الفهارس إنما ألفت لإثبات أصل وجود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المشهور قبول الطرق بلا تفصيل اعتماداً على إحالة الشيخ في آخر المشيخة إلى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فلان عن فلان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الإخبار بروايات الكتاب لا بأصل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الذي يهمنا هنا هل تؤثر طرق الفهارس في حساب الاحتمال</w:t>
      </w:r>
    </w:p>
    <w:p>
      <w:pPr>
        <w:pStyle w:val="BookText"/>
        <w:rPr/>
      </w:pPr>
      <w:r>
        <w:rPr>
          <w:rFonts w:ascii="IRNazanin" w:hAnsi="IRNazanin" w:eastAsia="IRNazanin"/>
          <w:color w:val="111111"/>
          <w:sz w:val="28"/>
          <w:sz w:val="28"/>
          <w:szCs w:val="28"/>
          <w:rtl w:val="true"/>
          <w:lang w:bidi="fa-IR"/>
        </w:rPr>
        <w:t>أم لا؟</w:t>
      </w:r>
    </w:p>
    <w:p>
      <w:pPr>
        <w:pStyle w:val="BookText"/>
        <w:rPr/>
      </w:pPr>
      <w:r>
        <w:rPr>
          <w:rFonts w:ascii="Amiri" w:hAnsi="Amiri" w:eastAsia="Amiri" w:cs="Amiri"/>
          <w:color w:val="111111"/>
          <w:sz w:val="28"/>
          <w:sz w:val="28"/>
          <w:szCs w:val="28"/>
          <w:rtl w:val="true"/>
          <w:lang w:bidi="ar-SA"/>
        </w:rPr>
        <w:t>لعل الأمر يختلف باختلاف القولين السابقين ونحن إن شاء الله تعالى سوف نراعي ذلك في دراسة مشايخ ابن سماعة ونشير إلى أن الروايات هل وردت في كتب الحديث أم في الفهارس، وكذلك سوف نحسب الاحتمال على الحالتين</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2684291_2870459653"/>
      <w:bookmarkStart w:id="262" w:name="_Toc96"/>
      <w:bookmarkEnd w:id="261"/>
      <w:r>
        <w:rPr>
          <w:rtl w:val="true"/>
        </w:rPr>
        <w:t>النقطة الخامسة</w:t>
      </w:r>
      <w:bookmarkEnd w:id="262"/>
    </w:p>
    <w:p>
      <w:pPr>
        <w:pStyle w:val="BookText"/>
        <w:rPr/>
      </w:pPr>
      <w:r>
        <w:rPr>
          <w:rFonts w:ascii="Amiri" w:hAnsi="Amiri" w:eastAsia="Amiri" w:cs="Amiri"/>
          <w:color w:val="111111"/>
          <w:sz w:val="28"/>
          <w:sz w:val="28"/>
          <w:szCs w:val="28"/>
          <w:rtl w:val="true"/>
          <w:lang w:bidi="ar-SA"/>
        </w:rPr>
        <w:t>بأي دائرة نحسب الاحتمال؟</w:t>
      </w:r>
    </w:p>
    <w:p>
      <w:pPr>
        <w:pStyle w:val="BookText"/>
        <w:rPr/>
      </w:pPr>
      <w:r>
        <w:rPr>
          <w:rFonts w:ascii="Amiri" w:hAnsi="Amiri" w:eastAsia="Amiri" w:cs="Amiri"/>
          <w:color w:val="111111"/>
          <w:sz w:val="28"/>
          <w:sz w:val="28"/>
          <w:szCs w:val="28"/>
          <w:rtl w:val="true"/>
          <w:lang w:bidi="ar-SA"/>
        </w:rPr>
        <w:t>تقدَّم أن الأصح اعتماد عدد روايات المشايخ المعتمدين، وعدد روايات غيرهم في عملية حساب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يعتمد على عدد نفس المشايخ المعتمدين وعدد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يبقى سؤال آخر مهم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يعتمد في الحساب على خصوص مَن روى عن أبان من مشايخ ابن سماعة، أم يمكن الاعتماد على مطلق مشايخ ابن سماعة؟</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بالاعتماد على خصوص من روى عن أبان من مشايخ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نحسب الروايات في الدائرة الضيقة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خصوص روايات </w:t>
      </w:r>
    </w:p>
    <w:p>
      <w:pPr>
        <w:pStyle w:val="BookText"/>
        <w:rPr/>
      </w:pPr>
      <w:r>
        <w:rPr>
          <w:rFonts w:ascii="Amiri" w:hAnsi="Amiri" w:eastAsia="Amiri" w:cs="Amiri"/>
          <w:color w:val="111111"/>
          <w:sz w:val="28"/>
          <w:sz w:val="28"/>
          <w:szCs w:val="28"/>
          <w:rtl w:val="true"/>
          <w:lang w:bidi="ar-SA"/>
        </w:rPr>
        <w:t>ابن سماعة بالواسطة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نتعدى إلى روايات ابن سماعة عن المشايخ الذين توسطوا بينه وبين أبان، وإن كانت الرواية عن غير أبان؟</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ثلاث دوائر متداخلة أوسعها دائرة جميع روايات ابن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وأضيق منها دائرة رواياته عن خصوص من روى عن أبان من مشايخه، وهي تشمل رواياته عن مشايخه الذين رووا عن أبان، وإن كانت عن غير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وأضيق منهما دائرة خصوص روايات ابن سماعة عن أبان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الأقوى ما ذهب إليه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xml:space="preserve">من أن المتعيّن الحساب في حدود الدائرة الأضيق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موردنا يكون بملاحظة حدود دائرة روايات ابن سماعة عن أبان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القول بصحة الحساب بملاحظة روايات ابن سماعة عن خصوص مشايخه الذين رووا عن أبان، ولو لم تكن الرواية عن أبان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يطمأن بكونه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يقال انتصاراً للقول بإدخال كل المشايخ أنى لنا نفي احتمال أن يكون بعض من روى عنه ابن سماعة عن غير أبان قد وقع في بعض الطرق ذات الواسطة المبهمة بين ابن سماعة وأبان، والقول بأن احتماله كاحتمال أي شخص في طبقة مشايخ ابن سماعة وإن لم يرو عنه ابن سماعة أصلاً هذا القول لا أظن أن المنصف يرتضيه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اقتصرنا على دائرة من رووا عن أبان لا تكون الحوادث شاملة، فلا تكون قيمة الاحتمال 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لقائل أن يقول نسلّم الاحتمال، لكنه من الضعف بمكان لا يسمح بإدخاله في مقابل احتمال الرواة الذين وقعوا في الأسانيد بين ابن سماعة وأبان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وقوع مجموعة من مشايخ ابن سماعة في طريق </w:t>
      </w:r>
      <w:bookmarkStart w:id="263" w:name="pg9087_85235"/>
    </w:p>
    <w:p>
      <w:pPr>
        <w:pStyle w:val="BookText"/>
        <w:rPr/>
      </w:pPr>
      <w:bookmarkEnd w:id="263"/>
      <w:r>
        <w:rPr>
          <w:rFonts w:ascii="Amiri" w:hAnsi="Amiri" w:eastAsia="Amiri" w:cs="Amiri"/>
          <w:color w:val="111111"/>
          <w:sz w:val="28"/>
          <w:sz w:val="28"/>
          <w:szCs w:val="28"/>
          <w:rtl w:val="true"/>
          <w:lang w:bidi="ar-SA"/>
        </w:rPr>
        <w:t>رواياته عن أبان يوجب إلغاء احتمال توسطهم بينهما على أساس الاحتمال التجريبي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سنحسب الاحتمال بمشيئة الله تعالى على ثلاثة مستويات بحسب الدوائر الثلاث المتقدمة تعميماً للفائدة، ومراعاة لاختلاف الأنظار</w:t>
      </w:r>
      <w:r>
        <w:rPr>
          <w:rFonts w:eastAsia="Amiri" w:cs="Amiri" w:ascii="Amiri" w:hAnsi="Amiri"/>
          <w:color w:val="111111"/>
          <w:sz w:val="28"/>
          <w:szCs w:val="28"/>
          <w:rtl w:val="true"/>
          <w:lang w:bidi="ar-SA"/>
        </w:rPr>
        <w:t>.</w:t>
      </w:r>
    </w:p>
    <w:p>
      <w:pPr>
        <w:pStyle w:val="Heading6"/>
        <w:numPr>
          <w:ilvl w:val="5"/>
          <w:numId w:val="1"/>
        </w:numPr>
        <w:rPr/>
      </w:pPr>
      <w:bookmarkStart w:id="264" w:name="__RefHeading___Toc2684293_2870459653"/>
      <w:bookmarkStart w:id="265" w:name="_Toc97"/>
      <w:bookmarkEnd w:id="264"/>
      <w:r>
        <w:rPr>
          <w:rtl w:val="true"/>
        </w:rPr>
        <w:t>النقطة السادسة</w:t>
      </w:r>
      <w:bookmarkEnd w:id="265"/>
    </w:p>
    <w:p>
      <w:pPr>
        <w:pStyle w:val="BookText"/>
        <w:rPr/>
      </w:pPr>
      <w:r>
        <w:rPr>
          <w:rFonts w:ascii="Amiri" w:hAnsi="Amiri" w:eastAsia="Amiri" w:cs="Amiri"/>
          <w:color w:val="111111"/>
          <w:sz w:val="28"/>
          <w:sz w:val="28"/>
          <w:szCs w:val="28"/>
          <w:rtl w:val="true"/>
          <w:lang w:bidi="ar-SA"/>
        </w:rPr>
        <w:t>الطريقة الصحيحة لحساب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الطريقة الصحيحة لحساب الاحتمال في مورد بحثنا هي التي تعتمد على الاحتمال الشرطي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فالحوادث هنا غير مستقلة؛ لأن احتمال أن يكون الراوي الثاني من غير الثقات يتأثر بحالة الراوي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 أن الأول من غير الثقات فاحتمال أن يكون الثاني منهم أيضاً أقل، واحتمال كون الثالث من غير الثقات يتأثر بحالة الأول وبحالة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فرضناهما من غير الثقات فاحتمال أن يكون الثالث منهم أيضاً يقل عن احتمال الثاني، كما يظهر مما تقدّم في التمهيد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ولمزيد من التوضيح نضرب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فرضنا أن لراوٍ معين عشرين شيخاً روى عن كل واحد منهم رواية واحدة، وكان خمسة منهم غير ثقات والباقي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روى رواية عن ثلاثة غير معينين منهم يمكن حساب احتمال أن يكون الثلاثة من غير الثقات بالطريقة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أن يكون الأول من غير الثقات يساوي نسبة الحالات المواتية إلى الحالات الممكنة أي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أن يكون الثاني من غير الثقات أيضاً يساوي نسبة الحالات المواتية بعد فرض كون الأول من غير الثقات إلى الحالات الممكنة بعد ذلك الفرض ويساوي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احتمال كون الثالث من غير الثقات أيضاً يساوي نسبة الحالات المواتية بعد الفرضين الى الحالات الممكنة بعدهما ويساوي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فقيمة احتمال أن يكون الثلاثة من غير الثقات يساوي حاصل ضرب هذه الاحتمالات ويساوي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حسابه بالطريقة التالية</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 صور الثلاثة في الخمسة، وصور الثلاثة في العشرين بالاعتماد على القانون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 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ن </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أعداد صحيحة</w:t>
      </w:r>
    </w:p>
    <w:p>
      <w:pPr>
        <w:pStyle w:val="BookText"/>
        <w:rPr/>
      </w:pPr>
      <w:r>
        <w:rPr>
          <w:rFonts w:ascii="Amiri" w:hAnsi="Amiri" w:eastAsia="Amiri" w:cs="Amiri"/>
          <w:color w:val="111111"/>
          <w:sz w:val="28"/>
          <w:sz w:val="28"/>
          <w:szCs w:val="28"/>
          <w:rtl w:val="true"/>
          <w:lang w:bidi="ar-SA"/>
        </w:rPr>
        <w:t>غير سالبة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العناصر الكلية وتمثل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العناصر المأخوذة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قن ر تقرأ عدد توافيق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العناصر مأخوذة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مرة</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يمثل عدد طرق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العناصر من مجموعة ن من العناصر دون الاهتمام لترتيب هذه العناصر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يصطلح عليه مفكوك 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نقسم عدد توافيق الخمسة مأخوذة ثلاثة في كل مرة على عدد توافيق العشرين مأخوذة ثلاثة في كل مرة، لينتج احتمالية كون الثلاثة جميعاً من غير الثقات أي وفق القانون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 { </w:t>
      </w:r>
      <w:r>
        <w:rPr>
          <w:rFonts w:eastAsia="IRNazanin" w:cs="IRNazanin"/>
          <w:color w:val="111111"/>
          <w:sz w:val="28"/>
          <w:szCs w:val="28"/>
          <w:lang w:bidi="fa-IR"/>
        </w:rPr>
        <w:t>20</w:t>
      </w:r>
      <w:r>
        <w:rPr>
          <w:rFonts w:eastAsia="IRNazanin" w:cs="IRNazanin"/>
          <w:color w:val="111111"/>
          <w:sz w:val="28"/>
          <w:szCs w:val="28"/>
          <w:rtl w:val="true"/>
          <w:lang w:bidi="fa-IR"/>
        </w:rPr>
        <w:t xml:space="preserve"> !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إذا اتضحت الأمور الثلاثة بمطالبها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مراعاة لما قدّمناه في النقطة الخامسة من الأمر الثالث سوف نحسب الاحتمال على ثلاثة مستويات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يراعى فيه جميع روايات ابن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فيه على خصوص روايات ابن سماعة عمّن روى عن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يقتصر فيه على روايات ابن سماعة عن أبان بالواسطة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المستوى الأول</w:t>
      </w:r>
    </w:p>
    <w:p>
      <w:pPr>
        <w:pStyle w:val="BookText"/>
        <w:rPr/>
      </w:pPr>
      <w:r>
        <w:rPr>
          <w:rFonts w:ascii="Amiri" w:hAnsi="Amiri" w:eastAsia="Amiri" w:cs="Amiri"/>
          <w:color w:val="111111"/>
          <w:sz w:val="28"/>
          <w:sz w:val="28"/>
          <w:szCs w:val="28"/>
          <w:rtl w:val="true"/>
          <w:lang w:bidi="ar-SA"/>
        </w:rPr>
        <w:t>حساب قيمة احتمال اجتماع ثلاثة من مشايخ ابن سماعة غير المعتمدين في سند فيه وسائط</w:t>
      </w:r>
    </w:p>
    <w:p>
      <w:pPr>
        <w:pStyle w:val="BookText"/>
        <w:rPr/>
      </w:pPr>
      <w:r>
        <w:rPr>
          <w:rFonts w:ascii="Amiri" w:hAnsi="Amiri" w:eastAsia="Amiri" w:cs="Amiri"/>
          <w:color w:val="111111"/>
          <w:sz w:val="28"/>
          <w:sz w:val="28"/>
          <w:szCs w:val="28"/>
          <w:rtl w:val="true"/>
          <w:lang w:bidi="ar-SA"/>
        </w:rPr>
        <w:t>مبهمة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الحساب نحتاج الى دراسة مفصلة لجميع مشايخ ابن سماعة وهي</w:t>
      </w:r>
      <w:r>
        <w:rPr>
          <w:rStyle w:val="FootnoteAnchor"/>
          <w:rtl w:val="true"/>
        </w:rPr>
        <w:footnoteReference w:id="31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لراو أكثر من عنوان روى به نكرر ذكره بحسب عناوينه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تحت كل عنوان عدد رواياته بذلك العنوان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سنشير إلى عناوينه الأخرى في كل عنوان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العناوين المتكررة لا يدخلون عملية الحساب إلا بعنوان واحد، لو اعتمد على عدد المشايخ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وتدخل رواياتهم بجميع العناوين، لو اعتمد عدد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سنشير إلى ذلك في غير العنوان الأول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الرواية في الفهارس مورد تردد هل تحسب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سنشير إلى ذلك بقولنا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رواياته على 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تفصيل المشايخ</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w:t>
      </w:r>
    </w:p>
    <w:p>
      <w:p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عثمان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روايته ولا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الكلام فيه في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عنه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الحميد</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ولكن يمكن أن يقال إن لإبراهيم بن عبد الحميد خصوصية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ممن امتد عمره بحيث يروي عنه ابن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عد الشيخ والبرقي إياه من أصحاب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يقال أن الشيخ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إبراهيم بن عبد الحميد من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أدرك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يسمع منه على قول 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فكأنه لم يرتضِ إدراكه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تمت الدلالة على التشكيك لعله يقبل أصل الإدراك ولا يشكك به، إلا أنه يشك في عدم سماعه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وردت روايته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المحاسن </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والكافي </w:t>
      </w:r>
      <w:r>
        <w:rPr>
          <w:rFonts w:eastAsia="IRNazanin" w:cs="IRNazanin"/>
          <w:color w:val="111111"/>
          <w:sz w:val="28"/>
          <w:szCs w:val="28"/>
          <w:rtl w:val="true"/>
          <w:lang w:bidi="fa-IR"/>
        </w:rPr>
        <w:t>(</w:t>
      </w:r>
      <w:r>
        <w:rPr>
          <w:rFonts w:eastAsia="IRNazanin" w:cs="IRNazanin"/>
          <w:color w:val="111111"/>
          <w:sz w:val="28"/>
          <w:szCs w:val="28"/>
          <w:lang w:bidi="fa-IR"/>
        </w:rPr>
        <w:t>4/143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6/253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ولكن الإشكال في رواية ابن سماعة عن إبراهيم لا يزال قائماً لأن ابن سماعة روى عن إبراهيم بواسطة جعفر بن سماعة في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7/107</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جعفر فقط – 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جهة أخرى هذا المورد الوحيد الذي تحوم حوله شبهة التصحيف، فإنها وإن وردت في تأويل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بن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نقلت عنه في البحار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تفسير كنز الدقائق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الأصل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محمد عن جعفر بن سماعة عن إبراهيم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مضافاً إلى أن إدراك إبراهيم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يعني أكثر من بقائه لمدة يسيرة لا تستوجب له خصوصية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ملاحظة أن الذين رووا عن إبراهيم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 يمكنهم الرواية عن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كمحمد بن أبي عمير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يتحدد أبو يوسف الراوي عنه في المحاسن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الميثمي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محمد</w:t>
      </w:r>
    </w:p>
    <w:p>
      <w:pPr>
        <w:pStyle w:val="BookText"/>
        <w:rPr/>
      </w:pPr>
      <w:r>
        <w:rPr>
          <w:rFonts w:ascii="Amiri" w:hAnsi="Amiri" w:eastAsia="Amiri" w:cs="Amiri"/>
          <w:color w:val="111111"/>
          <w:sz w:val="28"/>
          <w:sz w:val="28"/>
          <w:szCs w:val="28"/>
          <w:rtl w:val="true"/>
          <w:lang w:bidi="ar-SA"/>
        </w:rPr>
        <w:t>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بشر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كتب الحديث أربع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الحارث الأنماطي</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الحسن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محمد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ثلاث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الميثمي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محمد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ستاً وأربعين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محمد الميثمي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المفضل</w:t>
      </w:r>
    </w:p>
    <w:p>
      <w:pPr>
        <w:pStyle w:val="BookText"/>
        <w:rPr/>
      </w:pPr>
      <w:r>
        <w:rPr>
          <w:rFonts w:ascii="Amiri" w:hAnsi="Amiri" w:eastAsia="Amiri" w:cs="Amiri"/>
          <w:color w:val="111111"/>
          <w:sz w:val="28"/>
          <w:sz w:val="28"/>
          <w:szCs w:val="28"/>
          <w:rtl w:val="true"/>
          <w:lang w:bidi="ar-SA"/>
        </w:rPr>
        <w:t>تعد روايته على وجه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طريق النجاشي إلى كتب منصور ابن محمد بن عبد الله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عديستعد رواياته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 الحديث ثلاث 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w:t>
      </w:r>
    </w:p>
    <w:p>
      <w:pPr>
        <w:pStyle w:val="BookText"/>
        <w:rPr/>
      </w:pPr>
      <w:r>
        <w:rPr>
          <w:rFonts w:ascii="IRNazanin" w:hAnsi="IRNazanin" w:eastAsia="IRNazanin"/>
          <w:color w:val="111111"/>
          <w:sz w:val="28"/>
          <w:sz w:val="28"/>
          <w:szCs w:val="28"/>
          <w:rtl w:val="true"/>
          <w:lang w:bidi="fa-IR"/>
        </w:rPr>
        <w:t>الظاهر أن المراد به إسحاق بن عمار</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بكر الحضرمي</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 سمال</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عبد الخالق</w:t>
      </w:r>
    </w:p>
    <w:p>
      <w:pPr>
        <w:pStyle w:val="BookText"/>
        <w:rPr/>
      </w:pPr>
      <w:r>
        <w:rPr>
          <w:rFonts w:ascii="Amiri" w:hAnsi="Amiri" w:eastAsia="Amiri" w:cs="Amiri"/>
          <w:color w:val="111111"/>
          <w:sz w:val="28"/>
          <w:sz w:val="28"/>
          <w:szCs w:val="28"/>
          <w:rtl w:val="true"/>
          <w:lang w:bidi="ar-SA"/>
        </w:rPr>
        <w:t>تعد روايته</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المطلب الرابع من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رواية واحدة في كتب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بن نوح</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الإسكاف</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الصائغ</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 الحديث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المعبراني</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بعنوان جعفر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سماعة</w:t>
      </w:r>
      <w:r>
        <w:rPr>
          <w:rStyle w:val="FootnoteAnchor"/>
          <w:rtl w:val="true"/>
        </w:rPr>
        <w:footnoteReference w:id="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ثمان عشرة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سماعة</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والثمرة لا تظهر في الوثاقة لرواية صفوان عن جعفر بن سماعة فهو ثقة أيّاً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تظهر في الصحيح من حساب الاحتمال لوثاقة العنوانين على تقدير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على القول بكفاية الاعتماد على عدد المشايخ تظهر 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القول بالتعدد يزيد عدد المشايخ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ثلاثاً وأربعين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مثنى العطار</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 الحديث رواية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الصيقل</w:t>
      </w:r>
    </w:p>
    <w:p>
      <w:pPr>
        <w:pStyle w:val="BookText"/>
        <w:rPr/>
      </w:pPr>
      <w:r>
        <w:rPr>
          <w:rFonts w:ascii="Amiri" w:hAnsi="Amiri" w:eastAsia="Amiri" w:cs="Amiri"/>
          <w:color w:val="111111"/>
          <w:sz w:val="28"/>
          <w:sz w:val="28"/>
          <w:szCs w:val="28"/>
          <w:rtl w:val="true"/>
          <w:lang w:bidi="ar-SA"/>
        </w:rPr>
        <w:t>تعد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سماعة</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عباس</w:t>
      </w:r>
      <w:r>
        <w:rPr>
          <w:rStyle w:val="FootnoteAnchor"/>
          <w:rtl w:val="true"/>
        </w:rPr>
        <w:footnoteReference w:id="333"/>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أيوب</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ولكن لا يمكن الاعتماد على شيء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حذيفة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حذيفة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حذيفة بن منصور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 الحديث رواية</w:t>
      </w:r>
    </w:p>
    <w:p>
      <w:pPr>
        <w:pStyle w:val="BookText"/>
        <w:rPr/>
      </w:pP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حماد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حماد بن عديس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عديس</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اتحاد الحسن بن عديس مع الحسن بن حماد بن عديس لاتحادهما في الراوي عنهما وهو ابن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عن الحسن بن عديس عن إسحاق بن عمار في</w:t>
      </w:r>
    </w:p>
    <w:p>
      <w:pPr>
        <w:pStyle w:val="BookText"/>
        <w:rPr/>
      </w:pP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أبان في الاستبصار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الحسن بن حماد ابن عديس عن إسحاق بن عمار في الكافي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عن عمران بن حران في رجال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من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ثانية لاشتراكهما في الرواية عن إسحاق ابن عمار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جهة ثالثة لغرابة اسم عديس، فربما نسب الشخص إلى جده إذا كان اسم الجد غريبا فنفس غرابة الاسم تبعد من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الخطوة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اتحاد الحسن بن عديس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اتحاده مع الحسن بن حماد بن عديس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الحسن بن حماد لاشتراكهما في رواية ابن سماعة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روى عن الحسن بن حماد عن أبان في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طبعة تقدم في الكلام عن تفسير العدّة أن ما فيها هو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واشتراكهما في روايتهما عن أبان كما ظهر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تظهر ثمرة مهمة في الاتحاد وعدمه على الأصح، فإنه إذا بنينا على الاعتماد على عدد الروايات في حساب الاحتمال لا يؤثر اتحادهم أو عدمه شيئاً؛ لأنهم جميعاً غير 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يؤثر بناءً على اعتماد عدد المشايخ في حساب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ويؤثر أيضاً في عدد المتوسطين بين ابن سماعة وبين أبان من الضعاف في المستوى الثالث لو أردنا حل المشكلة بلا رجوع إلى حساب الاحتمال، وإنما بالاعتماد على مجرد كون المراد من غير واحد مالا يقل عن ثلاثة، ولا يوجد ثلاثة غير موثقين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عملياً لا أثر لأن المتوسطين من الضعاف لا يقل عن ثلاثة حتى لو حكمنا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وأن الصحيح اعتماد عدد الروايات وليس عدد المشايخ</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حماد بن عديس</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w:t>
      </w:r>
    </w:p>
    <w:p>
      <w:pPr>
        <w:pStyle w:val="BookText"/>
        <w:rPr/>
      </w:pPr>
      <w:r>
        <w:rPr>
          <w:rFonts w:ascii="Amiri" w:hAnsi="Amiri" w:eastAsia="Amiri" w:cs="Amiri"/>
          <w:color w:val="111111"/>
          <w:sz w:val="28"/>
          <w:sz w:val="28"/>
          <w:szCs w:val="28"/>
          <w:rtl w:val="true"/>
          <w:lang w:bidi="ar-SA"/>
        </w:rPr>
        <w:t xml:space="preserve">كتب الحديث رواية واحدة وأخرى في الفهارس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عديس</w:t>
      </w:r>
    </w:p>
    <w:p>
      <w:pPr>
        <w:pStyle w:val="BookText"/>
        <w:rPr/>
      </w:pPr>
      <w:r>
        <w:rPr>
          <w:rFonts w:ascii="Amiri" w:hAnsi="Amiri" w:eastAsia="Amiri" w:cs="Amiri"/>
          <w:color w:val="111111"/>
          <w:sz w:val="28"/>
          <w:sz w:val="28"/>
          <w:szCs w:val="28"/>
          <w:rtl w:val="true"/>
          <w:lang w:bidi="ar-SA"/>
        </w:rPr>
        <w:t>تعد روايتاه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يوسف</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الحسن بن علي بن بقاح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روايتاه ولا عنوانه</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w:t>
      </w:r>
    </w:p>
    <w:p>
      <w:pPr>
        <w:pStyle w:val="BookText"/>
        <w:rPr/>
      </w:pPr>
      <w:r>
        <w:rPr>
          <w:rFonts w:ascii="Amiri" w:hAnsi="Amiri" w:eastAsia="Amiri" w:cs="Amiri"/>
          <w:color w:val="111111"/>
          <w:sz w:val="28"/>
          <w:sz w:val="28"/>
          <w:szCs w:val="28"/>
          <w:rtl w:val="true"/>
          <w:lang w:bidi="ar-SA"/>
        </w:rPr>
        <w:t>الحديث 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محبوب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ثماني عشرة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التيملي</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 الحديث رواية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معاوية بن وهب</w:t>
      </w:r>
    </w:p>
    <w:p>
      <w:pPr>
        <w:pStyle w:val="BookText"/>
        <w:rPr/>
      </w:pPr>
      <w:r>
        <w:rPr>
          <w:rFonts w:ascii="Amiri" w:hAnsi="Amiri" w:eastAsia="Amiri" w:cs="Amiri"/>
          <w:color w:val="111111"/>
          <w:sz w:val="28"/>
          <w:sz w:val="28"/>
          <w:szCs w:val="28"/>
          <w:rtl w:val="true"/>
          <w:lang w:bidi="ar-SA"/>
        </w:rPr>
        <w:t>تعد روايتاه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هاشم</w:t>
      </w:r>
    </w:p>
    <w:p>
      <w:pPr>
        <w:pStyle w:val="BookText"/>
        <w:rPr/>
      </w:pPr>
      <w:r>
        <w:rPr>
          <w:rFonts w:ascii="Amiri" w:hAnsi="Amiri" w:eastAsia="Amiri" w:cs="Amiri"/>
          <w:color w:val="111111"/>
          <w:sz w:val="28"/>
          <w:sz w:val="28"/>
          <w:szCs w:val="28"/>
          <w:rtl w:val="true"/>
          <w:lang w:bidi="ar-SA"/>
        </w:rPr>
        <w:t>لا تعد روايته</w:t>
      </w:r>
      <w:r>
        <w:rPr>
          <w:rStyle w:val="FootnoteAnchor"/>
          <w:rtl w:val="true"/>
        </w:rPr>
        <w:footnoteReference w:id="340"/>
      </w:r>
      <w:r>
        <w:rPr>
          <w:rFonts w:ascii="Amiri" w:hAnsi="Amiri" w:eastAsia="Amiri" w:cs="Amiri"/>
          <w:color w:val="111111"/>
          <w:sz w:val="28"/>
          <w:sz w:val="28"/>
          <w:szCs w:val="28"/>
          <w:rtl w:val="true"/>
          <w:lang w:bidi="ar-SA"/>
        </w:rPr>
        <w:t>ولاعنوانه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مصحف حسين بن هاشم الآتي</w:t>
      </w:r>
      <w:r>
        <w:rPr>
          <w:rStyle w:val="FootnoteAnchor"/>
          <w:rtl w:val="true"/>
        </w:rPr>
        <w:footnoteReference w:id="3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هاشم، وهو الصحيح بقرينة سائر الروايات وهو الموافق للوسائل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المناسب للطبعة القديمة من التهذيب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هشام</w:t>
      </w:r>
    </w:p>
    <w:p>
      <w:pPr>
        <w:pStyle w:val="BookText"/>
        <w:rPr/>
      </w:pP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تصحيف الحسين بن هاشم الآتي</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باسم الحسن بن هشام مع قرب رسمي خطي هاشم وهشام خصوصاً في السابق</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حماد بن عديس</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رواية واحدة في كتب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أيوب</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طريق الشيخ في الفهرست إلى كتابه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مثنى 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على 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هاشم</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 الحديث ثماني عشرة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الفهارس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حكيم</w:t>
      </w:r>
    </w:p>
    <w:p>
      <w:pPr>
        <w:pStyle w:val="BookText"/>
        <w:rPr/>
      </w:pPr>
      <w:r>
        <w:rPr>
          <w:rFonts w:ascii="Amiri" w:hAnsi="Amiri" w:eastAsia="Amiri" w:cs="Amiri"/>
          <w:color w:val="111111"/>
          <w:sz w:val="28"/>
          <w:sz w:val="28"/>
          <w:szCs w:val="28"/>
          <w:rtl w:val="true"/>
          <w:lang w:bidi="ar-SA"/>
        </w:rPr>
        <w:t>لا تعد روايته و لا عنوانه</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الفهارس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تعد روايته ولاعنوانه</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حمران</w:t>
      </w:r>
    </w:p>
    <w:p>
      <w:pPr>
        <w:pStyle w:val="BookText"/>
        <w:rPr/>
      </w:pPr>
      <w:r>
        <w:rPr>
          <w:rFonts w:ascii="Amiri" w:hAnsi="Amiri" w:eastAsia="Amiri" w:cs="Amiri"/>
          <w:color w:val="111111"/>
          <w:sz w:val="28"/>
          <w:sz w:val="28"/>
          <w:szCs w:val="28"/>
          <w:rtl w:val="true"/>
          <w:lang w:bidi="ar-SA"/>
        </w:rPr>
        <w:t>لا تعد روايته ولاعنوانه</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شعيب</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بن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روايتاه و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 الحديث أربع</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خلاد بن خالد</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راشد بن يزيد المدني</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عمرو</w:t>
      </w:r>
    </w:p>
    <w:p>
      <w:pPr>
        <w:pStyle w:val="BookText"/>
        <w:rPr/>
      </w:pPr>
      <w:r>
        <w:rPr>
          <w:rFonts w:ascii="Amiri" w:hAnsi="Amiri" w:eastAsia="Amiri" w:cs="Amiri"/>
          <w:color w:val="111111"/>
          <w:sz w:val="28"/>
          <w:sz w:val="28"/>
          <w:szCs w:val="28"/>
          <w:rtl w:val="true"/>
          <w:lang w:bidi="ar-SA"/>
        </w:rPr>
        <w:t>تعد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بن محمد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أربع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وثاقته نظر</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 التمار</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بأن سيف بن المغيرة لا نعرف له ولا رواية ليس كما ينبغي، فإن ما بأيدينا من</w:t>
      </w:r>
    </w:p>
    <w:p>
      <w:pPr>
        <w:pStyle w:val="BookText"/>
        <w:rPr/>
      </w:pPr>
      <w:r>
        <w:rPr>
          <w:rFonts w:ascii="Amiri" w:hAnsi="Amiri" w:eastAsia="Amiri" w:cs="Amiri"/>
          <w:color w:val="111111"/>
          <w:sz w:val="28"/>
          <w:sz w:val="28"/>
          <w:szCs w:val="28"/>
          <w:rtl w:val="true"/>
          <w:lang w:bidi="ar-SA"/>
        </w:rPr>
        <w:t xml:space="preserve">الروايات كلها بعنوان سيف التمار فليس هناك رواية واحدة وردت بعنوان سيف بن سليمان التمار، ولا بعنوان سيف بن المغيرة التمار فكيف نفى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الروايات لابن</w:t>
      </w:r>
    </w:p>
    <w:p>
      <w:pPr>
        <w:pStyle w:val="BookText"/>
        <w:rPr/>
      </w:pPr>
      <w:r>
        <w:rPr>
          <w:rFonts w:ascii="Amiri" w:hAnsi="Amiri" w:eastAsia="Amiri" w:cs="Amiri"/>
          <w:color w:val="111111"/>
          <w:sz w:val="28"/>
          <w:sz w:val="28"/>
          <w:szCs w:val="28"/>
          <w:rtl w:val="true"/>
          <w:lang w:bidi="ar-SA"/>
        </w:rPr>
        <w:t xml:space="preserve">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يمكن الركون لما انتهى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الثمرة إنما تظهر لو لم نقبل بكفاية رواية ابن أبي عمير وأخويه في التوثيق، فإن ابن سليمان قد وثقه النجاشي ولم يوثق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على قبول دلالة رواية الثلاثة على الوثاقة فلا ثمرة لا من ناحية الوثاقة؛ لأن ابن أبي عمير وصفوان رويا عن سيف التمار كما سيأتي فهو ثقة أيّاً كان، ولا من ناحية حساب الاحتمال فالروايات بعنوان سيف التمار فقط ولا توجد رواية بأحد العنوانين المقيدين حتى يأتي احتمال تعدد العنوان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تعد روايته ولاعنوانه </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الفهارس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ثقة</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بن أعين الحداد</w:t>
      </w:r>
    </w:p>
    <w:p>
      <w:pPr>
        <w:pStyle w:val="BookText"/>
        <w:rPr/>
      </w:pPr>
      <w:r>
        <w:rPr>
          <w:rFonts w:ascii="Amiri" w:hAnsi="Amiri" w:eastAsia="Amiri" w:cs="Amiri"/>
          <w:color w:val="111111"/>
          <w:sz w:val="28"/>
          <w:sz w:val="28"/>
          <w:szCs w:val="28"/>
          <w:rtl w:val="true"/>
          <w:lang w:bidi="ar-SA"/>
        </w:rPr>
        <w:t>لا تعد روايته و لا عنوانه</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الفهرست في ترجمته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خالد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خمساً وعشرين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 تعد رواياته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 الحديث أربعاً وأربعين رواية وفي الفهارس ثلاث 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يحيى</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سبعاً وعشرين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جبلة</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روايتاه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القاسم</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كتب الحديث ستين رواية وفي الفهارس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بن عتبة الهاشمي</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الملك بن عتبة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إذن تثبت رواية ابن سماعة عن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كان فالهاشمي روى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فتبعد رواية ابن سماعة عنه وإن أدرك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والصيرفي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فتبعد رواية ابن سماعة عنه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 بن هاشم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اثنتي عشرة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جعفر</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محرز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الفهرست رواية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للقول بوثاقته وجه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ثلاث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جهمة</w:t>
      </w:r>
    </w:p>
    <w:p>
      <w:pPr>
        <w:pStyle w:val="BookText"/>
        <w:rPr/>
      </w:pPr>
      <w:r>
        <w:rPr>
          <w:rFonts w:ascii="Amiri" w:hAnsi="Amiri" w:eastAsia="Amiri" w:cs="Amiri"/>
          <w:color w:val="111111"/>
          <w:sz w:val="28"/>
          <w:sz w:val="28"/>
          <w:szCs w:val="28"/>
          <w:rtl w:val="true"/>
          <w:lang w:bidi="ar-SA"/>
        </w:rPr>
        <w:t>تعد روايته وعنوانه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الفهارس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لا تعد روايته ولا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الطاطري</w:t>
      </w:r>
    </w:p>
    <w:p>
      <w:pPr>
        <w:pStyle w:val="BookText"/>
        <w:rPr/>
      </w:pPr>
      <w:r>
        <w:rPr>
          <w:rFonts w:ascii="Amiri" w:hAnsi="Amiri" w:eastAsia="Amiri" w:cs="Amiri"/>
          <w:color w:val="111111"/>
          <w:sz w:val="28"/>
          <w:sz w:val="28"/>
          <w:szCs w:val="28"/>
          <w:rtl w:val="true"/>
          <w:lang w:bidi="ar-SA"/>
        </w:rPr>
        <w:t>لا تعد روايته ولاعنوانه</w:t>
      </w:r>
      <w:r>
        <w:rPr>
          <w:rStyle w:val="FootnoteAnchor"/>
          <w:rtl w:val="true"/>
        </w:rPr>
        <w:footnoteReference w:id="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في كتب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حماد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حماد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حماد بن ميمون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p>
    <w:p>
      <w:pPr>
        <w:pStyle w:val="BookText"/>
        <w:rPr/>
      </w:pP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رباط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سبع روايات، وفي الفهارس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فضال</w:t>
      </w:r>
    </w:p>
    <w:p>
      <w:pPr>
        <w:pStyle w:val="BookText"/>
        <w:rPr/>
      </w:pPr>
      <w:r>
        <w:rPr>
          <w:rFonts w:ascii="Amiri" w:hAnsi="Amiri" w:eastAsia="Amiri" w:cs="Amiri"/>
          <w:color w:val="111111"/>
          <w:sz w:val="28"/>
          <w:sz w:val="28"/>
          <w:szCs w:val="28"/>
          <w:rtl w:val="true"/>
          <w:lang w:bidi="ar-SA"/>
        </w:rPr>
        <w:t>تعد روايته دون عنوانه</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النعمان</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حديد</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تعد روايته ولاعنوانه</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رواية واحدة في كتب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خالد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خالد العاقولي 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ثلاث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خالد العاقولي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رباط</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ثماني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سكن</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شجرة</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لا تعد روايته ولا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مسكين</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لا تعد روايتاه ولا عنوانه</w:t>
      </w:r>
      <w:r>
        <w:rPr>
          <w:rStyle w:val="FootnoteAnchor"/>
          <w:rtl w:val="true"/>
        </w:rPr>
        <w:footnoteReference w:id="3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ميمون الصائغ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أبان الكلبي</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روى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واسطة كما في بصائر الدرجات للصفار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ورواها في الكافي </w:t>
      </w:r>
      <w:r>
        <w:rPr>
          <w:rFonts w:eastAsia="IRNazanin" w:cs="IRNazanin"/>
          <w:color w:val="111111"/>
          <w:sz w:val="28"/>
          <w:szCs w:val="28"/>
          <w:rtl w:val="true"/>
          <w:lang w:bidi="fa-IR"/>
        </w:rPr>
        <w:t>(</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أن المعهود رواية الطبقة السادسة كفضالة بن أيوب الكافي </w:t>
      </w:r>
      <w:r>
        <w:rPr>
          <w:rFonts w:eastAsia="IRNazanin" w:cs="IRNazanin"/>
          <w:color w:val="111111"/>
          <w:sz w:val="28"/>
          <w:szCs w:val="28"/>
          <w:rtl w:val="true"/>
          <w:lang w:bidi="fa-IR"/>
        </w:rPr>
        <w:t>(</w:t>
      </w:r>
      <w:r>
        <w:rPr>
          <w:rFonts w:eastAsia="IRNazanin" w:cs="IRNazanin"/>
          <w:color w:val="111111"/>
          <w:sz w:val="28"/>
          <w:szCs w:val="28"/>
          <w:lang w:bidi="fa-IR"/>
        </w:rPr>
        <w:t>6/418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والحسن بن محبوب الكافي </w:t>
      </w:r>
      <w:r>
        <w:rPr>
          <w:rFonts w:eastAsia="IRNazanin" w:cs="IRNazanin"/>
          <w:color w:val="111111"/>
          <w:sz w:val="28"/>
          <w:szCs w:val="28"/>
          <w:rtl w:val="true"/>
          <w:lang w:bidi="fa-IR"/>
        </w:rPr>
        <w:t>(</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وجعفر بن بشير الكافي </w:t>
      </w:r>
      <w:r>
        <w:rPr>
          <w:rFonts w:eastAsia="IRNazanin" w:cs="IRNazanin"/>
          <w:color w:val="111111"/>
          <w:sz w:val="28"/>
          <w:szCs w:val="28"/>
          <w:rtl w:val="true"/>
          <w:lang w:bidi="fa-IR"/>
        </w:rPr>
        <w:t>(</w:t>
      </w:r>
      <w:r>
        <w:rPr>
          <w:rFonts w:eastAsia="IRNazanin" w:cs="IRNazanin"/>
          <w:color w:val="111111"/>
          <w:sz w:val="28"/>
          <w:szCs w:val="28"/>
          <w:lang w:bidi="fa-IR"/>
        </w:rPr>
        <w:t>5/461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أذينة</w:t>
      </w:r>
    </w:p>
    <w:p>
      <w:pPr>
        <w:pStyle w:val="BookText"/>
        <w:rPr/>
      </w:pPr>
      <w:r>
        <w:rPr>
          <w:rFonts w:ascii="Amiri" w:hAnsi="Amiri" w:eastAsia="Amiri" w:cs="Amiri"/>
          <w:color w:val="111111"/>
          <w:sz w:val="28"/>
          <w:sz w:val="28"/>
          <w:szCs w:val="28"/>
          <w:rtl w:val="true"/>
          <w:lang w:bidi="ar-SA"/>
        </w:rPr>
        <w:t>لا تعد روايته و لا عنوانه</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حمران</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حريث</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لا تعد روايته ولاعنوانه</w:t>
      </w:r>
      <w:r>
        <w:rPr>
          <w:rStyle w:val="FootnoteAnchor"/>
          <w:rtl w:val="true"/>
        </w:rPr>
        <w:footnoteReference w:id="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أعين</w:t>
      </w:r>
    </w:p>
    <w:p>
      <w:pPr>
        <w:pStyle w:val="BookText"/>
        <w:rPr/>
      </w:pPr>
      <w:r>
        <w:rPr>
          <w:rFonts w:ascii="Amiri" w:hAnsi="Amiri" w:eastAsia="Amiri" w:cs="Amiri"/>
          <w:color w:val="111111"/>
          <w:sz w:val="28"/>
          <w:sz w:val="28"/>
          <w:szCs w:val="28"/>
          <w:rtl w:val="true"/>
          <w:lang w:bidi="ar-SA"/>
        </w:rPr>
        <w:t>تعد روايته وعنوانه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كتابه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فضالة</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 بن عثمان الصيرفي</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روايته و عنوانه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كتابه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مثنى بن راشد</w:t>
      </w:r>
    </w:p>
    <w:p>
      <w:pPr>
        <w:pStyle w:val="BookText"/>
        <w:rPr/>
      </w:pPr>
      <w:r>
        <w:rPr>
          <w:rFonts w:ascii="Amiri" w:hAnsi="Amiri" w:eastAsia="Amiri" w:cs="Amiri"/>
          <w:color w:val="111111"/>
          <w:sz w:val="28"/>
          <w:sz w:val="28"/>
          <w:szCs w:val="28"/>
          <w:rtl w:val="true"/>
          <w:lang w:bidi="ar-SA"/>
        </w:rPr>
        <w:t>تعد روايته و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كتابه في رجال النجاشي والفهرست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بن أحمد</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الكافي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أبي عمير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على الأقرب</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وثلاث روايات في الفهارس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أبي يونس</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أحمد</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لا تعد روايته ولا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w:t>
      </w:r>
    </w:p>
    <w:p>
      <w:pPr>
        <w:pStyle w:val="BookText"/>
        <w:rPr/>
      </w:pPr>
      <w:r>
        <w:rPr>
          <w:rFonts w:ascii="Amiri" w:hAnsi="Amiri" w:eastAsia="Amiri" w:cs="Amiri"/>
          <w:color w:val="111111"/>
          <w:sz w:val="28"/>
          <w:sz w:val="28"/>
          <w:szCs w:val="28"/>
          <w:rtl w:val="true"/>
          <w:lang w:bidi="ar-SA"/>
        </w:rPr>
        <w:t>تعد رواياته و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خمس عشرة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العطار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زياد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زياد العطار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روايتاه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وفي الفهارس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العباس</w:t>
      </w:r>
    </w:p>
    <w:p>
      <w:pPr>
        <w:pStyle w:val="BookText"/>
        <w:rPr/>
      </w:pPr>
      <w:r>
        <w:rPr>
          <w:rFonts w:ascii="Amiri" w:hAnsi="Amiri" w:eastAsia="Amiri" w:cs="Amiri"/>
          <w:color w:val="111111"/>
          <w:sz w:val="28"/>
          <w:sz w:val="28"/>
          <w:szCs w:val="28"/>
          <w:rtl w:val="true"/>
          <w:lang w:bidi="ar-SA"/>
        </w:rPr>
        <w:t>لا تعد رواياته ولا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أربع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أيوب</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بكر</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ثمان وستين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بن عيسى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سكين</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روايته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أبوه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لكي تكون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رواية ابن سماعة عنه طبيعية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الحناط فهو محمد بن مسكين وما ورد من رواية محمد بن سكين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يشكّل دليلاً على رواية محمد بن سكين؛ لأنه ورد في مصادر أخرى عن محمد بن مسكين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ذهب الأردبيلي إلى اتحاد ابن عامر مع محمد بن مسكين الحناط ولم يقبله السيد الخوئي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محمد بن مسكين حناط ومحمد بن سكين جمال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شريح</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مروان الذهلي</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الفهارس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الخثعمي</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الفهارس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 بن عبد السلام</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 روايته وعنوانه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محمدلا تعد روايته ولا عنوانه</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ابن النميري</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خارجة</w:t>
      </w:r>
    </w:p>
    <w:p>
      <w:pPr>
        <w:pStyle w:val="BookText"/>
        <w:rPr/>
      </w:pPr>
      <w:r>
        <w:rPr>
          <w:rFonts w:ascii="Amiri" w:hAnsi="Amiri" w:eastAsia="Amiri" w:cs="Amiri"/>
          <w:color w:val="111111"/>
          <w:sz w:val="28"/>
          <w:sz w:val="28"/>
          <w:szCs w:val="28"/>
          <w:rtl w:val="true"/>
          <w:lang w:bidi="ar-SA"/>
        </w:rPr>
        <w:t>لا تعد روايته ولاعنوانه</w:t>
      </w: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وأخرى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w:t>
      </w:r>
      <w:r>
        <w:rPr>
          <w:rStyle w:val="FootnoteAnchor"/>
          <w:rtl w:val="true"/>
        </w:rPr>
        <w:footnoteReference w:id="388"/>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 الحديث سبع</w:t>
      </w:r>
    </w:p>
    <w:p>
      <w:pPr>
        <w:pStyle w:val="BookText"/>
        <w:rPr/>
      </w:pP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بن حفص</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أربعاً وعشرين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الرحمان الأزرق</w:t>
      </w:r>
    </w:p>
    <w:p>
      <w:pPr>
        <w:pStyle w:val="BookText"/>
        <w:rPr/>
      </w:pPr>
      <w:r>
        <w:rPr>
          <w:rFonts w:ascii="Amiri" w:hAnsi="Amiri" w:eastAsia="Amiri" w:cs="Amiri"/>
          <w:color w:val="111111"/>
          <w:sz w:val="28"/>
          <w:sz w:val="28"/>
          <w:szCs w:val="28"/>
          <w:rtl w:val="true"/>
          <w:lang w:bidi="ar-SA"/>
        </w:rPr>
        <w:t>تعد روايته وعنوانه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روايته لكتابه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عمران الحلبي</w:t>
      </w:r>
    </w:p>
    <w:p>
      <w:pPr>
        <w:pStyle w:val="BookText"/>
        <w:rPr/>
      </w:pPr>
      <w:r>
        <w:rPr>
          <w:rFonts w:ascii="Amiri" w:hAnsi="Amiri" w:eastAsia="Amiri" w:cs="Amiri"/>
          <w:color w:val="111111"/>
          <w:sz w:val="28"/>
          <w:sz w:val="28"/>
          <w:szCs w:val="28"/>
          <w:rtl w:val="true"/>
          <w:lang w:bidi="ar-SA"/>
        </w:rPr>
        <w:t>تعد روايته وعنوانه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روايته لكتابه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مثنى العطار</w:t>
      </w:r>
    </w:p>
    <w:p>
      <w:pPr>
        <w:pStyle w:val="BookText"/>
        <w:rPr/>
      </w:pPr>
      <w:r>
        <w:rPr>
          <w:rFonts w:ascii="Amiri" w:hAnsi="Amiri" w:eastAsia="Amiri" w:cs="Amiri"/>
          <w:color w:val="111111"/>
          <w:sz w:val="28"/>
          <w:sz w:val="28"/>
          <w:szCs w:val="28"/>
          <w:rtl w:val="true"/>
          <w:lang w:bidi="ar-SA"/>
        </w:rPr>
        <w:t>تعد روايته وعنوانه</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لكن في الإمامة والتبصرة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العطارقال حدثنا جعفر بن محمد بن مالك الفزاري الكوفي عن إسحاق بن محمد الصيرفي عن يحيى بن المثنى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هذا ليس شاهداً على وقوع خلل، فيحتمل أن ابن مالك حدّث ابن همام من كتاب الحسن بن محمد، وحدث العطار من كتاب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يعثر في كتب الرجال على من يلقب بالصيرفي ممن سمي بإسحاق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إسحاق في الإمامة والتبصرة مصحف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بن شعيب</w:t>
      </w:r>
    </w:p>
    <w:p>
      <w:pPr>
        <w:pStyle w:val="BookText"/>
        <w:rPr/>
      </w:pPr>
      <w:r>
        <w:rPr>
          <w:rFonts w:ascii="Amiri" w:hAnsi="Amiri" w:eastAsia="Amiri" w:cs="Amiri"/>
          <w:color w:val="111111"/>
          <w:sz w:val="28"/>
          <w:sz w:val="28"/>
          <w:szCs w:val="28"/>
          <w:rtl w:val="true"/>
          <w:lang w:bidi="ar-SA"/>
        </w:rPr>
        <w:t>لا تعد روايته ولاعنوانه</w:t>
      </w:r>
      <w:r>
        <w:rPr>
          <w:rStyle w:val="FootnoteAnchor"/>
          <w:rtl w:val="true"/>
        </w:rPr>
        <w:footnoteReference w:id="3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الفهرست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حمزة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زياد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زياد على الأقرب</w:t>
      </w:r>
      <w:r>
        <w:rPr>
          <w:rStyle w:val="FootnoteAnchor"/>
          <w:rtl w:val="true"/>
        </w:rPr>
        <w:footnoteReference w:id="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جبلة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p>
    <w:p>
      <w:pPr>
        <w:pStyle w:val="BookText"/>
        <w:rPr/>
      </w:pPr>
      <w:r>
        <w:rPr>
          <w:rFonts w:ascii="Amiri" w:hAnsi="Amiri" w:eastAsia="Amiri" w:cs="Amiri"/>
          <w:color w:val="111111"/>
          <w:sz w:val="28"/>
          <w:sz w:val="28"/>
          <w:szCs w:val="28"/>
          <w:rtl w:val="true"/>
          <w:lang w:bidi="ar-SA"/>
        </w:rPr>
        <w:t xml:space="preserve">في كتب الحديث أربع روايات، وفي الفهارس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رباط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رباط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سبعاً وعشرين رواية، وفي الفهارس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سدير</w:t>
      </w:r>
      <w:r>
        <w:rPr>
          <w:rStyle w:val="FootnoteAnchor"/>
          <w:rtl w:val="true"/>
        </w:rPr>
        <w:footnoteReference w:id="39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بن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 الحديث</w:t>
      </w:r>
    </w:p>
    <w:p>
      <w:pPr>
        <w:pStyle w:val="BookText"/>
        <w:rPr/>
      </w:pPr>
      <w:r>
        <w:rPr>
          <w:rFonts w:ascii="Amiri" w:hAnsi="Amiri" w:eastAsia="Amiri" w:cs="Amiri"/>
          <w:color w:val="111111"/>
          <w:sz w:val="28"/>
          <w:sz w:val="28"/>
          <w:szCs w:val="28"/>
          <w:rtl w:val="true"/>
          <w:lang w:bidi="ar-SA"/>
        </w:rPr>
        <w:t xml:space="preserve">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محمد بن سنان</w:t>
      </w:r>
      <w:r>
        <w:rPr>
          <w:rStyle w:val="FootnoteAnchor"/>
          <w:rtl w:val="true"/>
        </w:rPr>
        <w:footnoteReference w:id="3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w:t>
      </w:r>
    </w:p>
    <w:p>
      <w:pPr>
        <w:pStyle w:val="BookText"/>
        <w:rPr/>
      </w:pPr>
      <w:r>
        <w:rPr>
          <w:rFonts w:ascii="Amiri" w:hAnsi="Amiri" w:eastAsia="Amiri" w:cs="Amiri"/>
          <w:color w:val="111111"/>
          <w:sz w:val="28"/>
          <w:sz w:val="28"/>
          <w:szCs w:val="28"/>
          <w:rtl w:val="true"/>
          <w:lang w:bidi="ar-SA"/>
        </w:rPr>
        <w:t xml:space="preserve">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معتمد على الأصح</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w:t>
      </w:r>
    </w:p>
    <w:p>
      <w:pPr>
        <w:pStyle w:val="BookText"/>
        <w:rPr/>
      </w:pPr>
      <w:r>
        <w:rPr>
          <w:rFonts w:ascii="Amiri" w:hAnsi="Amiri" w:eastAsia="Amiri" w:cs="Amiri"/>
          <w:color w:val="111111"/>
          <w:sz w:val="28"/>
          <w:sz w:val="28"/>
          <w:szCs w:val="28"/>
          <w:rtl w:val="true"/>
          <w:lang w:bidi="ar-SA"/>
        </w:rPr>
        <w:t>الظاهر أنه الحسن بن علي بن فضال</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سبع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w:t>
      </w:r>
    </w:p>
    <w:p>
      <w:pPr>
        <w:pStyle w:val="BookText"/>
        <w:rPr/>
      </w:pPr>
      <w:r>
        <w:rPr>
          <w:rFonts w:ascii="Amiri" w:hAnsi="Amiri" w:eastAsia="Amiri" w:cs="Amiri"/>
          <w:color w:val="111111"/>
          <w:sz w:val="28"/>
          <w:sz w:val="28"/>
          <w:szCs w:val="28"/>
          <w:rtl w:val="true"/>
          <w:lang w:bidi="ar-SA"/>
        </w:rPr>
        <w:t>هو عبد الله بن مسكان</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روايتاه ولا عنوانه</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إسماعيل السراج</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عبد الله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وعنوانه</w:t>
      </w:r>
      <w:r>
        <w:rPr>
          <w:rStyle w:val="FootnoteAnchor"/>
          <w:rtl w:val="true"/>
        </w:rPr>
        <w:footnoteReference w:id="398"/>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الفهارس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موثق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بشر</w:t>
      </w:r>
      <w:r>
        <w:rPr>
          <w:rStyle w:val="FootnoteAnchor"/>
          <w:rtl w:val="true"/>
        </w:rPr>
        <w:footnoteReference w:id="3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w:t>
      </w:r>
    </w:p>
    <w:p>
      <w:pPr>
        <w:pStyle w:val="BookText"/>
        <w:rPr/>
      </w:pPr>
      <w:r>
        <w:rPr>
          <w:rFonts w:ascii="Amiri" w:hAnsi="Amiri" w:eastAsia="Amiri" w:cs="Amiri"/>
          <w:color w:val="111111"/>
          <w:sz w:val="28"/>
          <w:sz w:val="28"/>
          <w:szCs w:val="28"/>
          <w:rtl w:val="true"/>
          <w:lang w:bidi="ar-SA"/>
        </w:rPr>
        <w:t>لا تعد روايتاه ولا عنوانه</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كتب الحديث روايتين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خالد القماط</w:t>
      </w:r>
    </w:p>
    <w:p>
      <w:pPr>
        <w:pStyle w:val="BookText"/>
        <w:rPr/>
      </w:pPr>
      <w:r>
        <w:rPr>
          <w:rFonts w:ascii="Amiri" w:hAnsi="Amiri" w:eastAsia="Amiri" w:cs="Amiri"/>
          <w:color w:val="111111"/>
          <w:sz w:val="28"/>
          <w:sz w:val="28"/>
          <w:szCs w:val="28"/>
          <w:rtl w:val="true"/>
          <w:lang w:bidi="ar-SA"/>
        </w:rPr>
        <w:t>الظاهر هو يزيد أبو خالد القماط</w:t>
      </w:r>
      <w:r>
        <w:rPr>
          <w:rStyle w:val="FootnoteAnchor"/>
          <w:rtl w:val="true"/>
        </w:rPr>
        <w:footnoteReference w:id="401"/>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أبو خالد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البرقي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والفهرست </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كنكر أبو خالد القماط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خالد القماط رجال الشيخ </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أصحاب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في رواية معتبرة في رجال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 صالح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صالح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ذكر الكشي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 أبو خالد القماط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حمدويه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 أبي خالد القماط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الفهرست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خالد القماط له كتاب وقال ابن عقدة اسمه كنكر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شاهد على إرادة خالد بن يزيد، وصالح بن خالد من عنوان أبي خالد القماط من غير 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حمدويه يترجح على ما نسب إلى ابن عقدة لخلل في طريق الشيخ إلى ابن عقدة من ناحية ابن الصلت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يلاحظ أن 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ترجمة أبي خالد القماط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الشيخ لابن عقدة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يتناسب مع مبناه في وثاقة مشايخ النجاشي وقد صرَّح باعتبار الطريق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بشهرة كتاب ابن عقدة في الرجال بما يغني عن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تعد روايته ولا عنوانه</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الفهرست في طريق الشيخ إليه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شعيب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خالد</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ولكن إرادة التنبيه على المعنى المذكور لا تبرر ذكره مرّتين، فإنه أظهر بالتعدد منه بالتنبيه على الاتحاد وذكره في الروايات بعنوانين وإن كان يبرر تعدد العنوان، لكنه بحاجة إلى التنبيه على الاتحاد على أن النجاشي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خالد المحاملي، أبي شعيب الكناسي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شعيب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ولكن الظاهر الاتحاد لقول النجاشي في العنوانين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علي بن الحكم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في طريقه إلى كتاب صالح بن خالد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شعيب بكتابه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في الأخير بكنيته وكذا صنع في طريقه إلى كتاب أبي شعيب المحاملي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القماط لرواية ابن سماعة عن أبي خالد القماط، ويحتمل أنه صالح بن خالد القماط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تقدَّم أنه لا يراد من أبي خالد القماط صالح بن خالد القماط، وإنما يراد منه يزيد أبو خالد القماط</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w:t>
      </w:r>
    </w:p>
    <w:p>
      <w:pPr>
        <w:pStyle w:val="BookText"/>
        <w:rPr/>
      </w:pPr>
      <w:r>
        <w:rPr>
          <w:rFonts w:ascii="Amiri" w:hAnsi="Amiri" w:eastAsia="Amiri" w:cs="Amiri"/>
          <w:color w:val="111111"/>
          <w:sz w:val="28"/>
          <w:sz w:val="28"/>
          <w:szCs w:val="28"/>
          <w:rtl w:val="true"/>
          <w:lang w:bidi="ar-SA"/>
        </w:rPr>
        <w:t xml:space="preserve">الحديث ثلاث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الحناط</w:t>
      </w:r>
    </w:p>
    <w:p>
      <w:pPr>
        <w:pStyle w:val="BookText"/>
        <w:rPr/>
      </w:pPr>
      <w:r>
        <w:rPr>
          <w:rFonts w:ascii="Amiri" w:hAnsi="Amiri" w:eastAsia="Amiri" w:cs="Amiri"/>
          <w:color w:val="111111"/>
          <w:sz w:val="28"/>
          <w:sz w:val="28"/>
          <w:szCs w:val="28"/>
          <w:rtl w:val="true"/>
          <w:lang w:bidi="ar-SA"/>
        </w:rPr>
        <w:t>تعد روايته وعنوانه</w:t>
      </w:r>
      <w:r>
        <w:rPr>
          <w:rStyle w:val="FootnoteAnchor"/>
          <w:rtl w:val="true"/>
        </w:rPr>
        <w:footnoteReference w:id="405"/>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في طريق النجاشي إلى كتابه رواية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يوثق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المثنى</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 xml:space="preserve">ولكن سند الرواية التي ورد فيها المثنى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عن المثنى عن أبان عن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فأبان فيها هو أبان بن عثمان وقد قال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الحسن بن محمد بن سماعة، وقال حدثنا أحمد بن الحسن الميثمي بكتابه عن الرجال وعن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تعدد وقوع الميثمي بين ابن سماعة وأبان ولم يرد عنوان المثنى إلا في مورد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الأرجح وقوع تصحيف والصحيح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تعدّ هذه الرواية للميثمي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روايته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رواية واحدة في كتب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الميثمي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الميثمي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الحسن بن محمد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رواياته دون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في كتب الحديث</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اثنتي عشرة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نتائج المستوى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بلحاظ جميع مشايخ ابن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تقدَّم أعلاه تظهر 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المشايخ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مشايخ ابن سماعة الثقات في كتب الحديث بعد حذف العناوين المكررة هو ستة وعشرون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رواياتهم خمسمائة وثمان وثلاثون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مشايخ ابن سماعة الثقات في كتب الفهارس بعد حذف المكرر هو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رواياتهم تسع عشرة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مشايخ ابن سماعة الثقات في كل الكتب بعد حذف المكرر هو واحد وثلاثون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رواياتهم خمسمائة وسبع و خمسون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المشايخ غير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مشايخ ابن سماعة غير الموثقين في كتب الحديث بعد حذف العناوين المكررة هو سبعة وعشرون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رواياتهم اثنتان وأربعون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مشايخ ابن سماعة غير الثقات في كتب الفهارس بعد حذف المكرر هو خمسة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رواياتهم ست روايات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مشايخ ابن سماعة غير الثقات في كل الكتب بعد حذف المكرر هو اثنان وثلاثون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رواياتهم ثمان وأربعون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الكلي للمشايخ في كتب الحديث هو ثلاث وخمسون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الروايات في كتب الحديث هو خمسمائة وثمانون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الكلي للمشايخ في كتب الفهارس هو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الروايات في كتب الفهارس هو خمسة وعشرون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العدد الكلي للمشايخ في كل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الروايات في كل الكتب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اتضح هذا فلنحسب احتمال أن يكون جميع الثلاثة المدلول عليهم بقوله عن غير واحد من غير الثقات، لكي نرى مدى تأثيره في الاعتماد على الرواية وههنا طريقتان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نلاحظ عدد المشايخ فقط بغض النظر عن عدد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غير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أن يكون أحد المشايخ غير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793,50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أن يكون الثلاثة غير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نسبة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الحديث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العدد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غير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أن يكون أحد المشايخ غير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943,50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احتمال ان يكون الثلاثة غير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النسبة أيضاً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نلاحظ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الروايات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روايات غير الثقات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أن يكون أحد المشايخ غير ثقة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نسبة كبيرة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احتمال أن يكون الثلاثة غير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36724710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وهذه نسبة ضعيفة لا يعتنى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الحديث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عدد الروايات الكلي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روايات غير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أن يكون أحد الرواة غير ثقة هو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احتمال أن يكون الثلاثة من غير الثقات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5803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32350660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النسبة المئوية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نسبة صغيرة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البحث في المستوى الأول إذا لاحظنا المشايخ فقط، فلا يمكن الاعتماد على الروايات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أدخلنا روايات الفهارس في الحساب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لاحظنا الروايات يمكن الاعتماد على ما ورد فيها عن غير واحد ونحوه، سواء أأدخلنا روايات الفهارس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التي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الاعتماد عليها مطلقا؛ لأن 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7.241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يمكن تجاوزها</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ثم إنه قد ذكر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افاضاته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مجلس البحث أنه ما لم تبلغ النسبة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الاطمئنان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6" w:name="pg9087_85270"/>
    </w:p>
    <w:p>
      <w:pPr>
        <w:pStyle w:val="Heading3"/>
        <w:numPr>
          <w:ilvl w:val="2"/>
          <w:numId w:val="1"/>
        </w:numPr>
        <w:rPr/>
      </w:pPr>
      <w:bookmarkStart w:id="267" w:name="__RefHeading___Toc2684295_2870459653"/>
      <w:bookmarkStart w:id="268" w:name="_Toc98"/>
      <w:bookmarkEnd w:id="266"/>
      <w:bookmarkEnd w:id="267"/>
      <w:r>
        <w:rPr>
          <w:rtl w:val="true"/>
        </w:rPr>
        <w:t>المصادر</w:t>
      </w:r>
      <w:bookmarkEnd w:id="2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منسوب للشيخ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وتعليق المعلم الثالث ميرداماد الاسترابادي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السيد مهدي الرجائي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 في معرفة حجج الله على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لتحقيق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 فيما اختلف فيه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حسن الخرسان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أساسيات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زهدي خواجة مدير المعهد العربي للتدريب والبحوث الاحصائية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مكتب الإعلام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إكليل المنهج في تحقيق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الكرباسي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بحوث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البعثة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جماعة المدرسين في الحوزة العلمية في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والتبصرة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بابويه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المقدسة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آصف المحسني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المصطفى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التحرير الطاووسي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زين الدين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المرعشي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الوحيد البهبهاني على منهج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للطباعة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وعلق عليه السيد حسن الموسوي الخرسان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وعلق عليه علي أكبر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المقال في تنقيح كتاب الرجال للنجاشي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الأبطحي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 وإزاحة الاشتباهات عن الطرق والاسناد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الأردبيلي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الأسبوع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جواد قيومي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 السنية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 إيران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في 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في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ذخيرة المعاد في شرح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الرجال لابن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الحديث الثقافيّة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چاب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الرسائل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المعالي الكلباسي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محمد الدرايتي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مناسك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رضا السيستاني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أولية محدودة التداول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المقال في درجات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النراقي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طرائف المقال في معرفة طبقات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أصغر الجابلقي البروجردي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الرياضيات للصف السادس العلمي وفق منهج وزارة التربية في جمهورية العراق لسنة </w:t>
      </w:r>
      <w:r>
        <w:rPr>
          <w:rFonts w:eastAsia="Amiri" w:cs="Amiri" w:ascii="Amiri" w:hAnsi="Amiri"/>
          <w:color w:val="111111"/>
          <w:sz w:val="28"/>
          <w:szCs w:val="28"/>
          <w:lang w:bidi="ar-SA"/>
        </w:rPr>
        <w:t>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الرياضيات للصف السادس الأدبي وفق منهج وزارة التربية في جمهورية العراق لسنة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ومطبعتها في 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أخبار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الأعلمي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أنوار الهدى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الأبواب بين ذوي الألباب وبين رب الأرباب في الاستخارات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البهبهاني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علي أكبر الغفاري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في 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بنشره وتصحيحه والتعليق عليه السيد جلال الدين الحسيني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سلمان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المطبعة الحيدرية في النجف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مدارك الأحكام في شرح 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 ومستنبط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لاحياء التراث</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مستدركات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النمازي الشاهرودي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شفق – تهران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مشايخ الثقات الحلقة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عرفانيان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إسلامي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في شرح المختصر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مؤسسة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منتهى المطلب في تحقيق المذهب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 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قسم الفقه في مجمع البحوث الإسلامية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منتهى المقال في أحوال الرجال محمد بن إسماعيل المازندراني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علي الحائري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لاحياء التراث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البلاغ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مكتبة الإمام أميرالمؤمنين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العامة أصفهان</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اليقين باختصاص مولانا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بإمرة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الثقلين لإحياء التراث الإسلامي</w:t>
      </w:r>
      <w:r>
        <w:rPr>
          <w:rFonts w:eastAsia="IRNazanin" w:cs="IRNazanin"/>
          <w:color w:val="111111"/>
          <w:sz w:val="28"/>
          <w:szCs w:val="28"/>
          <w:rtl w:val="true"/>
          <w:lang w:bidi="fa-IR"/>
        </w:rPr>
        <w:t xml:space="preserve">. </w:t>
      </w:r>
      <w:bookmarkStart w:id="269" w:name="pg9087_85275"/>
    </w:p>
    <w:p>
      <w:pPr>
        <w:pStyle w:val="Heading2"/>
        <w:numPr>
          <w:ilvl w:val="1"/>
          <w:numId w:val="1"/>
        </w:numPr>
        <w:rPr/>
      </w:pPr>
      <w:bookmarkStart w:id="270" w:name="__RefHeading___Toc2684297_2870459653"/>
      <w:bookmarkStart w:id="271" w:name="_Toc99"/>
      <w:bookmarkEnd w:id="269"/>
      <w:bookmarkEnd w:id="270"/>
      <w:r>
        <w:rPr>
          <w:rtl w:val="true"/>
        </w:rPr>
        <w:t xml:space="preserve">رجال المستمسك </w:t>
      </w:r>
      <w:r>
        <w:rPr>
          <w:rtl w:val="true"/>
        </w:rPr>
        <w:t xml:space="preserve">- </w:t>
      </w:r>
      <w:r>
        <w:rPr>
          <w:rtl w:val="true"/>
        </w:rPr>
        <w:t>الشيخ علي الغزي دام عزه</w:t>
      </w:r>
      <w:bookmarkEnd w:id="271"/>
    </w:p>
    <w:p>
      <w:pPr>
        <w:pStyle w:val="Heading3"/>
        <w:numPr>
          <w:ilvl w:val="2"/>
          <w:numId w:val="1"/>
        </w:numPr>
        <w:rPr/>
      </w:pPr>
      <w:bookmarkStart w:id="272" w:name="__RefHeading___Toc2684299_2870459653"/>
      <w:bookmarkStart w:id="273" w:name="_Toc100"/>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من المعلوم توقف الاستنباط الفقهي على البحث الرجالي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طرق رصد البحث الرجالي ملاحظته في المجال التطبيقي الفقهي لعلمائنا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الصفحات محاولة لرصد البحث الرجالي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مستمسك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4" w:name="pg9087_85277"/>
      <w:bookmarkStart w:id="275" w:name="pg9087_85277"/>
      <w:bookmarkEnd w:id="275"/>
    </w:p>
    <w:p>
      <w:pPr>
        <w:pStyle w:val="Heading3"/>
        <w:numPr>
          <w:ilvl w:val="2"/>
          <w:numId w:val="1"/>
        </w:numPr>
        <w:rPr/>
      </w:pPr>
      <w:bookmarkStart w:id="276" w:name="pg9087_85277"/>
      <w:bookmarkStart w:id="277" w:name="__RefHeading___Toc2684301_2870459653"/>
      <w:bookmarkStart w:id="278" w:name="_Toc101"/>
      <w:bookmarkEnd w:id="276"/>
      <w:bookmarkEnd w:id="277"/>
      <w:r>
        <w:rPr>
          <w:rtl w:val="true"/>
        </w:rPr>
        <w:t xml:space="preserve">رجال المستمسك </w:t>
      </w:r>
      <w:r>
        <w:rPr>
          <w:rtl w:val="true"/>
        </w:rPr>
        <w:t>-</w:t>
      </w:r>
      <w:r>
        <w:rPr>
          <w:rtl w:val="true"/>
        </w:rPr>
        <w:t>القسم الثاني</w:t>
      </w:r>
      <w:bookmarkEnd w:id="27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9" w:name="__RefHeading___Toc2684303_2870459653"/>
      <w:bookmarkStart w:id="280" w:name="_Toc102"/>
      <w:bookmarkEnd w:id="279"/>
      <w:r>
        <w:rPr>
          <w:rtl w:val="true"/>
        </w:rPr>
        <w:t>اشارة</w:t>
      </w:r>
      <w:bookmarkEnd w:id="28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1" w:name="pg9087_85279"/>
      <w:bookmarkStart w:id="282" w:name="pg9087_85279"/>
      <w:bookmarkEnd w:id="282"/>
    </w:p>
    <w:p>
      <w:pPr>
        <w:pStyle w:val="Heading4"/>
        <w:numPr>
          <w:ilvl w:val="3"/>
          <w:numId w:val="1"/>
        </w:numPr>
        <w:rPr/>
      </w:pPr>
      <w:bookmarkStart w:id="283" w:name="pg9087_85279"/>
      <w:bookmarkStart w:id="284" w:name="__RefHeading___Toc2684305_2870459653"/>
      <w:bookmarkStart w:id="285" w:name="_Toc103"/>
      <w:bookmarkEnd w:id="283"/>
      <w:bookmarkEnd w:id="284"/>
      <w:r>
        <w:rPr>
          <w:rtl w:val="true"/>
        </w:rPr>
        <w:t>المقدمة</w:t>
      </w:r>
      <w:bookmarkEnd w:id="28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صدر بفضل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من رجال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الردود الطيبة والمشجعة من العلماء والأساتذة والأخوة الطلبة تطلب منا الاستمرار بإتمام المبحث في قسمه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المقرر بدءاً أن يُختم البحث في هذا القسم لكن بعد الأخذ بعين الاعتبار ما تفضلت به لجنة المجلة من التوجيهات والملاحظات على المادة، ولإدخال بعض المباحث التي لم تكن في المسودة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اتسعت صفحات البحث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اقتضت الحال أن يقتصر هذا العدد على الباب الثاني الذي هو في فوائد رجالية ودرائية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يأتي الباب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عدد لاحق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تضمنه هذا القسم هو عرض مجموعة من النكات والآراء العلمية الرجالية والدرائية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لها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كلماته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تندرج تحت عنوان واحد جامع، ويمكن عرضها تحت المحاور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حجية الخبر من حيث السند والمتن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تعابير رجالية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اشتراك الرواة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حول الكتب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مصادر حديثية أخرى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وسنأتي عليها تبعاً إن شاء الله تعالى</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ننسى عرفان الجميل للأساتذة والأخوة القائمين على المجلة إدارةً وإشرافاً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ونسأله تعالى أن يزيد في توفيقهم ويسدد خطاهم ويتقبل أعمالهم، لما يبذلونه من الجهد في سبيل إنجاح هذا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أرحم الراحمين</w:t>
      </w:r>
      <w:r>
        <w:rPr>
          <w:rFonts w:eastAsia="Amiri" w:cs="Amiri" w:ascii="Amiri" w:hAnsi="Amiri"/>
          <w:color w:val="111111"/>
          <w:sz w:val="28"/>
          <w:szCs w:val="28"/>
          <w:rtl w:val="true"/>
          <w:lang w:bidi="ar-SA"/>
        </w:rPr>
        <w:t xml:space="preserve">. </w:t>
      </w:r>
      <w:bookmarkStart w:id="286" w:name="pg9087_85281"/>
    </w:p>
    <w:p>
      <w:pPr>
        <w:pStyle w:val="Heading4"/>
        <w:numPr>
          <w:ilvl w:val="3"/>
          <w:numId w:val="1"/>
        </w:numPr>
        <w:rPr/>
      </w:pPr>
      <w:bookmarkStart w:id="287" w:name="__RefHeading___Toc2684307_2870459653"/>
      <w:bookmarkStart w:id="288" w:name="_Toc104"/>
      <w:bookmarkEnd w:id="286"/>
      <w:bookmarkEnd w:id="287"/>
      <w:r>
        <w:rPr>
          <w:rtl w:val="true"/>
        </w:rPr>
        <w:t>المحور الأول</w:t>
      </w:r>
      <w:r>
        <w:rPr>
          <w:rtl w:val="true"/>
        </w:rPr>
        <w:t xml:space="preserve">: </w:t>
      </w:r>
      <w:r>
        <w:rPr>
          <w:rtl w:val="true"/>
        </w:rPr>
        <w:t xml:space="preserve">حدود حجية الخبر </w:t>
      </w:r>
      <w:r>
        <w:rPr>
          <w:rtl w:val="true"/>
        </w:rPr>
        <w:t>(</w:t>
      </w:r>
      <w:r>
        <w:rPr>
          <w:rtl w:val="true"/>
        </w:rPr>
        <w:t>من حيث السند</w:t>
      </w:r>
      <w:r>
        <w:rPr>
          <w:rtl w:val="true"/>
        </w:rPr>
        <w:t>)</w:t>
      </w:r>
      <w:bookmarkEnd w:id="288"/>
    </w:p>
    <w:p>
      <w:pPr>
        <w:pStyle w:val="BookText"/>
        <w:rPr/>
      </w:pPr>
      <w:r>
        <w:rPr>
          <w:rFonts w:ascii="Amiri" w:hAnsi="Amiri" w:eastAsia="Amiri" w:cs="Amiri"/>
          <w:color w:val="111111"/>
          <w:sz w:val="28"/>
          <w:sz w:val="28"/>
          <w:szCs w:val="28"/>
          <w:rtl w:val="true"/>
          <w:lang w:bidi="ar-SA"/>
        </w:rPr>
        <w:t>قد اصطلح متأخرو علمائنا على تنويع الحديث من حيث السند إلى صحيح، وموثق، وحسن، وضعيف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مراعين بذلك أحوال الرواة الواقعين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جميع سلسلة السند إماميين ممدوحين بالتوثيق، سمّوه صحيحاً، أو إماميين ممدوحين من دونه كلاً أو بعضاً مع توثيق البقية، سموه حسناً، أو كانوا كلاّ، أو بعضاً غير إماميين مع توثيق الكل سموه موثقاً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والفاقد لذلك كلاّ أو بعضاً، أو ضُعِّف كذلك، سموه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أصول الأقسام وإليها يرجع الفرعي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نسب الفيض هذا التقسيم إلى العلامة الحلّي</w:t>
      </w:r>
      <w:r>
        <w:rPr>
          <w:rStyle w:val="FootnoteAnchor"/>
          <w:rtl w:val="true"/>
        </w:rPr>
        <w:footnoteReference w:id="409"/>
      </w:r>
      <w:r>
        <w:rPr>
          <w:rFonts w:ascii="Amiri" w:hAnsi="Amiri" w:eastAsia="Amiri" w:cs="Amiri"/>
          <w:color w:val="111111"/>
          <w:sz w:val="28"/>
          <w:sz w:val="28"/>
          <w:szCs w:val="28"/>
          <w:rtl w:val="true"/>
          <w:lang w:bidi="ar-SA"/>
        </w:rPr>
        <w:t>، وحكي عن بعض نسبته إلى ابن طاووس</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وتعرض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مطاوي كلامه لأقسام الخبر مُبيناً موقفه منها، وما يعرضها من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سنتابعه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وفق العناوين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حجية الخبر الصحيح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طبق الأحاديث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واهتمامه بتصحيح بعض الأخبار</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لكن لما كانت الحجية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الإشارة إليه في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يعمل ببعض الأخبار الصحيحة فيما لو توفر ما يمنع من الوثوق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وهن الصحيح إعراض القدماء عن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يوجب ارتفاع الوثوق المعتبر في الحجية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صحيح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صحاح عمر بن يزيد، وعلي بن يقطين، وإسماعيل بن الفضل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ذلك كله فالنفس لا تطمئن بعدم الوجوب للشهرة العظيمة على الوجوب، بل الإجماع ممن يُعتد بفتواهم من القدماء عليه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 يتضح أن الصحيح حجة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يتوفر ما يوجب سلب الوثوق به، كإعراض القدماء، أو الشهرة، أو اجماع من يُعتد بفتواهم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حال الصحيح الذي هو أعلى مراتب السند، يكون حال ما هو أدنى منه من الموثق والحَسن كذلك بالأولوية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وقع الاختلاف في اعتبار الموثق على ثلاثة أقوال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حجة ما لم يكن معارضاً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يظهر من كلمات جمع من القدماء منهم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إذا كان مخالفاً في الاعتقاد لأصل المذهب، وروي مع ذلك عن الأئمة نُظر فيما يرويه، فإن كان هناك من طرق الموثوق بهم ما يخالفه وجب اطراح خبره، وان لم يكن هناك ما يوجب اطراح خبره ويكون هناك ما يوافقه وجب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من الفرقة المحقة خبر يوافق ذلك </w:t>
      </w:r>
    </w:p>
    <w:p>
      <w:pPr>
        <w:pStyle w:val="BookText"/>
        <w:rPr/>
      </w:pPr>
      <w:r>
        <w:rPr>
          <w:rFonts w:ascii="IRNazanin" w:hAnsi="IRNazanin" w:eastAsia="IRNazanin"/>
          <w:color w:val="111111"/>
          <w:sz w:val="28"/>
          <w:sz w:val="28"/>
          <w:szCs w:val="28"/>
          <w:rtl w:val="true"/>
          <w:lang w:bidi="fa-IR"/>
        </w:rPr>
        <w:t xml:space="preserve">ولا يخالفه، ولا يُعرف لهم قول فيه وجب أيضاً العمل به، لما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نزلت بكم حادثة لا تجدون حكمها فيما رووا عنها، فانظروا إلى ما رووا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ولأجل ما قلنا عملت الطائفة بما رواه حفص ابن غياث، وغياث بن كلوب، ونوح بن دراج، والسكوني وغيرهم من العامة عن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لم ينكروه ولم يكن عندهم خلافه</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بحجة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اختاره صاحب المدارك لاعتباره إمامية الراوي في حجية الخبر معلّلاً ذلك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العقل يُحيل التعبد بخبر الثقة غير المستقيم</w:t>
      </w:r>
      <w:r>
        <w:rPr>
          <w:rFonts w:eastAsia="Amiri" w:cs="Amiri" w:ascii="Amiri" w:hAnsi="Amiri"/>
          <w:color w:val="111111"/>
          <w:sz w:val="28"/>
          <w:szCs w:val="28"/>
          <w:rtl w:val="true"/>
          <w:lang w:bidi="ar-SA"/>
        </w:rPr>
        <w:t>)</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ويعلل ذلك على مبنى حجية خبر الثقة بعموم أدلته للثقة فاسد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يعلّل على مبنى حجية الخبر الموثوق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يتحقق به الوثوق المعتبر في الحجية، حتى لو كان المخبر فاسد العقيدة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ما اختاره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مصرّحاً في مواطن عدة من المستمسك بحجية الخبر الموثق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المحقق في محله حجية الموثق</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إلا أن يبنى على عدم حجية الموثق، لكنه خلاف ظاهر أدلة الحجية</w:t>
      </w:r>
      <w:r>
        <w:rPr>
          <w:rFonts w:eastAsia="Amiri" w:cs="Amiri" w:ascii="Amiri" w:hAnsi="Amiri"/>
          <w:color w:val="111111"/>
          <w:sz w:val="28"/>
          <w:szCs w:val="28"/>
          <w:rtl w:val="true"/>
          <w:lang w:bidi="ar-SA"/>
        </w:rPr>
        <w:t>)</w:t>
      </w:r>
      <w:r>
        <w:rPr>
          <w:rStyle w:val="FootnoteAnchor"/>
          <w:rtl w:val="true"/>
        </w:rPr>
        <w:footnoteReference w:id="41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الموثق حجة</w:t>
      </w:r>
      <w:r>
        <w:rPr>
          <w:rFonts w:eastAsia="Amiri" w:cs="Amiri" w:ascii="Amiri" w:hAnsi="Amiri"/>
          <w:color w:val="111111"/>
          <w:sz w:val="28"/>
          <w:szCs w:val="28"/>
          <w:rtl w:val="true"/>
          <w:lang w:bidi="ar-SA"/>
        </w:rPr>
        <w:t>)</w:t>
      </w:r>
      <w:r>
        <w:rPr>
          <w:rStyle w:val="FootnoteAnchor"/>
          <w:rtl w:val="true"/>
        </w:rPr>
        <w:footnoteReference w:id="41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التحقيق حجية خبر الثقة وإن كان فطحياً</w:t>
      </w:r>
      <w:r>
        <w:rPr>
          <w:rFonts w:eastAsia="Amiri" w:cs="Amiri" w:ascii="Amiri" w:hAnsi="Amiri"/>
          <w:color w:val="111111"/>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 xml:space="preserve">وقال في الحقائق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دعوى التواتر الإجمالي في غير ما دل على حجية خبر العادل، فيكون ما دل على حجية خبر الثقة أخص مضموناً من غيره، فتستفاد حجية خبر الثقة بلا واسطة</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تلك الموارد التي عرض فيها كلام صاحب المدارك أنْ لا دخل للعقيدة في الاعتبار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وأشكل عليه في المدارك بأنها ضعيفة السند، لأن الراوي لها واقفي ناووسي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اختصاص الطعن بذلك، ولكنه غير قادح على ما حُرر في محله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طعن في المدارك في سنده بأن إبراهيم بن عبد الحميد واقفي، وأن في رجاله جعفر بن محمد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غير قادح مع الوثاقة</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الطعن على أحمد بن هلال العبرتائي بالغلو والنصب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ثقة في نفسه ولا ينافيه الطعن فيه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يكون حاله حال جماعة من العامة والفطحية والواقفة وغيرهم من المخالفين للفرقة المحُقة، مع بناء الأصحاب على العمل برواياتهم</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الحقائق للاستدلال على عدم حجية خبر غير الإمامي ورده 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فيما يدل على عدم حجية خبر غير الإمامي مثل مكاتبة علي بن سويد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تأخذنَّ معالم دينك من غير شيعتنا، فإنك إن تعديتهم أخذت دينك من الخائنين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معارضته بغيره مما دل على جواز العمل بكتب بني فضال والشلمغاني، وما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التعليل فيه أن المانع من العمل بأخبارهم عدم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الظاهر اعتبار الخبر الحسن عند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كجمهور الفقهاء، كما هو واضح من اعتماده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الموارد على الخبر الحسن في مقام الاستدلال</w:t>
      </w:r>
      <w:r>
        <w:rPr>
          <w:rStyle w:val="FootnoteAnchor"/>
          <w:rtl w:val="true"/>
        </w:rPr>
        <w:footnoteReference w:id="4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بكفاية الحسن في الاعتبار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فطريقها ما بين موثق الحديث وحسنه، أو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كافٍ في الاعتبار</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في حجية الحسن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يدل عليه قوله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يتحقق به ملاك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الوثوق بصدور الخبر، كما صرح به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ويظهر من كلمات جملة من الأعلام كالشهيد في الرعاية</w:t>
      </w:r>
      <w:r>
        <w:rPr>
          <w:rStyle w:val="FootnoteAnchor"/>
          <w:rtl w:val="true"/>
        </w:rPr>
        <w:footnoteReference w:id="427"/>
      </w:r>
      <w:r>
        <w:rPr>
          <w:rFonts w:ascii="Amiri" w:hAnsi="Amiri" w:eastAsia="Amiri" w:cs="Amiri"/>
          <w:color w:val="111111"/>
          <w:sz w:val="28"/>
          <w:sz w:val="28"/>
          <w:szCs w:val="28"/>
          <w:rtl w:val="true"/>
          <w:lang w:bidi="ar-SA"/>
        </w:rPr>
        <w:t>أن الحسن أعلى مرتبة من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عدّوه ثانياً بعد الصحيح ثم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ليس إلا مرتبة من مراتب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أدنى من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يتحقق معها الوثوق الكافي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الضعيف</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الخبر من حيث سنده يكون بضعف رواته، كلاً أو بعضاً إما بنص أو إهمال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بعض الاخبار لضعف رواتها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والخبر ضعيف السند لإهمال الحسين</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أحمد بن المثنى مهمل، ومحمد بن زيد الطبري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يشكل الاعتماد على الخبر</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فيه إرسال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وضعف ما قبله جداً بأبي هريرة وغيره</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لما كان المعتبر عند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الوثوق بالصدور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بعض الأخبار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انجبر ضعف سندها بما يوجب الوثوق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وضعفها بجهالة بكر منجبر بعمل المشهور</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يقدح فيه ضعف سنده لإهمال عثمان، وعدم التنصيص على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رواية الأساطين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اعتماد عليها</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وضعفه بأبي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مجبور بالعمل</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صور ضعف الخبر سنداً عدم ذكر رواته كلاّ أو بعضاً، مع احتمال ضعفهم كذلك وهو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المرسلة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الذي يهون الخطب عدم حجية مرسل يونس لضعفه في نفسه وإعراض الأصحاب عن العمل به</w:t>
      </w:r>
      <w:r>
        <w:rPr>
          <w:rFonts w:eastAsia="Amiri" w:cs="Amiri" w:ascii="Amiri" w:hAnsi="Amiri"/>
          <w:color w:val="111111"/>
          <w:sz w:val="28"/>
          <w:szCs w:val="28"/>
          <w:rtl w:val="true"/>
          <w:lang w:bidi="ar-SA"/>
        </w:rPr>
        <w:t>)</w:t>
      </w:r>
      <w:r>
        <w:rPr>
          <w:rStyle w:val="FootnoteAnchor"/>
          <w:rtl w:val="true"/>
        </w:rPr>
        <w:footnoteReference w:id="4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مرسل خلف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مع أنه ضعيف</w:t>
      </w:r>
      <w:r>
        <w:rPr>
          <w:rFonts w:eastAsia="Amiri" w:cs="Amiri" w:ascii="Amiri" w:hAnsi="Amiri"/>
          <w:color w:val="111111"/>
          <w:sz w:val="28"/>
          <w:szCs w:val="28"/>
          <w:rtl w:val="true"/>
          <w:lang w:bidi="ar-SA"/>
        </w:rPr>
        <w:t>)</w:t>
      </w:r>
      <w:r>
        <w:rPr>
          <w:rStyle w:val="FootnoteAnchor"/>
          <w:rtl w:val="true"/>
        </w:rPr>
        <w:footnoteReference w:id="43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اعتمد مرسل حسين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إرساله مانع عن</w:t>
      </w:r>
    </w:p>
    <w:p>
      <w:pPr>
        <w:pStyle w:val="BookText"/>
        <w:rPr/>
      </w:pPr>
      <w:r>
        <w:rPr>
          <w:rFonts w:ascii="IRNazanin" w:hAnsi="IRNazanin" w:eastAsia="IRNazanin"/>
          <w:color w:val="111111"/>
          <w:sz w:val="28"/>
          <w:sz w:val="28"/>
          <w:szCs w:val="28"/>
          <w:rtl w:val="true"/>
          <w:lang w:bidi="fa-IR"/>
        </w:rPr>
        <w:t>العمل به</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على بعض المراسيل لنفس ما تقدم في اعتماده على بعض الأخبار الضعيفة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المراسيل حجة إذا كانت مجبورة بعمل المشهور</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وإرساله لا يقدح بعد كون المرسل من </w:t>
      </w:r>
    </w:p>
    <w:p>
      <w:pPr>
        <w:pStyle w:val="BookText"/>
        <w:rPr/>
      </w:pPr>
      <w:r>
        <w:rPr>
          <w:rFonts w:ascii="Amiri" w:hAnsi="Amiri" w:eastAsia="Amiri" w:cs="Amiri"/>
          <w:color w:val="111111"/>
          <w:sz w:val="28"/>
          <w:sz w:val="28"/>
          <w:szCs w:val="28"/>
          <w:rtl w:val="true"/>
          <w:lang w:bidi="ar-SA"/>
        </w:rPr>
        <w:t>أصحاب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كتبهم بأسانيد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جماعة من الأعاظم</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مرسلة أيوب 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السند منجبر بالعمل</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بَيَّنَ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الاعتماد على الخبر الضعيف من جهة الوثوق به في الحقائق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الظاهر مما دل على حجية خبر الثقة من تلك النصوص اعتبار كونه ثقة في خصوص ذلك الخبر، ولا يعتبر كونه 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الوجه في ذلك مناسبة الحكم لموضوعه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فإطلاق الثقة يقتضي كونه ثقة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فقرينة المناسبة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بملاحظة الارتكاز العقلائي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كون الظاهر 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استقر بناء الأصحاب على العمل بأخبار الضعفة، مع اقترانها بما يوجب الوثوق بصدورها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مثل عمل المشهور أو الأساطين بها</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الأخبار الضعيفة ما تكرر ذكره في كلمات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المناسب الوقوف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والعلوي العاميان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النبوي والعلوي العاميان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جملة من الأحاديث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ينتهي سندها إلى النبي الأكرم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والعلوية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ينتهي سندها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وردت من غير طريقنا، ولكن اشتهر ذكرها في مقام الاستدلال في الكتب الفقهية لعلمائنا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يُعمل على طبقها أم لا؟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عبارة العدة العمل بالعلوي المروي عن العامة فيما لو لم يُعرف فيه قول أو رواية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يكن من الفرقة المحقة خبر يوافق </w:t>
      </w:r>
    </w:p>
    <w:p>
      <w:pPr>
        <w:pStyle w:val="BookText"/>
        <w:rPr/>
      </w:pPr>
      <w:r>
        <w:rPr>
          <w:rFonts w:ascii="IRNazanin" w:hAnsi="IRNazanin" w:eastAsia="IRNazanin"/>
          <w:color w:val="111111"/>
          <w:sz w:val="28"/>
          <w:sz w:val="28"/>
          <w:szCs w:val="28"/>
          <w:rtl w:val="true"/>
          <w:lang w:bidi="fa-IR"/>
        </w:rPr>
        <w:t xml:space="preserve">ذلك ولا يخالفه ولا يُعرف لهم قول فيه وجب أيضاً العمل به؛ لما روي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نزلت بكم حادثة لا تجدون حكمها فيما رووا عنها، فانظروا إلى ما رووا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فاعملوا به</w:t>
      </w:r>
      <w:r>
        <w:rPr>
          <w:rFonts w:eastAsia="IRNazanin" w:cs="IRNazanin"/>
          <w:color w:val="111111"/>
          <w:sz w:val="28"/>
          <w:szCs w:val="28"/>
          <w:rtl w:val="true"/>
          <w:lang w:bidi="fa-IR"/>
        </w:rPr>
        <w:t>")</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يظهر من آخرين عدم التعويل على الأخبار النبوية والعلوية التي يكون الأصل فيها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ورودها من طرقنا فلا يعول عليها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معها معاملة الضعيف بالإرسال، أو بالراوي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يعمل بها في حال حصول الوثوق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شهرة أو من 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النبوي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 الإمام إماماً ليؤتم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ومن غيره 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نية الائتمام</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يُشير بذلك إلى قاعدة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المغرور يرجع على من غرّه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مضمون النبوي المشهور، نقلاً وعملاً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اشتهر نقله في كتب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وعملوا به في باب رجوع المشتري من الفضولي فيما اغترمه للمالك إذا كان المشتري جاهلاً، وان ذكروا في وجه الحكم بالرجوع أموراً كثيرة كلها</w:t>
      </w:r>
    </w:p>
    <w:p>
      <w:pPr>
        <w:pStyle w:val="BookText"/>
        <w:rPr/>
      </w:pPr>
      <w:r>
        <w:rPr>
          <w:rFonts w:ascii="Amiri" w:hAnsi="Amiri" w:eastAsia="Amiri" w:cs="Amiri"/>
          <w:color w:val="111111"/>
          <w:sz w:val="28"/>
          <w:sz w:val="28"/>
          <w:szCs w:val="28"/>
          <w:rtl w:val="true"/>
          <w:lang w:bidi="ar-SA"/>
        </w:rPr>
        <w:t>لا تخلو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والعمدة هو النبوي المذكور</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ضم النبوي إلى جانب أدلة وقرائن أخرى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مذهب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إليه علماؤنا أجمع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وإجماعاً منا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في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ما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يشير إليه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w:t>
      </w:r>
    </w:p>
    <w:p>
      <w:pPr>
        <w:pStyle w:val="BookText"/>
        <w:rPr/>
      </w:pPr>
      <w:r>
        <w:rPr>
          <w:rFonts w:ascii="Amiri" w:hAnsi="Amiri" w:eastAsia="Amiri" w:cs="Amiri"/>
          <w:color w:val="111111"/>
          <w:sz w:val="28"/>
          <w:sz w:val="28"/>
          <w:szCs w:val="28"/>
          <w:rtl w:val="true"/>
          <w:lang w:bidi="ar-SA"/>
        </w:rPr>
        <w:t>صحيح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ارفع رأسك حتى تعتدل قائما</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عدم الوجوب فيدل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الإجماع المتقدم، وإلى مفهوم الشرط في بعض النصوص المتقدمة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عبد الله بن 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المشروعية فيدل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النبوي الذي رواه جماعة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العلامة في التذكرة، والشهيد في الذكرى عن عبد الله بن عمرو بن العاص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ثلاثة في المفصل وسجدتان في الحج</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 خلاف ظاهر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حَكى الإجماع عليه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ويكفي فيه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يشهد به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تؤم امرأة رجلاً</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قبال ذلك رد بعض الأخبار النبوية والعلوية بالضعف، أو الارسال، أو عدم الانجبار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قد يعطيه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يجرجر في بطنه نار</w:t>
      </w:r>
    </w:p>
    <w:p>
      <w:pPr>
        <w:pStyle w:val="BookText"/>
        <w:rPr/>
      </w:pPr>
      <w:r>
        <w:rPr>
          <w:rFonts w:ascii="Amiri" w:hAnsi="Amiri" w:eastAsia="Amiri" w:cs="Amiri"/>
          <w:color w:val="111111"/>
          <w:sz w:val="28"/>
          <w:sz w:val="28"/>
          <w:szCs w:val="28"/>
          <w:rtl w:val="true"/>
          <w:lang w:bidi="ar-SA"/>
        </w:rPr>
        <w:t>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يساعده ظاهر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 ضعيف وليس في رواياتنا</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المنسوب إلى الأكثر، أو الأشهر، أو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الصلاة بالصيغة المذكورة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به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تشهد أحدكم في الصلاة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صلى على محمد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انجباره بالعمل غير </w:t>
      </w:r>
    </w:p>
    <w:p>
      <w:pPr>
        <w:pStyle w:val="BookText"/>
        <w:rPr/>
      </w:pP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خلاف قاعدة الميسور المعول عليها في كثير من الأبواب المستفادة من العلوي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الميسور لا يسقط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غير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لإرسال العلوي وعدم ثبوت الجابر له</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وفي النبوي العامي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 يا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 يقول الراد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والنبوي ضعيف السند</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مراسيل ابن أبي عمير وأخويه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وضوح عدم حجية المرسل في نفسه لجهالة وسائطه كلاً أو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مراسيل ابن أبي عمير وأخويه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قاله الشيخ في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أحد الراويين مسنداً والآخر مرسِلاً، نُظر في حال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ممن يُعلم أنه لا يرسل إلا عن ثقةٍ 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ترجيح لخبر غيره على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ذلك سوت الطائفةُ بين ما يرويه محمد بن أبي عمير، وصفوان بن يحيى، وأحمد بن محمد بن أبي نصر، وغيره من الثقات الذين عُرفوا بأنهم لا يروون ولا يرسلون إلا عمّن يوثق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ما أسنده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عملوا بمراسيلهم إذا انفردوا عن رواية غيرهم</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على رأيين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العبارة المذكورة تُفيد اعتبار مراسيلهم وأنها كالمسانيد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رأي المشهور</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ملاحظة رواية ابن أبي عمير وأخويه عن المُضعفين من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لم تكن الرواية عن الثقة شأنا خاصا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ديدن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لاعتقادهم بحجية 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نقلهم للروايات من قبيل نقل القضايا التأريخية، وإنما كان للعمل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نجد الشيخ عطف غيرهم من الثقات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العبارة ظاهرة في أن الوجه في تسوية الطائفة هو ما علم من حال هؤلاء من مزيد التثبت والإتقان والضبط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لا يروون أو يرسلون إلا ما يثقون به من الأخبار، ولو من جهة القرائن الاتفاقية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الوثوق الحاصل لهم من جهة القرائن الاتفاقية غير كافٍ في حصول الوثوق لنا، فلا يدخل الخبر في موضوع الحجية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لإناطتها بتحقق الوثوق بنظر العامل بالخبر نفسه</w:t>
      </w:r>
      <w:r>
        <w:rPr>
          <w:rStyle w:val="FootnoteAnchor"/>
          <w:rtl w:val="true"/>
        </w:rPr>
        <w:footnoteReference w:id="4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مراسيل ابن أبي عمير وأخويه في حد نفسها لا دليل على حجيتها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المرسل المذكور في نفسه لا دليل على حجيته وإن كان المرسل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إلى ذلك في مبحث النجاسات</w:t>
      </w:r>
      <w:r>
        <w:rPr>
          <w:rFonts w:eastAsia="Amiri" w:cs="Amiri" w:ascii="Amiri" w:hAnsi="Amiri"/>
          <w:color w:val="111111"/>
          <w:sz w:val="28"/>
          <w:szCs w:val="28"/>
          <w:rtl w:val="true"/>
          <w:lang w:bidi="ar-SA"/>
        </w:rPr>
        <w:t>)</w:t>
      </w:r>
      <w:r>
        <w:rPr>
          <w:rStyle w:val="FootnoteAnchor"/>
          <w:rtl w:val="true"/>
        </w:rPr>
        <w:footnoteReference w:id="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تنضم إليه قرائن توجب 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كعمل الأصحاب أو الشهرة أو موافقة مضمونه لأخبار معتبرة، أو عمومات، أو أصل، أو إجماع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المشهور لمرسلة ابن أبي عمير</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لا يقدح إرسال الجميع للجبر بالعمل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مرسَل ابن أبي عمير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كمسنده</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أقسام الحديث الثانوية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التعبير في آخر سلسلة السند بالضمير الغائب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لإضمار التصريح بالمسؤول، أو المُتحدِّث مع الاكتفاء بالدلالة عليه بضمير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هذا الحال في جملة من مروياتنا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ما هو الموقف منها؟</w:t>
      </w:r>
    </w:p>
    <w:p>
      <w:pPr>
        <w:pStyle w:val="BookText"/>
        <w:rPr/>
      </w:pPr>
      <w:r>
        <w:rPr>
          <w:rFonts w:ascii="IRNazanin" w:hAnsi="IRNazanin" w:eastAsia="IRNazanin"/>
          <w:color w:val="111111"/>
          <w:sz w:val="28"/>
          <w:sz w:val="28"/>
          <w:szCs w:val="28"/>
          <w:rtl w:val="true"/>
          <w:lang w:bidi="fa-IR"/>
        </w:rPr>
        <w:t>من الواضح أن الموقف الأولي هو عدم الاعتماد على الخبر مع جهالة المسؤول والمُتحدِث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الحجية إنما هي لكلام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دام لم يُحرز أنه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حجية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الشك في الحجية يساوق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فيما لو توفرت قرائن تُعين أن المسؤول هو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لا مانع من حجيته، وقد وقع الكلام في مدى قيام القرينة في عامة المضمرات الواقعة في كتب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عليه مشهور المتأخرين هو البناء على ظهور الضمير في الرجوع إلى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لوجهين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بالنظر إلى منشأ تحقق الإضمار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منشأه أن الأحاديث كانت في الأصول والمصنفات تتضمن الأخبار التي يسأل السائل فيها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أشياء عدَّة، وحينما يعود إلى تدوين الحديث لا يكرر اسم </w:t>
      </w:r>
    </w:p>
    <w:p>
      <w:pPr>
        <w:pStyle w:val="BookText"/>
        <w:rPr/>
      </w:pPr>
      <w:r>
        <w:rPr>
          <w:rFonts w:ascii="IRNazanin" w:hAnsi="IRNazanin" w:eastAsia="IRNazanin"/>
          <w:color w:val="111111"/>
          <w:sz w:val="28"/>
          <w:sz w:val="28"/>
          <w:szCs w:val="28"/>
          <w:rtl w:val="true"/>
          <w:lang w:bidi="fa-IR"/>
        </w:rPr>
        <w:t xml:space="preserve">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كل سؤال على طريقة العرب في الاختصار، وإنما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مجيء مرحلة المجاميع الروائية التي صُنِّفَت اعتماداً على الأصول والمصنفات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الخبر فيها بتمامه في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قُطع باعتبار اشتماله على موضوعات عدة سأل عنها مُصنِّفُ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يُقطع فيؤخذ كل موضوع منه فيُجعل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ويُكتب كما هو وبلغته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نشأت ظاهرة المضمر من التقطيع لا من جهالة المسؤول في أصل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بالنظر إلى رواة الحديث والمدونين له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 الاضمار كثيراً ما يقع في روايات</w:t>
      </w:r>
    </w:p>
    <w:p>
      <w:pPr>
        <w:pStyle w:val="BookText"/>
        <w:rPr/>
      </w:pPr>
      <w:r>
        <w:rPr>
          <w:rFonts w:ascii="IRNazanin" w:hAnsi="IRNazanin" w:eastAsia="IRNazanin"/>
          <w:color w:val="111111"/>
          <w:sz w:val="28"/>
          <w:sz w:val="28"/>
          <w:szCs w:val="28"/>
          <w:rtl w:val="true"/>
          <w:lang w:bidi="fa-IR"/>
        </w:rPr>
        <w:t>الأجلاّء كزرارة ومحمد بن مسلم، وليس من شأن هؤلاء أن يسألوا غير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أن المدونين لهذه الأخبار المضمرة في كُتبٍ موضوعةٍ لنقل روايات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كالمشايخ الثلاثة يقتضي فهمهم رجوع الضمير إلى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وهذان الوجهان يُعطيهما قول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الإضمار فغير قادح فإنه ناشئ من تقطيع الأخبار وتبويبها، وإلا فليس من شأن العيص أن يودع كتابه الموضوع للرواية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شأن الشيخ ذلك أيضاً</w:t>
      </w:r>
      <w:r>
        <w:rPr>
          <w:rFonts w:eastAsia="IRNazanin" w:cs="IRNazanin"/>
          <w:color w:val="111111"/>
          <w:sz w:val="28"/>
          <w:szCs w:val="28"/>
          <w:rtl w:val="true"/>
          <w:lang w:bidi="fa-IR"/>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يقدح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الإضمار لإثباتها في الكتب المعتبرة التي ألفها أصحابها الأعاظم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لجمع أحاديث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في السند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الاضطراب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الاختلاف</w:t>
      </w:r>
      <w:r>
        <w:rPr>
          <w:rStyle w:val="FootnoteAnchor"/>
          <w:rtl w:val="true"/>
        </w:rPr>
        <w:footnoteReference w:id="460"/>
      </w:r>
      <w:r>
        <w:rPr>
          <w:rFonts w:ascii="Amiri" w:hAnsi="Amiri" w:eastAsia="Amiri" w:cs="Amiri"/>
          <w:color w:val="111111"/>
          <w:sz w:val="28"/>
          <w:sz w:val="28"/>
          <w:szCs w:val="28"/>
          <w:rtl w:val="true"/>
          <w:lang w:bidi="ar-SA"/>
        </w:rPr>
        <w:t>وفي اصطلاح علوم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يقع اختلاف في سند الحديث</w:t>
      </w:r>
      <w:r>
        <w:rPr>
          <w:rStyle w:val="FootnoteAnchor"/>
          <w:rtl w:val="true"/>
        </w:rPr>
        <w:footnoteReference w:id="461"/>
      </w:r>
      <w:r>
        <w:rPr>
          <w:rFonts w:ascii="Amiri" w:hAnsi="Amiri" w:eastAsia="Amiri" w:cs="Amiri"/>
          <w:color w:val="111111"/>
          <w:sz w:val="28"/>
          <w:sz w:val="28"/>
          <w:szCs w:val="28"/>
          <w:rtl w:val="true"/>
          <w:lang w:bidi="ar-SA"/>
        </w:rPr>
        <w:t xml:space="preserve">كأن يأتي فيه رواية شخص عمن لا يروى عنه إلا </w:t>
      </w:r>
    </w:p>
    <w:p>
      <w:pPr>
        <w:pStyle w:val="BookText"/>
        <w:rPr/>
      </w:pPr>
      <w:r>
        <w:rPr>
          <w:rFonts w:ascii="Amiri" w:hAnsi="Amiri" w:eastAsia="Amiri" w:cs="Amiri"/>
          <w:color w:val="111111"/>
          <w:sz w:val="28"/>
          <w:sz w:val="28"/>
          <w:szCs w:val="28"/>
          <w:rtl w:val="true"/>
          <w:lang w:bidi="ar-SA"/>
        </w:rPr>
        <w:t>بواسطة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سلب الوثوق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باعتبار وقوع نوع اضطراب فيه مع غرابته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المعهود من رواية سعد عن محمد بن الحسين أن تكون بلا واسطة ورواية محمد بن الحسين عن ابن أبي نجران غير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مما يستوجب قلة الوثوق</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صور تعدد شكل السند لا مانع منها كرواية الخبر، تارة بواسطة وأخرى من دونها، أو تارة مرسلاً عن الإمام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لوقوع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وعن الشيخ أنه أشكل على الصحيح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الأصل فيه جميل وحماد وهما تارة يرويانه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وأخرى يرويانه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جميل تارة يرويه مرسلاً عن بعض أصحابه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الاضطراب في الحديث مما يُضعف الاحتجاج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w:t>
      </w:r>
    </w:p>
    <w:p>
      <w:pPr>
        <w:pStyle w:val="BookText"/>
        <w:rPr/>
      </w:pPr>
      <w:r>
        <w:rPr>
          <w:rFonts w:ascii="Amiri" w:hAnsi="Amiri" w:eastAsia="Amiri" w:cs="Amiri"/>
          <w:color w:val="111111"/>
          <w:sz w:val="28"/>
          <w:sz w:val="28"/>
          <w:szCs w:val="28"/>
          <w:rtl w:val="true"/>
          <w:lang w:bidi="ar-SA"/>
        </w:rPr>
        <w:t>الإشكال غير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وقوع ذلك كله ولا محذور فيه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لو كان هناك سند مضطرب إلا أن الأصحاب عملوا بمتنه، فحينئذ لا يكون الاضطراب في السند مضراً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للوثوق الحاصل من عمل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وحماد إن كان ابن عيسى فتبعد روايته عن عبيد الله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ابن عثمان فتبعد رواية الحسين بن سعيد عنه بلا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مجال للطعن في الروايات بالضعف بعد اعتماد من عرفت عليها</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منها أنه في قبال الصحيح لمكان عطفه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إلى سماعة وإسناده إليه صحيح أو مصحح</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والطريق الأول مُصحح والباقي صحاح</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بالمصحح ما لو وقع في إسناد الحديث من لم يوثق في كتب الرجال ولا ذُكِرَ حسن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تعارض فيه التوثيق والتضعيف، لكن يُصحح حديثه اعتماداً على قرائن تفضي إلى وثاقته أو حسن حاله، كما هو الحال في سهل بن زياد، ومحمد بن سنان، وإبراهيم بن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والسند مصحح لأجل إبراهيم بن هاشم</w:t>
      </w:r>
      <w:r>
        <w:rPr>
          <w:rFonts w:eastAsia="Amiri" w:cs="Amiri" w:ascii="Amiri" w:hAnsi="Amiri"/>
          <w:color w:val="111111"/>
          <w:sz w:val="28"/>
          <w:szCs w:val="28"/>
          <w:rtl w:val="true"/>
          <w:lang w:bidi="ar-SA"/>
        </w:rPr>
        <w:t>)</w:t>
      </w:r>
      <w:r>
        <w:rPr>
          <w:rStyle w:val="FootnoteAnchor"/>
          <w:rtl w:val="true"/>
        </w:rPr>
        <w:footnoteReference w:id="46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إبراهيم من الأجلاء وأبوه مصحح الحديث</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إنما يُعبر بالمصحح فيما لو كان منشأ تصحيح غيره مقنعاً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يكتفي بهذا التعبير في تصحيح شخص للحديث من غير أن يقتنع بتماميته، ومن ثَمَّ جعل المصحح معتبر الإسناد في غير موضع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في إثبات القول المذكور المصحح المعتبر السند</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السند مصحح في رواية الكافي، وموثق في رواية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حجة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قطعة من مخطوطة له جواز الاعتماد على تصحيح غيره فيما لو أحرز أن تصحيحه كان معتمداً على تطبيق القواعد الرجالية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المجتهد الذي يستنبط فيمكن له أن يعتمد عل تصحيحهم لها بعد وثوقه بهم، إذا قطع أن منشأ الاعتبار عندهم إعمال القواعد الرجالية وتمييز الصحيح من السقيم، لا عن حدس واجتهاد مثل توهم كون مؤدى الخبر مجمعاً عليه، أو كان مطابقاً لأصل مسلم بحيث لو أطلعنا على مباني اعتباره لها كانت عندنا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احتمال ذلك مانع من الاعتماد عليها</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bookmarkStart w:id="289" w:name="pg9087_85297"/>
    </w:p>
    <w:p>
      <w:pPr>
        <w:pStyle w:val="Heading4"/>
        <w:numPr>
          <w:ilvl w:val="3"/>
          <w:numId w:val="1"/>
        </w:numPr>
        <w:rPr/>
      </w:pPr>
      <w:bookmarkStart w:id="290" w:name="__RefHeading___Toc2684309_2870459653"/>
      <w:bookmarkStart w:id="291" w:name="_Toc105"/>
      <w:bookmarkEnd w:id="289"/>
      <w:bookmarkEnd w:id="290"/>
      <w:r>
        <w:rPr>
          <w:rtl w:val="true"/>
        </w:rPr>
        <w:t>المحور الأول</w:t>
      </w:r>
      <w:r>
        <w:rPr>
          <w:rtl w:val="true"/>
        </w:rPr>
        <w:t xml:space="preserve">: </w:t>
      </w:r>
      <w:r>
        <w:rPr>
          <w:rtl w:val="true"/>
        </w:rPr>
        <w:t xml:space="preserve">حدود حجية الخبر </w:t>
      </w:r>
      <w:r>
        <w:rPr>
          <w:rtl w:val="true"/>
        </w:rPr>
        <w:t>(</w:t>
      </w:r>
      <w:r>
        <w:rPr>
          <w:rtl w:val="true"/>
        </w:rPr>
        <w:t>من حيث المتن</w:t>
      </w:r>
      <w:r>
        <w:rPr>
          <w:rtl w:val="true"/>
        </w:rPr>
        <w:t>)</w:t>
      </w:r>
      <w:bookmarkEnd w:id="291"/>
    </w:p>
    <w:p>
      <w:pPr>
        <w:pStyle w:val="BookText"/>
        <w:rPr/>
      </w:pPr>
      <w:r>
        <w:rPr>
          <w:rFonts w:ascii="Amiri" w:hAnsi="Amiri" w:eastAsia="Amiri" w:cs="Amiri"/>
          <w:color w:val="111111"/>
          <w:sz w:val="28"/>
          <w:sz w:val="28"/>
          <w:szCs w:val="28"/>
          <w:rtl w:val="true"/>
          <w:lang w:bidi="ar-SA"/>
        </w:rPr>
        <w:t xml:space="preserve">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أمور لها دور في تحديد حجية الخبر من حيث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الاضطراب في المتن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إمكان التفكيك في الحجية بيَّن فقرات الحديث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إعراض القدماء عن الخبر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المتقدمين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وسنأتي عليها تباعاً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الاضطراب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الاضطراب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اصطلاح علوم الحديث هو اختلاف متن الحديث</w:t>
      </w:r>
      <w:r>
        <w:rPr>
          <w:rStyle w:val="FootnoteAnchor"/>
          <w:rtl w:val="true"/>
        </w:rPr>
        <w:footnoteReference w:id="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وللاضطراب في متن الحديث صور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الجملة، كما لو لم يظهر خبر مبتدأ ورد 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ولما في رواية الفتح بن يزيد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كان من السخال الصوف إن جُزَّ، والشعر، والوبر، والأنِفحة، والقرن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رواية الجرجاني فمع أنها ضعيفة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وأنها لا تخلو من اضطراب لعدم ظهور خبر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التنافي بين الصدر والذيل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به اختلافها على وجه لا يصلح أحدهما قرينة على المراد من الآخر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صحيح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عن رجل يصلي، ثم يجلس، فيُحدث قبل أن يُسلم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مع الإمام فوجد في بطنه أذى، فسلم في نفسه وقام فقد تمّت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الاضطراب في صحيح زرارة الأولى لظهور صدره في تمامية الصلاة بدون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وظهور ذيله في توقفها عليه</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يُترك أمر ضروري تعويلاً على ما حُكى في مرحلة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لحمنة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تحيض في كل شهر في علم الله ستة أيام، أو سبعة أيام، ثم اغتسلي غُسلاً، وصومي ثلاثة وعشرين يوماً، أو أربعة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فسنتها السبع والثلاث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قصتها كقصة حمنة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وذلك مما يوجب اضطراب رواية الست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احتمال اعتماد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ترك ذكر الست على ما حكاه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w:t>
      </w:r>
      <w:r>
        <w:rPr>
          <w:rFonts w:eastAsia="IRNazanin" w:cs="IRNazanin"/>
          <w:color w:val="111111"/>
          <w:sz w:val="28"/>
          <w:szCs w:val="28"/>
          <w:rtl w:val="true"/>
          <w:lang w:bidi="fa-IR"/>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تشويش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لصحيح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أخيه</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يصلي من الفريضة ما يجهر فيه من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عليه أن لا يجهر؟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جهر وإن شاء لم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فيه لا يخلو من تشويش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إذا فرض فيه أن الفريضة مما يجهر فيها بالقراءة كيف يصح السؤال عن أنه عليه أن لا يجهر</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والاضطراب في متن الحديث يوجب عدم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مجموع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سلب الوثوق الذي هو مناط الحجية</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هذا الاضطراب لا يحصل الوثوق النوعي بعدم طروء الخلل من جهة الزيادة والنقيصة</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الإجمال المسقط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السؤال لا يخلو من تشويش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مما يوجب الإجمال المسقط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كشف اللثام ومفتاح الكرامة، وعن قرب الإسناد رواية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عليه أن يجهر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لا يدفع الاضطراب</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ليعلم أن الاضطراب في المتن لا يقدح في الحجية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الاضطراب بدوياً ترفعه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والاضطراب إنما يقدح لو كان مستقراً، أما إذا أرتفع بالقرائن أو القواعد فلا أثر له في سقوط الرواية عن الحجية</w:t>
      </w:r>
      <w:r>
        <w:rPr>
          <w:rFonts w:eastAsia="Amiri" w:cs="Amiri" w:ascii="Amiri" w:hAnsi="Amiri"/>
          <w:color w:val="111111"/>
          <w:sz w:val="28"/>
          <w:szCs w:val="28"/>
          <w:rtl w:val="true"/>
          <w:lang w:bidi="ar-SA"/>
        </w:rPr>
        <w:t>)</w:t>
      </w:r>
      <w:r>
        <w:rPr>
          <w:rStyle w:val="FootnoteAnchor"/>
          <w:rtl w:val="true"/>
        </w:rPr>
        <w:footnoteReference w:id="480"/>
      </w:r>
      <w:r>
        <w:rPr>
          <w:rFonts w:ascii="Amiri" w:hAnsi="Amiri" w:eastAsia="Amiri" w:cs="Amiri"/>
          <w:color w:val="111111"/>
          <w:sz w:val="28"/>
          <w:sz w:val="28"/>
          <w:szCs w:val="28"/>
          <w:rtl w:val="true"/>
          <w:lang w:bidi="ar-SA"/>
        </w:rPr>
        <w:t>والوجه فيه أن الاضطراب البدوي المرتفع بالتأمل لا يوجب سلب الوثوق بالرواية ولا يؤدي إلى إجمالها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الاضطراب في غير محل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المدارك أن الرواية ضعيفة السند متهافتة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والتهافت ليس في محل الاستدلال الذي هو الصدر</w:t>
      </w:r>
      <w:r>
        <w:rPr>
          <w:rFonts w:eastAsia="Amiri" w:cs="Amiri" w:ascii="Amiri" w:hAnsi="Amiri"/>
          <w:color w:val="111111"/>
          <w:sz w:val="28"/>
          <w:szCs w:val="28"/>
          <w:rtl w:val="true"/>
          <w:lang w:bidi="ar-SA"/>
        </w:rPr>
        <w:t>)</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انتفاء الوثوق ببعض الخبر لا يوجب انتفاء الوثوق بتمامه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يبتني التفكيك في حجية فقرات الخبر الآتي في المبحث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التفكيك في الحجية بين فقرات الحديث الواحد</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اشتمل متن الخبر على معنى لا يمكن الالتزام به، إما لقيام الدليل القطعي على خلافه، أو لوجود المعارض له، أو لوهنه بمخالفة الأصحاب، فهل </w:t>
      </w:r>
    </w:p>
    <w:p>
      <w:pPr>
        <w:pStyle w:val="BookText"/>
        <w:rPr/>
      </w:pPr>
      <w:r>
        <w:rPr>
          <w:rFonts w:ascii="Amiri" w:hAnsi="Amiri" w:eastAsia="Amiri" w:cs="Amiri"/>
          <w:color w:val="111111"/>
          <w:sz w:val="28"/>
          <w:sz w:val="28"/>
          <w:szCs w:val="28"/>
          <w:rtl w:val="true"/>
          <w:lang w:bidi="ar-SA"/>
        </w:rPr>
        <w:t>يؤدي ذلك لسلب الحجية عن الخبر بالجملة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مبنى الأول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الحجة هو الخبر الموثوق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واضطراب بعض فقرات الخبر يوجب سلب الوثوق به بالجملة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كون الخبر مطلق خبر الثقة وإن لم يوجب الوثوق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الحجة وإن كانت هي الخبر الموثوق به، إلا أنه لا موجب لرد الوثوق عما لا اضطراب فيه من فقرات الحديث، لوجود اضطراب في بعض آخر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الذي ذهب إليه السيد الحكيم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فرآى أن اضطراب بعض الخبر لا يوجب سلب الحجية عنه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ترفع اليد عن المقدار الذي لا يمكن الالتزام به، وتبقى باقي الفقرات حجة لتماميتها في إفادة معانيها، مع عدم وجود ما يقتضي رفع اليد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 مقطع تام المعنى هو بمثابة خبر برأسه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سقوط بعض فقرات الرواية عن الحجية للمعارض لا يوجب سقوط الجميع عنها</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 على مالا يقول به الأصحاب من عدم قضاء الصلاة، لإمكان التفكيك في الحجية بين فقرات الحديث الواحد</w:t>
      </w:r>
      <w:r>
        <w:rPr>
          <w:rFonts w:eastAsia="Amiri" w:cs="Amiri" w:ascii="Amiri" w:hAnsi="Amiri"/>
          <w:color w:val="111111"/>
          <w:sz w:val="28"/>
          <w:szCs w:val="28"/>
          <w:rtl w:val="true"/>
          <w:lang w:bidi="ar-SA"/>
        </w:rPr>
        <w:t>)</w:t>
      </w:r>
      <w:r>
        <w:rPr>
          <w:rStyle w:val="FootnoteAnchor"/>
          <w:rtl w:val="true"/>
        </w:rPr>
        <w:footnoteReference w:id="4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مانع من التفكيك بين القيدين فيُعمل بظاهر أحدهما وترفع اليد عن الآخر بقرينة خارجية</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إعراض القدماء عن الخبر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جملة الأمور التي لها دور في سلب الحجية عن الخبر إعراضَ القدماء عنه بأن لم يعملوا بمفاده، فيكون ذلك موهناً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يوجب سلب الوثوق المعتبر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يكفي في وهن الصحيح إعراض القدماء عن </w:t>
      </w:r>
    </w:p>
    <w:p>
      <w:pPr>
        <w:pStyle w:val="BookText"/>
        <w:rPr/>
      </w:pP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يوجب ارتفاع الوثوق المعتبر في الحجية</w:t>
      </w:r>
      <w:r>
        <w:rPr>
          <w:rFonts w:eastAsia="Amiri" w:cs="Amiri" w:ascii="Amiri" w:hAnsi="Amiri"/>
          <w:color w:val="111111"/>
          <w:sz w:val="28"/>
          <w:szCs w:val="28"/>
          <w:rtl w:val="true"/>
          <w:lang w:bidi="ar-SA"/>
        </w:rPr>
        <w:t>)</w:t>
      </w:r>
      <w:r>
        <w:rPr>
          <w:rStyle w:val="FootnoteAnchor"/>
          <w:rtl w:val="true"/>
        </w:rPr>
        <w:footnoteReference w:id="48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في وهن النصوص في المقامين إعراض المشهور عنها، وبناؤهم على طرحها، مع ما هي عليه من صحة السند وقوة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كله يوجب الوثوق بورودها لغير بيان الحكم الواقعي</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ارتفاع الوثوق بالخبر بعد إعراض القدماء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يكشف عنه الإعراض من اطلاعهم على عدم الصدور، أو على وجهه، أو على قرينة تقتضي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اعراض المشهور إنما يقدح في الحجية لو كان كاشفاً عن اطلاعهم على عدم الصدور، أو على وجه الصدور، أو على قرينة تقتضي خلاف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اطلعنا عليها لكانت قرينةً عندنا</w:t>
      </w:r>
      <w:r>
        <w:rPr>
          <w:rFonts w:eastAsia="Amiri" w:cs="Amiri" w:ascii="Amiri" w:hAnsi="Amiri"/>
          <w:color w:val="111111"/>
          <w:sz w:val="28"/>
          <w:szCs w:val="28"/>
          <w:rtl w:val="true"/>
          <w:lang w:bidi="ar-SA"/>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إعراض الأصحاب عنها يكشف عن القرينة على خلافه الموجب لإجمالها</w:t>
      </w:r>
      <w:r>
        <w:rPr>
          <w:rFonts w:eastAsia="Amiri" w:cs="Amiri" w:ascii="Amiri" w:hAnsi="Amiri"/>
          <w:color w:val="111111"/>
          <w:sz w:val="28"/>
          <w:szCs w:val="28"/>
          <w:rtl w:val="true"/>
          <w:lang w:bidi="ar-SA"/>
        </w:rPr>
        <w:t>)</w:t>
      </w:r>
      <w:r>
        <w:rPr>
          <w:rStyle w:val="FootnoteAnchor"/>
          <w:rtl w:val="true"/>
        </w:rPr>
        <w:footnoteReference w:id="48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كثرتها لا تصحح العمل بها بعد إعراض الأصحاب عنها، فإن الإعراض كاشف عن خلل في صدورها أو في ظهورها</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بقيت نكات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النكتة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شروط وهن الخبر بإعراض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موهنية إعراض الفقهاء عن الخبر أمران</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أو يحتمل استنادهم إلى جهة معينة غير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نشأ عن جمع غير مقبول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فالإعراض الموهن ما يكشف عن خلل في الخبر </w:t>
      </w:r>
    </w:p>
    <w:p>
      <w:pPr>
        <w:pStyle w:val="BookText"/>
        <w:rPr/>
      </w:pPr>
      <w:r>
        <w:rPr>
          <w:rFonts w:ascii="Amiri" w:hAnsi="Amiri" w:eastAsia="Amiri" w:cs="Amiri"/>
          <w:color w:val="111111"/>
          <w:sz w:val="28"/>
          <w:sz w:val="28"/>
          <w:szCs w:val="28"/>
          <w:rtl w:val="true"/>
          <w:lang w:bidi="ar-SA"/>
        </w:rPr>
        <w:t>سنداً أو 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يوجب سلب الوثوق بكون الخبر على الوجه المنقول، ومن ثَمَّ لم يجعل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الإعراض موهناً في موارد عديدة 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تشكل نصوص الطهارة من جهة إعراض القدماء عنها، وعدم اعتمادهم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يندفع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يثبت كونه إعراضاً موهناً لها، بل من الجائز أن يكون لبنائهم على عدم الجمع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ومجرد احتمال كونه لأجل اطلاعهم على قرينة تنافي أصالة الظهور فيها أو أصالة الجهة لا يكفي في رفع اليد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خلاف الأصل العقلائي المقتضي لنفي ذلك الاحتمال</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إعراض المشهور عنها لا يصلح موهناً لها، لاحتمال أن يكون لبعض الوجوه المرجحة لغيرها عليها في نظرهم</w:t>
      </w:r>
      <w:r>
        <w:rPr>
          <w:rFonts w:eastAsia="Amiri" w:cs="Amiri" w:ascii="Amiri" w:hAnsi="Amiri"/>
          <w:color w:val="111111"/>
          <w:sz w:val="28"/>
          <w:szCs w:val="28"/>
          <w:rtl w:val="true"/>
          <w:lang w:bidi="ar-SA"/>
        </w:rPr>
        <w:t>)</w:t>
      </w:r>
      <w:r>
        <w:rPr>
          <w:rStyle w:val="FootnoteAnchor"/>
          <w:rtl w:val="true"/>
        </w:rPr>
        <w:footnoteReference w:id="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أن إعراض المشهور عنه لا يوجب سقوطه عن الحجية، لإمكان كونه لبنائهم على تعارض النصوص في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ترجيح غيره عليه</w:t>
      </w:r>
      <w:r>
        <w:rPr>
          <w:rFonts w:eastAsia="Amiri" w:cs="Amiri" w:ascii="Amiri" w:hAnsi="Amiri"/>
          <w:color w:val="111111"/>
          <w:sz w:val="28"/>
          <w:szCs w:val="28"/>
          <w:rtl w:val="true"/>
          <w:lang w:bidi="ar-SA"/>
        </w:rPr>
        <w:t>)</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يتأمل في قدح مثل هذا الإعراض، لاحتمال كون مستنده بناءهم على قرينة خلو جملة من النصوص منه، مع اشتماله على غيره من المكروهات إجماعاً</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 الإعراض الموهن، لاحتمال كون منشئه دعوى مخالفة الإجماع وهي غير ثابتة الحجية</w:t>
      </w:r>
      <w:r>
        <w:rPr>
          <w:rFonts w:eastAsia="Amiri" w:cs="Amiri" w:ascii="Amiri" w:hAnsi="Amiri"/>
          <w:color w:val="111111"/>
          <w:sz w:val="28"/>
          <w:szCs w:val="28"/>
          <w:rtl w:val="true"/>
          <w:lang w:bidi="ar-SA"/>
        </w:rPr>
        <w:t>)</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وإعراض المشهور عنها لا يقدح بعد احتمال بنائهم على كون المقام من التعارض بين الرواية وغيرها، وأن الترجيح مع الثاني لصحة السند وكثرة العدد</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تمامية الإعراض الموهن أن لا يكون محتمل الوجه، مع عدم تمامية الوجه المحتمل في حد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الإعراض من قِبَل المتقدمين دون المتأخرين، ممن يُحرز وصول الخبر إليهم على الوجه الذي وصل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يحتمل توفرهم على أمر إضافي بشأنه غاب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كالعلامة والفاضلين والشهيدين والمحقق الثاني</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يشير إلى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وكيف كان فالروايات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سندها وتمت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للعمل بها، لأن مضمونها من المستنكرات الواضحة عند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العمدة في سقوطها عن الحجية لا إعراض المتأخرين عنها، لأن عمل القدماء أولى بالعناية من إعراض المتأخرين</w:t>
      </w:r>
      <w:r>
        <w:rPr>
          <w:rFonts w:eastAsia="Amiri" w:cs="Amiri" w:ascii="Amiri" w:hAnsi="Amiri"/>
          <w:color w:val="111111"/>
          <w:sz w:val="28"/>
          <w:szCs w:val="28"/>
          <w:rtl w:val="true"/>
          <w:lang w:bidi="ar-SA"/>
        </w:rPr>
        <w:t>)</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وإعراض المتأخرين لا يجدي بعد عمل القدماء</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يتحقق به الإعراض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يتوقف تحقق الإعراض بعملهم على مخالفة مضمون الخبر بالفعل، أو يكفي في تحققه عدم افتائهم على طبقه ولو من جهة عدم تعرضهم للحكم في كلماتهم؟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الثاني،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وكفى في تحقق الإعراض أنه لم يتعرض للحكم المذكور في كلمات المتقدمين والمتأخرين ومتأخريهم إلى زمان المحدث البحراني وما قارب عصره، ولم يتعرض له جماعة من الأخباريين ولم يتضح البناء على الحرمة إلا من نادر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والباقون ما بين راد له ومتردد </w:t>
      </w:r>
    </w:p>
    <w:p>
      <w:pPr>
        <w:pStyle w:val="BookText"/>
        <w:rPr/>
      </w:pP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الظاهر أنه يُشترط في تحقق الإعراض بعدم تعرضهم للحكم، أن يكون على وجه يُعلم أن ترك التعرض له مبني على عدم الاعتماد على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احتمل أن يكون ذلك لوجه آخر كالاعتماد على قاعدة عامة، فلا يتحقق الإعراض بعدم التعرض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يثبت إعراضهم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تصريحهم بخلافه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عدم التعرض لمضمونه غير كافٍ في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إطلاق بعضهم معذورية الجاهل بالقصر والاتمام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يضر بتحقق الإعراض مخالفة بعض المتقدمين وعملهم على طبق الخبر أو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فالعمدة في رفع اليد عن هذه النصوص إعراض المشهور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يعرف القول بمضمونها إلا من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المسائل الناصرية دون غيره من كتبه</w:t>
      </w:r>
      <w:r>
        <w:rPr>
          <w:rFonts w:eastAsia="Amiri" w:cs="Amiri" w:ascii="Amiri" w:hAnsi="Amiri"/>
          <w:color w:val="111111"/>
          <w:sz w:val="28"/>
          <w:szCs w:val="28"/>
          <w:rtl w:val="true"/>
          <w:lang w:bidi="ar-SA"/>
        </w:rPr>
        <w:t>)</w:t>
      </w:r>
      <w:r>
        <w:rPr>
          <w:rStyle w:val="FootnoteAnchor"/>
          <w:rtl w:val="true"/>
        </w:rPr>
        <w:footnoteReference w:id="5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ضعيف السند غير مجبور بالعمل، واعتماد الصدوق عليه لا يعارض إعراض الأصحاب عنه</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وربما يُعد قول الشيخ في التهذيبين مخالفاً ناقضاً للإعراض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في ذلك نظراً إلى عدم إعدادها للإفتاء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موضع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مضافاً إلى إعراض الأصحاب عنه، بل كاد أن ينعقد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يُعرف القول بالإعادة من أحد سواه في خصوص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معد للفتوى</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النكتة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تحقق الإعراض عن بعض فقرات الخبر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يؤدي ذلك إلى سلب الحجية عن الخبر بالجملة أو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وبنى على أنه يقتصر على سقوط المقدار الذي تحقق الإعراض عنه، لما مر من إمكان التفكيك عنده في الحجية بين فقرات الخبر الواحد، بأن نُبقي على المقدار غير المعرض عنه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ونرفع اليد عن حجية ما تحقق الإعراض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وتوهم أن إعراض المشهور عن ذيله المتضمن لاعتبار خمسة عشر ذراعاً يقدح في حجيته مندفع بأن ذلك إنما يقتضي حمل ذيله على الاستحباب، أو على مالو توقف زوال العين على المشي بالمقدار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يسقط إطلاق صدره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لإمكان التفكيك بينهما في الحجية</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النكتة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الإعراض عن الخبر الموجب لسقوطه عن الحجية فيما يكون ظاهراً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يؤدي إلى سقوط الخبر عن الحجية، لأنه يؤدي إلى سلب الوثوق بصدوره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يختلف بحسب الموارد، لأن الإعراض عن الخبر بمنزلة دليل إجمالي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هناك جمع دلالي عرفي يحمل الخبر على غير المعنى</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المعرض عنه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أمكن حمله على التقية فيجوز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تعذر ذلك سقط اعتبار 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الظاهر من مجموع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ذكر خيارات عدّة في الخبر المُعرض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سقوطه عن الحجية، وردّ علمه إلى أهله، أو حمله على التقية، أو على بعض المحامل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مجال له بعد إعراض الأصحاب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طرحهما، أو إيكال العلم بهما إلى </w:t>
      </w:r>
    </w:p>
    <w:p>
      <w:pPr>
        <w:pStyle w:val="BookText"/>
        <w:rPr/>
      </w:pPr>
      <w:r>
        <w:rPr>
          <w:rFonts w:ascii="IRNazanin" w:hAnsi="IRNazanin" w:eastAsia="IRNazanin"/>
          <w:color w:val="111111"/>
          <w:sz w:val="28"/>
          <w:sz w:val="28"/>
          <w:szCs w:val="28"/>
          <w:rtl w:val="true"/>
          <w:lang w:bidi="fa-IR"/>
        </w:rPr>
        <w:t>أهله، أو حملهما على بعض المحامل</w:t>
      </w:r>
      <w:r>
        <w:rPr>
          <w:rFonts w:eastAsia="IRNazanin" w:cs="IRNazanin"/>
          <w:color w:val="111111"/>
          <w:sz w:val="28"/>
          <w:szCs w:val="28"/>
          <w:rtl w:val="true"/>
          <w:lang w:bidi="fa-IR"/>
        </w:rPr>
        <w:t>)</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مجال له بعد إعراض الأصحاب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فيتعين حملها على التقية، أو الضرورة، أو النظر الاتفاقي</w:t>
      </w:r>
      <w:r>
        <w:rPr>
          <w:rFonts w:eastAsia="Amiri" w:cs="Amiri" w:ascii="Amiri" w:hAnsi="Amiri"/>
          <w:color w:val="111111"/>
          <w:sz w:val="28"/>
          <w:szCs w:val="28"/>
          <w:rtl w:val="true"/>
          <w:lang w:bidi="ar-SA"/>
        </w:rPr>
        <w:t>...)</w:t>
      </w: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العمدة في وهنه إعراض الأصحاب عنه مع صحة سنده وصراحة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على التقية أو يطرح</w:t>
      </w:r>
      <w:r>
        <w:rPr>
          <w:rFonts w:eastAsia="Amiri" w:cs="Amiri" w:ascii="Amiri" w:hAnsi="Amiri"/>
          <w:color w:val="111111"/>
          <w:sz w:val="28"/>
          <w:szCs w:val="28"/>
          <w:rtl w:val="true"/>
          <w:lang w:bidi="ar-SA"/>
        </w:rPr>
        <w:t>)</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إعراض المشهور عنه يمنع من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على كونه أدبياً</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المتقدمين بالخبر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عمل المتقدمين بالخبر هل يوجب انجباره أم لا؟</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نظراً إلى حصول الوثوق به، لأن عملهم لا يكون إلا بالاطلاع على ما يوجب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إعراضهم لا يكون إلا بالاطلاع على ما يخل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وبعد ذلك لا مجال للمناقشة في سنده كما عن المدارك، تبعاً لشيخه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بملاحظة اعتماد الأصحاب عليه، واستدلالهم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من لا يعمل الا بالقطعيات كالسيدين</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قصور في سند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بعد انجباره بالعمل</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المراسيل حجة إذا كانت مجبورة بعمل المشهور</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يُشترط في تحقق العمل بالخبر من قبل مشهور المتقدمين أمران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يتم التعرض له في كلماتهم، وافتاؤهم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ثبوت الشهرة الجابرة محل إشكال حيث لم يتعرض له الصدوق والشيخ وأضرابهما، بل ظاهر محكي المقنعة التوقف فيه</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يُحرز تحقق استنادهم في مقام العمل والفتوى إلى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مجرد مطابقة كلماتهم لمضمونه، لاحتمال أن مستندهم حينئذ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عملهم جابراً لضعفه، لعدم تعلقه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ومجرد موافقته للشهرة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جابرة مالم يتحقق الاعتماد</w:t>
      </w:r>
      <w:r>
        <w:rPr>
          <w:rFonts w:eastAsia="Amiri" w:cs="Amiri" w:ascii="Amiri" w:hAnsi="Amiri"/>
          <w:color w:val="111111"/>
          <w:sz w:val="28"/>
          <w:szCs w:val="28"/>
          <w:rtl w:val="true"/>
          <w:lang w:bidi="ar-SA"/>
        </w:rPr>
        <w:t>)</w:t>
      </w: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والرضوي لم تثبت حجيته، وشهرة القول بمضمونه من دون اعتماد عليه غير جابرة</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مجرد الموافقة لفتواهم غير كافية في جبره</w:t>
      </w:r>
      <w:r>
        <w:rPr>
          <w:rFonts w:eastAsia="Amiri" w:cs="Amiri" w:ascii="Amiri" w:hAnsi="Amiri"/>
          <w:color w:val="111111"/>
          <w:sz w:val="28"/>
          <w:szCs w:val="28"/>
          <w:rtl w:val="true"/>
          <w:lang w:bidi="ar-SA"/>
        </w:rPr>
        <w:t>)</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عن كون عمل المشهور جابراً لضعف سند الرواية، لكن هل هو جابر للدلالة بحيث يُعين الظهور أو لا؟ قد يقال بالأول بتقريب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توجب الوثوق بقيام قرينة مقتضية للظهور فيما فهمه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الشهرة لا تصلح لتعيين الظهور</w:t>
      </w:r>
      <w:r>
        <w:rPr>
          <w:rFonts w:eastAsia="Amiri" w:cs="Amiri" w:ascii="Amiri" w:hAnsi="Amiri"/>
          <w:color w:val="111111"/>
          <w:sz w:val="28"/>
          <w:szCs w:val="28"/>
          <w:rtl w:val="true"/>
          <w:lang w:bidi="ar-SA"/>
        </w:rPr>
        <w:t>)</w:t>
      </w:r>
      <w:r>
        <w:rPr>
          <w:rStyle w:val="FootnoteAnchor"/>
          <w:rtl w:val="true"/>
        </w:rPr>
        <w:footnoteReference w:id="516"/>
      </w:r>
      <w:r>
        <w:rPr>
          <w:rFonts w:ascii="Amiri" w:hAnsi="Amiri" w:eastAsia="Amiri" w:cs="Amiri"/>
          <w:color w:val="111111"/>
          <w:sz w:val="28"/>
          <w:sz w:val="28"/>
          <w:szCs w:val="28"/>
          <w:rtl w:val="true"/>
          <w:lang w:bidi="ar-SA"/>
        </w:rPr>
        <w:t xml:space="preserve">ولعل نظره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لو لم يحصل الوثوق به، كما هو الغالب في جانب الدلالة</w:t>
      </w:r>
      <w:r>
        <w:rPr>
          <w:rFonts w:eastAsia="Amiri" w:cs="Amiri" w:ascii="Amiri" w:hAnsi="Amiri"/>
          <w:color w:val="111111"/>
          <w:sz w:val="28"/>
          <w:szCs w:val="28"/>
          <w:rtl w:val="true"/>
          <w:lang w:bidi="ar-SA"/>
        </w:rPr>
        <w:t xml:space="preserve">. </w:t>
      </w:r>
      <w:bookmarkStart w:id="292" w:name="pg9087_85308"/>
    </w:p>
    <w:p>
      <w:pPr>
        <w:pStyle w:val="Heading4"/>
        <w:numPr>
          <w:ilvl w:val="3"/>
          <w:numId w:val="1"/>
        </w:numPr>
        <w:rPr/>
      </w:pPr>
      <w:bookmarkStart w:id="293" w:name="__RefHeading___Toc2684311_2870459653"/>
      <w:bookmarkStart w:id="294" w:name="_Toc106"/>
      <w:bookmarkEnd w:id="292"/>
      <w:bookmarkEnd w:id="293"/>
      <w:r>
        <w:rPr>
          <w:rtl w:val="true"/>
        </w:rPr>
        <w:t>المحور الثاني</w:t>
      </w:r>
      <w:r>
        <w:rPr>
          <w:rtl w:val="true"/>
        </w:rPr>
        <w:t xml:space="preserve">: </w:t>
      </w:r>
      <w:r>
        <w:rPr>
          <w:rtl w:val="true"/>
        </w:rPr>
        <w:t>تعابير رجالية</w:t>
      </w:r>
      <w:bookmarkEnd w:id="294"/>
    </w:p>
    <w:p>
      <w:pPr>
        <w:pStyle w:val="BookText"/>
        <w:rPr/>
      </w:pPr>
      <w:r>
        <w:rPr>
          <w:rFonts w:ascii="Amiri" w:hAnsi="Amiri" w:eastAsia="Amiri" w:cs="Amiri"/>
          <w:color w:val="111111"/>
          <w:sz w:val="28"/>
          <w:sz w:val="28"/>
          <w:szCs w:val="28"/>
          <w:rtl w:val="true"/>
          <w:lang w:bidi="ar-SA"/>
        </w:rPr>
        <w:t>إن وصف حال الراوي من قبل الرجاليين يكون من خلال بيان حاله، من حيث عقيدته، أو أمانته في النقل، أو طبيعة رواياته أو من يروي عنهم بألفاظ تُعرف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ألفاظ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عَقد لها بحثاً في تحديد المراد منها بعض علماء الرجال، كالوحيد البهبهاني في مقدمة تعليقته على منهج المقال، والشيخ أبي علي الحائري في مقدمة منتهى المقال، والشيخ عبد النبي الكاظمي في مقدمة تكملة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تعرض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أثناء كلامه إلى بعض تلك التعابير الرجالية التي احتاجت إلى تحديد الموقف منها، من أجل إيضاح حال الراوي الموصوف بها، كما استعمل هو نفسه بعضها في مقام وصف جملة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 بكذب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مجهول ومهمل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وسنأتي عليها تباعاً إن شاء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ألفاظ الجرح والتعديل نادرة الاستعمال في كلمات الرجاليين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يستعملها إلا النجاشي، ومرّة واحدة في ترجمة أحمد بن هلال </w:t>
      </w:r>
    </w:p>
    <w:p>
      <w:pPr>
        <w:pStyle w:val="BookText"/>
        <w:rPr/>
      </w:pPr>
      <w:r>
        <w:rPr>
          <w:rFonts w:ascii="Amiri" w:hAnsi="Amiri" w:eastAsia="Amiri" w:cs="Amiri"/>
          <w:color w:val="111111"/>
          <w:sz w:val="28"/>
          <w:sz w:val="28"/>
          <w:szCs w:val="28"/>
          <w:rtl w:val="true"/>
          <w:lang w:bidi="ar-SA"/>
        </w:rPr>
        <w:t>العبرتائي</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استظهر منها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إفادتها لجواز الاعتماد على رواية من قيلتْ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ثقة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الظاهر من كونه صالح الرواية جواز الاعتماد على روايته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ثقة في نفسه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ويدعم ما استظهره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الرواية</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فاسد الحديث</w:t>
      </w:r>
      <w:r>
        <w:rPr>
          <w:rFonts w:eastAsia="Amiri" w:cs="Amiri" w:ascii="Amiri" w:hAnsi="Amiri"/>
          <w:color w:val="111111"/>
          <w:sz w:val="28"/>
          <w:szCs w:val="28"/>
          <w:rtl w:val="true"/>
          <w:lang w:bidi="ar-SA"/>
        </w:rPr>
        <w:t>)</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الظاهر في عدم وثاقة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فساد الحديث من جهة اعتماده على الضعفاء، والإكثار من المراسيل، لا من جهة عدم وثاقته في نفسه، كما لعله في مثل سهل بن زياد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الشهادة بكذب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وصف أئمة الرجال راوياً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كأبي سمينة</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وأبي البختري</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يوجب ذلك طرح خبره لعدم احتمال الصدق فيه أصلاً، وبالتالي لا يمكن العمل على طبقه ولو بمستوى رجاء المطلوبية أو لا؟</w:t>
      </w:r>
    </w:p>
    <w:p>
      <w:pPr>
        <w:pStyle w:val="BookText"/>
        <w:rPr/>
      </w:pPr>
      <w:r>
        <w:rPr>
          <w:rFonts w:ascii="Amiri" w:hAnsi="Amiri" w:eastAsia="Amiri" w:cs="Amiri"/>
          <w:color w:val="111111"/>
          <w:sz w:val="28"/>
          <w:sz w:val="28"/>
          <w:szCs w:val="28"/>
          <w:rtl w:val="true"/>
          <w:lang w:bidi="ar-SA"/>
        </w:rPr>
        <w:t xml:space="preserve">اختار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مجرد الشهادة بكذب الراوي لا يمنع من احتمال الصدق الموجب لاحتمال المطلوبية</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استعمله الرجاليون في وصف الراوي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ظاهرة في التفاضل لمكان صيغتها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وتحديد ما به التفاضل إنما يكون بملاحظة المقيس عليه </w:t>
      </w:r>
    </w:p>
    <w:p>
      <w:pPr>
        <w:pStyle w:val="BookText"/>
        <w:rPr/>
      </w:pPr>
      <w:r>
        <w:rPr>
          <w:rFonts w:ascii="Amiri" w:hAnsi="Amiri" w:eastAsia="Amiri" w:cs="Amiri"/>
          <w:color w:val="111111"/>
          <w:sz w:val="28"/>
          <w:sz w:val="28"/>
          <w:szCs w:val="28"/>
          <w:rtl w:val="true"/>
          <w:lang w:bidi="ar-SA"/>
        </w:rPr>
        <w:t>في الوجاهة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يُتوصل إلى ما تُعطيه المفردة من حال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أمثلة ذلك الحسين بن أبي العلاء فهو ممن لم يرد فيه توثيق صريح من النجاشي</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والشيخ</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لكن النجاشي ذكره في ترجمة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حقه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يمكن تحديد حال الحسين بملاحظة ما قيل في حق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النجاشي وثق أخاه عبد الحميد</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دلت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ترجمة الحسين على وثاقته لظهورها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معنى لكون الشخص أوجه من الثقة إلا وثاقته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وليس في الأولى من يتوقف في روايته إلا الحسين، لعدم توثيق الشيخ والنجاشي إياه صريحاً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عبارة النجاشي حيث قال في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وأخواه علي وعبد الحميد روى الجميع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الحسين أوجههم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نصوا على توثيق عبد الحميد أخيه، فيدل الكلام المذكور على أنه أوثق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غير هذا المعنى خلاف الظاهر</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المجهول والمهمل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ألفاظ الجرح التي تُستعمل في وصف الرواة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استعمالات قدماء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استعملها الكشي في موردين في وصفه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الهروي</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إبراهيم</w:t>
      </w:r>
      <w:r>
        <w:rPr>
          <w:rFonts w:eastAsia="Amiri" w:cs="Amiri" w:ascii="Amiri" w:hAnsi="Amiri"/>
          <w:color w:val="111111"/>
          <w:sz w:val="28"/>
          <w:szCs w:val="28"/>
          <w:rtl w:val="true"/>
          <w:lang w:bidi="ar-SA"/>
        </w:rPr>
        <w:t>)</w:t>
      </w:r>
      <w:r>
        <w:rPr>
          <w:rStyle w:val="FootnoteAnchor"/>
          <w:rtl w:val="true"/>
        </w:rPr>
        <w:footnoteReference w:id="52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الغضائري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 بن يزيد، ويوسف بن محمد، وعلي بن محمد</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والنجاشي 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عوف بن عبد الله</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أكثر الشيخ من استعمالها في رجاله بما يزيد على أربعين مرة في أصحاب الإمام الحسين والباقر والصادق والكاظم والرضا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الظاهر من لفظه من كان مغموراً لا يُعرف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ويؤكده قول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إبراهيم مجهول لا يُعرف</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استعمالها في كلمات قدماء الرجاليين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وجدتْ في كلمات ابن داود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والطابع العام بملاحظة موارد استعماله</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أنه يصف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في كلمات متقدمي الرجال من غير مدح أو 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الفرق بين هذين الاصطلاحين هو أن الحكم بالجهالة يكون معارضاً للتوثيق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ليس كذلك مع الاهمال لأنه عدم حكم وحسب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كلتا المفردتين، ولكن بمعنى آخر، حيث يظهر من موارد تطبيقه أنه يُريد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المتروك رأساً بمعنى أنه لم يُذكر في كتب الرجال أصلاً، كما في أحمد بن المثنى</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والحسن بن المبارك</w:t>
      </w:r>
      <w:r>
        <w:rPr>
          <w:rStyle w:val="FootnoteAnchor"/>
          <w:rtl w:val="true"/>
        </w:rPr>
        <w:footnoteReference w:id="536"/>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والحسين </w:t>
      </w:r>
    </w:p>
    <w:p>
      <w:pPr>
        <w:pStyle w:val="BookText"/>
        <w:rPr/>
      </w:pPr>
      <w:r>
        <w:rPr>
          <w:rFonts w:ascii="Amiri" w:hAnsi="Amiri" w:eastAsia="Amiri" w:cs="Amiri"/>
          <w:color w:val="111111"/>
          <w:sz w:val="28"/>
          <w:sz w:val="28"/>
          <w:szCs w:val="28"/>
          <w:rtl w:val="true"/>
          <w:lang w:bidi="ar-SA"/>
        </w:rPr>
        <w:t>ابن عُبيد</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وعبد الله بن الحسن</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والحسين بن علي بن كيسان الصنعاني</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وأبي الحسن الأحمس</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يُريد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من لم يُذكر بمدح أو ذم، سواء أذُكِر أصل عنوانه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المهمل في كلام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إسماعيل بن رياح</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وإسماعيل ابن مرار</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ومحمد بن زيد الطبري</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 لم يُذكر عنوانه أصلاً، فيكون مجهولاً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العنزار</w:t>
      </w:r>
      <w:r>
        <w:rPr>
          <w:rStyle w:val="FootnoteAnchor"/>
          <w:rtl w:val="true"/>
        </w:rPr>
        <w:footnoteReference w:id="544"/>
      </w:r>
    </w:p>
    <w:p>
      <w:pPr>
        <w:pStyle w:val="BookText"/>
        <w:rPr/>
      </w:pPr>
      <w:r>
        <w:rPr>
          <w:rFonts w:ascii="Amiri" w:hAnsi="Amiri" w:eastAsia="Amiri" w:cs="Amiri"/>
          <w:color w:val="111111"/>
          <w:sz w:val="28"/>
          <w:sz w:val="28"/>
          <w:szCs w:val="28"/>
          <w:rtl w:val="true"/>
          <w:lang w:bidi="ar-SA"/>
        </w:rPr>
        <w:t>وعلي بن السندي</w:t>
      </w:r>
      <w:r>
        <w:rPr>
          <w:rStyle w:val="FootnoteAnchor"/>
          <w:rtl w:val="true"/>
        </w:rPr>
        <w:footnoteReference w:id="545"/>
      </w:r>
    </w:p>
    <w:p>
      <w:pPr>
        <w:pStyle w:val="BookText"/>
        <w:rPr/>
      </w:pPr>
      <w:r>
        <w:rPr>
          <w:rFonts w:ascii="Amiri" w:hAnsi="Amiri" w:eastAsia="Amiri" w:cs="Amiri"/>
          <w:color w:val="111111"/>
          <w:sz w:val="28"/>
          <w:sz w:val="28"/>
          <w:szCs w:val="28"/>
          <w:rtl w:val="true"/>
          <w:lang w:bidi="ar-SA"/>
        </w:rPr>
        <w:t>وعبد الله بن الحسن العلوي، حيث بيَّن جهالته بالإهمال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فيه عبد الله بن الحسن العلوي المجهول، لإهمال ذكره في كتب الرجال</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وإنما يصف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 بأحد هذين الوصفين فيما لو لم تتوفر قرائن توجب الوثوق به، كما في محمد بن أحمد العلوي</w:t>
      </w:r>
      <w:r>
        <w:rPr>
          <w:rStyle w:val="FootnoteAnchor"/>
          <w:rtl w:val="true"/>
        </w:rPr>
        <w:footnoteReference w:id="547"/>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وسعدان بن مسلم</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bookmarkStart w:id="295" w:name="pg9087_85313"/>
    </w:p>
    <w:p>
      <w:pPr>
        <w:pStyle w:val="Heading4"/>
        <w:numPr>
          <w:ilvl w:val="3"/>
          <w:numId w:val="1"/>
        </w:numPr>
        <w:rPr/>
      </w:pPr>
      <w:bookmarkStart w:id="296" w:name="__RefHeading___Toc2684313_2870459653"/>
      <w:bookmarkStart w:id="297" w:name="_Toc107"/>
      <w:bookmarkEnd w:id="295"/>
      <w:bookmarkEnd w:id="296"/>
      <w:r>
        <w:rPr>
          <w:rtl w:val="true"/>
        </w:rPr>
        <w:t>المحور الثالث</w:t>
      </w:r>
      <w:r>
        <w:rPr>
          <w:rtl w:val="true"/>
        </w:rPr>
        <w:t xml:space="preserve">: </w:t>
      </w:r>
      <w:r>
        <w:rPr>
          <w:rtl w:val="true"/>
        </w:rPr>
        <w:t>اشتراك الرواة</w:t>
      </w:r>
      <w:bookmarkEnd w:id="297"/>
    </w:p>
    <w:p>
      <w:pPr>
        <w:pStyle w:val="BookText"/>
        <w:rPr/>
      </w:pPr>
      <w:r>
        <w:rPr>
          <w:rFonts w:ascii="Amiri" w:hAnsi="Amiri" w:eastAsia="Amiri" w:cs="Amiri"/>
          <w:color w:val="111111"/>
          <w:sz w:val="28"/>
          <w:sz w:val="28"/>
          <w:szCs w:val="28"/>
          <w:rtl w:val="true"/>
          <w:lang w:bidi="ar-SA"/>
        </w:rPr>
        <w:t xml:space="preserve">إن الغالب في الأسانيد ذكر الرواة بألفاظ مشتركة بين أكثر من راوٍ مما يوجب ضرباً من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هو المراد بعنوانه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حالتان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هناك فائدة في حل الإشتراك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دار الأمر بين مهملين أو ثقتين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داعي للبحث عن التمييز بعد كون النتيجة واحدة على كلا التقديرين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وضعف الطريقين كان بابن المبارك سواء أكان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نسخ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مهمل، والثاني لم يتعرّض له بمدح أو قدح</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الاستشكال فيه لاشتراك راوي الأولى بين الثقة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المحقق أن أبا بصير ثقة سواء أكان ليثاً أم يحيى</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لرواية الصدوق له في الفقيه بسنده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وسنده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كان الثمالي فهو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البطائني فالظاهر اعتبار حديثه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ومحمد بن عيسى مشترك بين الأشعري وبين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صحة حديثهما</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الحالة قد يُحتاج إلى إثبات حال المشتركين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وأنهما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الحالة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هناك فائدة في حل الاشتراك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سعى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رفع الاشتراك بالإمارات المعروفة لدى الرجاليين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الطبقة والامتياز في الراوي والمروي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حال تمّ التمييز يبني على اعتبار الخبر في حال كون الراوي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بقرينة رواية محمد بن عيسى، وروايتها في الفقيه مرسلة عن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الحسن بن راشد هو مولى آل المهلب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من أصحاب الجواد والهادي لا مولى المنصور الضعيف الذي هو من أصحاب الصادق والكاظم</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اعتباره 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فيه من يتأمل فيه سوى محمد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البجلي الثقة بملاحظة طبقته ورواية يونس عنه</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أيوب مشترك بين الثقة والضعيف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بقرينة رواية الصدوق يظهر أنه ابن الحر الثقة</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ومحمد بن قيس الذي يروي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بين الثقة والضعيف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الذي حققه جماعة ممن تأخر أن محمد بن قيس الذي يروي عنه عاصم بن حميد هو البجلي الثقة كما عن الشيخ في الفهرست</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أنه عند الإطلاق ينصرف إلى معين إما بالشهرة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واشتراك محمد بن سماعة ومحمد بن حمران بين الثقة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في حجية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يبعد انصراف الأول عند الإطلاق إلى الثقة الجليل ابن موسى بن نشيط والد الحسن وإبراهيم 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إلى النهدي الجليل لشهرتهما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بالغلبة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استشكل فيه تارة، بأن في طريقه النهدي المشترك بين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لم يثبت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دفع الأول بأن الظاهر من إطلاق النهدي أنه الهيثم بن سروق لأنه الأغلب</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تعذر رفع الإبهام كان الخبر محكوماً بالضعف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سندها لا يخلو من إشكال، لاشتراك عيسى</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مع ضعف السند لتردد علي بن سالم بين المجهول وبين علي بن أبي حمزة البطائني</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في صحة سنده إشكالاً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لاشتراك رجال السند بين الضعيف والثقة</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bookmarkStart w:id="298" w:name="pg9087_85316"/>
    </w:p>
    <w:p>
      <w:pPr>
        <w:pStyle w:val="Heading4"/>
        <w:numPr>
          <w:ilvl w:val="3"/>
          <w:numId w:val="1"/>
        </w:numPr>
        <w:rPr/>
      </w:pPr>
      <w:bookmarkStart w:id="299" w:name="__RefHeading___Toc2684315_2870459653"/>
      <w:bookmarkStart w:id="300" w:name="_Toc108"/>
      <w:bookmarkEnd w:id="298"/>
      <w:bookmarkEnd w:id="299"/>
      <w:r>
        <w:rPr>
          <w:rtl w:val="true"/>
        </w:rPr>
        <w:t>المحور الرابع</w:t>
      </w:r>
      <w:r>
        <w:rPr>
          <w:rtl w:val="true"/>
        </w:rPr>
        <w:t xml:space="preserve">: </w:t>
      </w:r>
      <w:r>
        <w:rPr>
          <w:rtl w:val="true"/>
        </w:rPr>
        <w:t>حول الكتب الأربعة</w:t>
      </w:r>
      <w:bookmarkEnd w:id="300"/>
    </w:p>
    <w:p>
      <w:pPr>
        <w:pStyle w:val="Heading5"/>
        <w:numPr>
          <w:ilvl w:val="4"/>
          <w:numId w:val="1"/>
        </w:numPr>
        <w:rPr/>
      </w:pPr>
      <w:bookmarkStart w:id="301" w:name="__RefHeading___Toc2684317_2870459653"/>
      <w:bookmarkStart w:id="302" w:name="_Toc109"/>
      <w:bookmarkEnd w:id="301"/>
      <w:r>
        <w:rPr>
          <w:rtl w:val="true"/>
        </w:rPr>
        <w:t>مقدمة</w:t>
      </w:r>
      <w:bookmarkEnd w:id="302"/>
    </w:p>
    <w:p>
      <w:pPr>
        <w:pStyle w:val="BookText"/>
        <w:rPr/>
      </w:pPr>
      <w:r>
        <w:rPr>
          <w:rFonts w:ascii="Amiri" w:hAnsi="Amiri" w:eastAsia="Amiri" w:cs="Amiri"/>
          <w:color w:val="111111"/>
          <w:sz w:val="28"/>
          <w:sz w:val="28"/>
          <w:szCs w:val="28"/>
          <w:rtl w:val="true"/>
          <w:lang w:bidi="ar-SA"/>
        </w:rPr>
        <w:t xml:space="preserve">إن نقل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عن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 عنها مباشرة، كما يشهد به تصريحه بملاحظة نسخها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نسخة الكافي التي تحضرني</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نسخة الكافي، وفي الوسائل رواه 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أغمي عليه حتى أتى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أغمي عليه فلم يعقل حتى أتى الوقت</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سوق التعبير يناسب جداً سقوط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فيما يحضرني من نسخة من الفقيه معتبرة</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نسختي من الفقيه خالٍ عن الزيادة المذكورة</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نسخ كتب الحديث اختلاف في 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 هو المطابق لما في نسخة معتبرة من التهذيب</w:t>
      </w:r>
      <w:r>
        <w:rPr>
          <w:rFonts w:eastAsia="Amiri" w:cs="Amiri" w:ascii="Amiri" w:hAnsi="Amiri"/>
          <w:color w:val="111111"/>
          <w:sz w:val="28"/>
          <w:szCs w:val="28"/>
          <w:rtl w:val="true"/>
          <w:lang w:bidi="ar-SA"/>
        </w:rPr>
        <w:t>)</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كذلك فيما يحضرني من نسخة معتبرة من التهذيب</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أنها مروية في النسخ الموجودة بين أيدينا من الكافي والتهذيب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568"/>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لاختلاف نسخ الكافي والفقيه والتهذيب فيه اختلافاً فاحشاً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ينقل عنها بالواسطة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مستعيناً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r>
        <w:rPr>
          <w:rStyle w:val="FootnoteAnchor"/>
          <w:rtl w:val="true"/>
        </w:rPr>
        <w:footnoteReference w:id="570"/>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التهذيب</w:t>
      </w:r>
      <w:r>
        <w:rPr>
          <w:rFonts w:eastAsia="Amiri" w:cs="Amiri" w:ascii="Amiri" w:hAnsi="Amiri"/>
          <w:color w:val="111111"/>
          <w:sz w:val="28"/>
          <w:szCs w:val="28"/>
          <w:rtl w:val="true"/>
          <w:lang w:bidi="ar-SA"/>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الاستبصار</w:t>
      </w:r>
      <w:r>
        <w:rPr>
          <w:rFonts w:eastAsia="IRNazanin" w:cs="IRNazanin"/>
          <w:color w:val="111111"/>
          <w:sz w:val="28"/>
          <w:szCs w:val="28"/>
          <w:rtl w:val="true"/>
          <w:lang w:bidi="fa-IR"/>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الغالب في نقله كذلك هو عن الوسائل بشهادة تصريحه في بعضها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في الوسائل حديثاً في ذلك عن الكافي</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لموثق عمار المروي في أبواب النجاسات من الوسائل عن التهذيب</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في الوسائل عن الفقيه</w:t>
      </w:r>
      <w:r>
        <w:rPr>
          <w:rFonts w:eastAsia="Amiri" w:cs="Amiri" w:ascii="Amiri" w:hAnsi="Amiri"/>
          <w:color w:val="111111"/>
          <w:sz w:val="28"/>
          <w:szCs w:val="28"/>
          <w:rtl w:val="true"/>
          <w:lang w:bidi="ar-SA"/>
        </w:rPr>
        <w:t>)</w:t>
      </w:r>
      <w:r>
        <w:rPr>
          <w:rStyle w:val="FootnoteAnchor"/>
          <w:rtl w:val="true"/>
        </w:rPr>
        <w:footnoteReference w:id="576"/>
      </w:r>
    </w:p>
    <w:p>
      <w:pPr>
        <w:pStyle w:val="BookText"/>
        <w:rPr/>
      </w:pPr>
      <w:r>
        <w:rPr>
          <w:rFonts w:ascii="Amiri" w:hAnsi="Amiri" w:eastAsia="Amiri" w:cs="Amiri"/>
          <w:color w:val="111111"/>
          <w:sz w:val="28"/>
          <w:sz w:val="28"/>
          <w:szCs w:val="28"/>
          <w:rtl w:val="true"/>
          <w:lang w:bidi="ar-SA"/>
        </w:rPr>
        <w:t>وإحالته القاريء في مراجعة الأخبار إلى عناوين الوسائل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وبمضمونها جملة من النصوص أشرنا إلى بعضها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مذكورة في بعض أبواب شهادات الوسائل، فراجعها</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في بعض الموارد عن الكتب الفقهية عن أحد الكتب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في المرسل عن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المروي في الحدائق عن الفقيه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والطريقة الثانية هي الغالبة في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وبالأخص في اعتماده على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الوجه في ذلك هو وثوقه بالوسائل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حال عدم التنبيه ممن سبقه من الأعلام على وجود اختلاف في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من ملاحظة نقله عن نسخ الكتب الأربعة هو فيما إذا كان هناك اختلاف في متن الحديث، أو سنده دون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تعامله مع الوسائل كان يلحظ فيه نسخها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غير مرة أنه لاحظ نسخة مصححة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الوسائل الرائجة من رواية المتن الأول عن حماد بن عيسى غلط، كما يظهر من ملاحظة النسخة المصححة</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كما كان أيضاً يُلاحظ آراء صاحب الوسائل، وإن ناقش في بعضها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يُخدش به على الوسائل في قطعة من مخطوطة له حول علمي الرجال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يُخدش به على صاحب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اختلاف النسخ يُرجح نسخة، ثم يروي بلا إشارة منه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الترجيح إنما هو باجتهاده وحدسه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الملاحظة مع اختلاف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فهو قد يُفسر بعض المشتركات لبعض القرائن من دون تنبيه منه على ذلك، بحيث يُتراءى أن ذلك البيان من الراوي مع أنه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منه ما في باب استحباب الصلاة في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يُسقط بعض المتون لاعتقاد اتحاد الرواية لاتحاد الراوي، كما فعل ذلك في باب وجوب الإعادة على من ترك الاستقبال عامداً</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من غير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منها متوفراً في الوسائل كالعلل والخصال، ومعاني الأخبار والعيون</w:t>
      </w:r>
      <w:r>
        <w:rPr>
          <w:rStyle w:val="FootnoteAnchor"/>
          <w:rtl w:val="true"/>
        </w:rPr>
        <w:footnoteReference w:id="582"/>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p>
    <w:p>
      <w:pPr>
        <w:pStyle w:val="BookText"/>
        <w:rPr/>
      </w:pPr>
      <w:r>
        <w:rPr>
          <w:rFonts w:ascii="Amiri" w:hAnsi="Amiri" w:eastAsia="Amiri" w:cs="Amiri"/>
          <w:color w:val="111111"/>
          <w:sz w:val="28"/>
          <w:sz w:val="28"/>
          <w:szCs w:val="28"/>
          <w:rtl w:val="true"/>
          <w:lang w:bidi="ar-SA"/>
        </w:rPr>
        <w:t>اعتماده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يبعد اعتماده عليها حتى في نقله عنها بما ظاهره النقل المباشر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العلل عن يونس</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كالرسالة الذهبية</w:t>
      </w:r>
      <w:r>
        <w:rPr>
          <w:rStyle w:val="FootnoteAnchor"/>
          <w:rtl w:val="true"/>
        </w:rPr>
        <w:footnoteReference w:id="584"/>
      </w:r>
      <w:r>
        <w:rPr>
          <w:rFonts w:ascii="Amiri" w:hAnsi="Amiri" w:eastAsia="Amiri" w:cs="Amiri"/>
          <w:color w:val="111111"/>
          <w:sz w:val="28"/>
          <w:sz w:val="28"/>
          <w:szCs w:val="28"/>
          <w:rtl w:val="true"/>
          <w:lang w:bidi="ar-SA"/>
        </w:rPr>
        <w:t>والجعفريات</w:t>
      </w:r>
      <w:r>
        <w:rPr>
          <w:rStyle w:val="FootnoteAnchor"/>
          <w:rtl w:val="true"/>
        </w:rPr>
        <w:footnoteReference w:id="585"/>
      </w:r>
    </w:p>
    <w:p>
      <w:pPr>
        <w:pStyle w:val="BookText"/>
        <w:rPr/>
      </w:pPr>
      <w:r>
        <w:rPr>
          <w:rFonts w:ascii="Amiri" w:hAnsi="Amiri" w:eastAsia="Amiri" w:cs="Amiri"/>
          <w:color w:val="111111"/>
          <w:sz w:val="28"/>
          <w:sz w:val="28"/>
          <w:szCs w:val="28"/>
          <w:rtl w:val="true"/>
          <w:lang w:bidi="ar-SA"/>
        </w:rPr>
        <w:t>وأصل زيد النرسي</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وكتاب محمد بن المثنى الحضرمي</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ودعائم الإسلام</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والهداية</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وجامع الأخبار</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ونوادر الراوندي</w:t>
      </w:r>
      <w:r>
        <w:rPr>
          <w:rStyle w:val="FootnoteAnchor"/>
          <w:rtl w:val="true"/>
        </w:rPr>
        <w:footnoteReference w:id="591"/>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أنه كان يعتمد في ذلك على بحار الأنوار ومستدرك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اعتمد عليهما في بعض ما هو متوفر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يشهد به تصريحه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البحار حديثاً آخر عن الخرايج والجرايح</w:t>
      </w:r>
      <w:r>
        <w:rPr>
          <w:rFonts w:eastAsia="Amiri" w:cs="Amiri" w:ascii="Amiri" w:hAnsi="Amiri"/>
          <w:color w:val="111111"/>
          <w:sz w:val="28"/>
          <w:szCs w:val="28"/>
          <w:rtl w:val="true"/>
          <w:lang w:bidi="ar-SA"/>
        </w:rPr>
        <w:t>)</w:t>
      </w:r>
      <w:r>
        <w:rPr>
          <w:rStyle w:val="FootnoteAnchor"/>
          <w:rtl w:val="true"/>
        </w:rPr>
        <w:footnoteReference w:id="59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البحار عن كتاب يظنه مجمع الدعوات</w:t>
      </w:r>
      <w:r>
        <w:rPr>
          <w:rFonts w:eastAsia="Amiri" w:cs="Amiri" w:ascii="Amiri" w:hAnsi="Amiri"/>
          <w:color w:val="111111"/>
          <w:sz w:val="28"/>
          <w:szCs w:val="28"/>
          <w:rtl w:val="true"/>
          <w:lang w:bidi="ar-SA"/>
        </w:rPr>
        <w:t>)</w:t>
      </w:r>
      <w:r>
        <w:rPr>
          <w:rStyle w:val="FootnoteAnchor"/>
          <w:rtl w:val="true"/>
        </w:rPr>
        <w:footnoteReference w:id="5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روي في البحار عن كتاب محمد بن المثنى الحضرمي</w:t>
      </w:r>
      <w:r>
        <w:rPr>
          <w:rFonts w:eastAsia="Amiri" w:cs="Amiri" w:ascii="Amiri" w:hAnsi="Amiri"/>
          <w:color w:val="111111"/>
          <w:sz w:val="28"/>
          <w:szCs w:val="28"/>
          <w:rtl w:val="true"/>
          <w:lang w:bidi="ar-SA"/>
        </w:rPr>
        <w:t>)</w:t>
      </w:r>
      <w:r>
        <w:rPr>
          <w:rStyle w:val="FootnoteAnchor"/>
          <w:rtl w:val="true"/>
        </w:rPr>
        <w:footnoteReference w:id="59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جمع المجلسي في البحار شطراً منها يقرب إلى المائة من كتب متفرقة كالكافي، والتهذيب، والفقيه، وفقه الرضا، وقرب الإسناد، ودعائم الإسلام، والاحتجاج، والعلل، والخصال، وتفسير علي بن إبراهيم، والعياشي، ومعاني الأخبار، وتحف العقول، وارشاد القلوب، وثواب الأعمال، وعدة الداعي، مجالس الصدوق، </w:t>
      </w:r>
    </w:p>
    <w:p>
      <w:pPr>
        <w:pStyle w:val="BookText"/>
        <w:rPr/>
      </w:pPr>
      <w:r>
        <w:rPr>
          <w:rFonts w:ascii="Amiri" w:hAnsi="Amiri" w:eastAsia="Amiri" w:cs="Amiri"/>
          <w:color w:val="111111"/>
          <w:sz w:val="28"/>
          <w:sz w:val="28"/>
          <w:szCs w:val="28"/>
          <w:rtl w:val="true"/>
          <w:lang w:bidi="ar-SA"/>
        </w:rPr>
        <w:t>والتوحيد، والعيون، والمصباح للشيخ، ومسار الشيعة للمفيد، والاقبال، والمقنعة، ومجالس الشيخ، والخلاف له، والمعتبر، والذكرى، وغياث سلطان الورى، ومصباح الكفعمي، ودعوات الراوندي، 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جملة مما تخيل دلالته على المطلوب مناقشة، لكن في الجملة الأخرى ووضوح الأمر مغناة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الوسائل عن أصل زيد النرسي</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المستدرك عن جامع الأخبار</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الكتب الأربعة في موضعين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لكن الأكثر في كلامه وصفها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والوجه فيه هو كون الاستبصار قطعة من التهذيب قال في المخطوطة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الاستبصار كقطعة من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غرضه في التهذيب نقل الأخبار على نحو الاستقصاء موافقةً كانت أم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الاستبصار اقتصر على خصوص الأخبار المخالفة ظاهراً، وجمع بينها في الدلالة أو السند</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تعرض في المخطوطة المذكورة إلى دعوى قطعية الكتب الأربعة وردها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اشتبه ذلك على جماعة من الأخباريين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فبعضهم كالأمين الأسترابادي ادعى قطعية الأخبار المدونة في الكتب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أنه بعد تسليم كونه قاطعاً لا طريق لإلزامنا ما دمنا غير قاطعين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لو كان المراد بقطعية الصدور قطع مصنفيها بالاعتبار، فهذا حق لشهادتهم في أول كتبهم باعتبار ما دونوه، وأنهم لم يدرجوا فيها إلا ما هو حق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ينفع </w:t>
      </w:r>
      <w:bookmarkStart w:id="303" w:name="pg9087_85321"/>
    </w:p>
    <w:p>
      <w:pPr>
        <w:pStyle w:val="BookText"/>
        <w:rPr/>
      </w:pPr>
      <w:bookmarkEnd w:id="303"/>
      <w:r>
        <w:rPr>
          <w:rFonts w:ascii="Amiri" w:hAnsi="Amiri" w:eastAsia="Amiri" w:cs="Amiri"/>
          <w:color w:val="111111"/>
          <w:sz w:val="28"/>
          <w:sz w:val="28"/>
          <w:szCs w:val="28"/>
          <w:rtl w:val="true"/>
          <w:lang w:bidi="ar-SA"/>
        </w:rPr>
        <w:t>ذلك غيرهم مقلداً كان أم مجتهداً، إذ لا معنى لتقليدهم في حجية تلك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المسائل الأصولية التي لا تقليد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آل الأمر إلى مسألة فرعية مع جواز تقليد الميت ابتداءاً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لتقليدهم مجال، وأما المجتهد الذي يستنبط فيمكن له أن يعتمد على تصحيحهم لها بعد وثوقه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 أن منشأ الاعتبار عندهم إعمال القواعد الرجالية، وتمييز الصحيح من السقيم، لا عن حدس واجتهاد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توهم كون مؤدى الخبر مجمعاً عليه، أو كان مطابقاً لأصل مسلم بحيث لو أطلعنا على مباني اعتباره لها كانت عندنا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احتمال ذلك مانع من الاعتماد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ذلك دعوى الاجماع في المسألة الفرعية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إذا علمنا أن الوجه في اعتمادهم القواعد الرجالية من الأصدقية والأعدلية والضبط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ديدن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الاعتماد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احتملنا أن يكون لحدس فلابد لنا من الاجتهاد مثلهم</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جاءت في أثناء كلماته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علمية وفوائد متعلقة بالكتب الثلاثة سنعرض لها بدءاً بالكافي ثم الفقيه ثم التهذيب</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2684319_2870459653"/>
      <w:bookmarkStart w:id="305" w:name="_Toc110"/>
      <w:bookmarkEnd w:id="304"/>
      <w:r>
        <w:rPr>
          <w:rtl w:val="true"/>
        </w:rPr>
        <w:t>الكافي</w:t>
      </w:r>
      <w:bookmarkEnd w:id="305"/>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موقفه من اعتبار روايات الكافي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يتعرض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المستمسك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 تتبعنا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لدعوى قطعية صدور جميع روايات الكافي، لكن عرض لها في رسالته المخطوطة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على قيمة الكافي وعلو شأنه من بين الكتب الأربعة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أوثق الكتب الأربعة وأكبرها وأمتنها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كان عصره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أوان الغيبة الصغرى، وكان له غاية التمكن من تحصيل العلم، حيث كان بعض شيوخه من الوكلاء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كلما استشكل في مسألة راجعها إلى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مكاتبة بتوسط الوكلاء فيظهر جوابه على مكتوبه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نُقل عن بعض أن مراسيل الكليني كما إذا عبر بلفظ روى </w:t>
      </w:r>
    </w:p>
    <w:p>
      <w:pPr>
        <w:pStyle w:val="BookText"/>
        <w:rPr/>
      </w:pPr>
      <w:r>
        <w:rPr>
          <w:rFonts w:ascii="Amiri" w:hAnsi="Amiri" w:eastAsia="Amiri" w:cs="Amiri"/>
          <w:color w:val="111111"/>
          <w:sz w:val="28"/>
          <w:sz w:val="28"/>
          <w:szCs w:val="28"/>
          <w:rtl w:val="true"/>
          <w:lang w:bidi="ar-SA"/>
        </w:rPr>
        <w:t>من دون الاسناد نُقلت بدون واسطة مكاتبة من الحجة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ولم يصرح باسمه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وجود الكتب الكثيرة من الأخبار عنده ليس منها في زماننا هذا إلا الواحد من 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للكافي علو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وارتفاع 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وجلالة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حيث المتانة والقوة، ليست لغيره؛ لاجتماع كل ما يوجب الوثاقة فيه</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ينته إلى قطعية صدور أخباره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يتوهم قطعية صدور أخباره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قاله بعض الأخباريين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كونه كذلك لا يوجب إلا قوة في 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ليست كل أخباره مسؤولاً عنها من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المكاتبة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يثبت كونه معروضاً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هو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الكافي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ملازمة بين اعتباره عنده وصدوره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الأسباب المذكورة مع جلالة قدره وعلو شأنه وإحاطته بالأخبار يوجب زيادة وثاقته على ساير الكتب</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أضبطية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المشهورات أن الكليني في كتابه الكافي أضبط في النقل من بقية الكتب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ترتب عليه ترجيح نقله في حال اختلاف الكتب الأربعة في نقل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 بهذه المقولة في غير موضع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التهذيب روايته بإسقاط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مع أن الكليني أضبط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يناسب قيد المؤنة</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مصححة معاوية فهي مروية في الكافي خالية من ذكر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أضبط كما اشتهر</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عن الكافي رواية الأولى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يتعين الاعتماد عليه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مناسبته للذيل على رواية الشيخ</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التأمل في تقديم نقل الكليني مع معارضته لنقل الشيخ</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التزم بذلك ما لم تقم قرينة على الخلاف، فحينئذ يُصار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ورواية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من التمسك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الكافي أضبط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حُكي في نص الشيخ في الاستبصار على رواية الكافي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والتفاته إلى ذلك وروايته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اطلاعه على ما يوجب خطأ الكافي فتأمل</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النصّ المتقدّم عن المخطوطة الوجهُ في أضبطية الكافي من </w:t>
      </w:r>
    </w:p>
    <w:p>
      <w:pPr>
        <w:pStyle w:val="BookText"/>
        <w:rPr/>
      </w:pPr>
      <w:r>
        <w:rPr>
          <w:rFonts w:ascii="Amiri" w:hAnsi="Amiri" w:eastAsia="Amiri" w:cs="Amiri"/>
          <w:color w:val="111111"/>
          <w:sz w:val="28"/>
          <w:sz w:val="28"/>
          <w:szCs w:val="28"/>
          <w:rtl w:val="true"/>
          <w:lang w:bidi="ar-SA"/>
        </w:rPr>
        <w:t>خصوصية زمان تأليفه ومؤلفه اساتذةً وتوفراً على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وإحاطة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جلالة قدره في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حجية تقديم الكافي بعد إحراز أضبطيته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الظاهر كون المراد من الرواية عنهم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يعم الرواية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ترجح إحدى الروايتين على الأخرى بملاحظة الوسائط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يختص الترجيح بملاحظة حال الراوي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وكأنه لأجل ذلك استقر بناء الأصحاب على ترجيح رواية الكليني على رواية الشيخ عند اختلافهما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اشتهر من أضبطية الكافي</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أي أن الترجيح بالأضبطية لا يختص بملاحظة حال الراوي المباشر عن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يشمل الراوي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قُدِم الكليني على الشيخ لأنه أضبط في حال اختلاف روايتهما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إرسال الكليني للرواية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يذكر الكليني عادة الروايات مسندة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قد يذكر الرواية مرسلة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مصرحاً بالمرسل تارة كقوله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أبي عمير وفي حديث آخر</w:t>
      </w:r>
      <w:r>
        <w:rPr>
          <w:rFonts w:eastAsia="IRNazanin" w:cs="IRNazanin"/>
          <w:color w:val="111111"/>
          <w:sz w:val="28"/>
          <w:szCs w:val="28"/>
          <w:rtl w:val="true"/>
          <w:lang w:bidi="fa-IR"/>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وبدونه أخرى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نقطتان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المرسل هو الكليني، أم يحتمل أن يكون المرسل بعض رجال سنده؟</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حكاية الرواية مرسلةً ما يُشير إلى توهينها؟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تلقى الإرسال في مثل ذلك على أنه من الكليني، قاصداً الإشارة إلى وهن الرواية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ولاسيما وأن ظاهر </w:t>
      </w:r>
      <w:bookmarkStart w:id="306" w:name="pg9087_85325"/>
    </w:p>
    <w:p>
      <w:pPr>
        <w:pStyle w:val="BookText"/>
        <w:rPr/>
      </w:pPr>
      <w:bookmarkEnd w:id="306"/>
      <w:r>
        <w:rPr>
          <w:rFonts w:ascii="Amiri" w:hAnsi="Amiri" w:eastAsia="Amiri" w:cs="Amiri"/>
          <w:color w:val="111111"/>
          <w:sz w:val="28"/>
          <w:sz w:val="28"/>
          <w:szCs w:val="28"/>
          <w:rtl w:val="true"/>
          <w:lang w:bidi="ar-SA"/>
        </w:rPr>
        <w:t>الكليني توهينها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بعدما روى روايات التمام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إرساله لهذه الرواية لا يخلو من الدلالة على وهنها</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كون المرسل هو الكليني مما قد لا يتم 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نجد ما نقله الكليني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في مصدر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رواه الكليني في الحديث التاسع من باب الحركة والانتقال من كتاب التوحيد</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نفسها موجودة وبسند لا يمر بالكليني في توحيد الصدوق باب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الخامس والسادس</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وبالطريقة التي نقل بها الكليني الخبر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يحتمل أن الصدوق نقلها عن الكافي ولم يصرح بذلك لأنه لم يجد ثمرة فيه بعد إرسال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يؤيد ذلك أن الكليني قد ينقل الرواية مسندة بعد أن يوردها مرسلة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أخرى</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 w:name="__RefHeading___Toc2684321_2870459653"/>
      <w:bookmarkStart w:id="308" w:name="_Toc111"/>
      <w:bookmarkEnd w:id="307"/>
      <w:r>
        <w:rPr>
          <w:rtl w:val="true"/>
        </w:rPr>
        <w:t>من لا يحضره الفقيه</w:t>
      </w:r>
      <w:bookmarkEnd w:id="308"/>
    </w:p>
    <w:p>
      <w:pPr>
        <w:pStyle w:val="BookText"/>
        <w:rPr/>
      </w:pPr>
      <w:r>
        <w:rPr>
          <w:rFonts w:ascii="Amiri" w:hAnsi="Amiri" w:eastAsia="Amiri" w:cs="Amiri"/>
          <w:color w:val="111111"/>
          <w:sz w:val="28"/>
          <w:sz w:val="28"/>
          <w:szCs w:val="28"/>
          <w:rtl w:val="true"/>
          <w:lang w:bidi="ar-SA"/>
        </w:rPr>
        <w:t xml:space="preserve">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كلماته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الجهات الآتية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منهجه في الفقيه؟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حجية مراسيل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نقل عنهم الصدوق الخبر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عدل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منهجه في الفقيه؟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الفقيه منهجه في نقل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p>
    <w:p>
      <w:pPr>
        <w:pStyle w:val="BookText"/>
        <w:rPr/>
      </w:pPr>
      <w:r>
        <w:rPr>
          <w:rFonts w:ascii="Amiri" w:hAnsi="Amiri" w:eastAsia="Amiri" w:cs="Amiri"/>
          <w:color w:val="111111"/>
          <w:sz w:val="28"/>
          <w:sz w:val="28"/>
          <w:szCs w:val="28"/>
          <w:rtl w:val="true"/>
          <w:lang w:bidi="ar-SA"/>
        </w:rPr>
        <w:t xml:space="preserve">لا ينقل كل خبر على طريقة المؤلفين، وإنما يذكر ما يراه حجة بينه وبين ربه، ويحكم بصحته، ويُفتي على طبقه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أقصد فيه قصد المصنفين في إيراد جميع ما رووه، بل قصدت إلى إيراد ما أفتي به وأحكم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وأعتقد فيه أنه حجة فيما بيني وبين ربي</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حُكي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الصدوق عدل عن منهجه ولم يلتزم به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يرتضِ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وإيراد الصدوق للمرسل في كتابه لا يدل على اعتقاده بمضمونه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عدل عما ذكره في صدر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يشكل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التنبيه منه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يكون تدليساً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عن مقامه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حصول البداء له في مثل ذلك مستبعد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بالنسبة إلى هذه الرواية المذكورة في أوائل الكتاب</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لا يدل على عمله بها، لما تقدم من شهادة غير واحد من الأساطين بعدوله عما ذكره في صدر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لا يذكر فيه إلا ما يعتمد عليه ويكون حجة بينه وبين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ذلك بعيداً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من مخطوطة له في توجيه استبعاد مخالفة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لمنهجه المصرح به في مقدمة الفقيه مضافاً لما ذكره هنا من أن لازمه التدليس مع عدم التنبيه على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تخلفه في بعض المواطن عن منهجه من قبيل العموم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ينافي رده لبعض الأخبار بتضعيف السند ما ذكره في أول كتابه من أن كل ما يرويه فيه يفتي على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من قبيل العموم </w:t>
      </w:r>
    </w:p>
    <w:p>
      <w:pPr>
        <w:pStyle w:val="BookText"/>
        <w:rPr/>
      </w:pPr>
      <w:r>
        <w:rPr>
          <w:rFonts w:ascii="IRNazanin" w:hAnsi="IRNazanin" w:eastAsia="IRNazanin"/>
          <w:color w:val="111111"/>
          <w:sz w:val="28"/>
          <w:sz w:val="28"/>
          <w:szCs w:val="28"/>
          <w:rtl w:val="true"/>
          <w:lang w:bidi="fa-IR"/>
        </w:rPr>
        <w:t>المخصص</w:t>
      </w:r>
      <w:r>
        <w:rPr>
          <w:rFonts w:eastAsia="IRNazanin" w:cs="IRNazanin"/>
          <w:color w:val="111111"/>
          <w:sz w:val="28"/>
          <w:szCs w:val="28"/>
          <w:rtl w:val="true"/>
          <w:lang w:bidi="fa-IR"/>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حجية مراسيل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 الكلام في مراسيل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لخصوصية فيها يمكن إبرازها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في مقدمة الفقيه بصحة جميع مروياته، وبالتالي ستكون المراسيل الواردة فيه حجة لتصحيح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دافع عن عمومية حكمه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المبحث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أننا لم نجده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برأسه سبباً كافياً في الوثوق بالمرسل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مراسيل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تارة يُرسل 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وأخرى بصيغة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والصنف الثاني حجة لما فيه من النسبة الجزمية للمعصوم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لا تصح إلا مع توفر القطع بصدوره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قَبِلَ انقسام مراسيل الصدوق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باعتبار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أقوى من الآخر، وحكم بأن النسبية الجزمية في إرسال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 الخبر في غاية الاعتبار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سبب كافٍ للوثوق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الإنصاف أن إرسال الفقيه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غاية الاعتبار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 سبباً للوثوق</w:t>
      </w:r>
      <w:r>
        <w:rPr>
          <w:rFonts w:eastAsia="Amiri" w:cs="Amiri" w:ascii="Amiri" w:hAnsi="Amiri"/>
          <w:color w:val="111111"/>
          <w:sz w:val="28"/>
          <w:szCs w:val="28"/>
          <w:rtl w:val="true"/>
          <w:lang w:bidi="ar-SA"/>
        </w:rPr>
        <w:t>)</w:t>
      </w:r>
      <w:r>
        <w:rPr>
          <w:rStyle w:val="FootnoteAnchor"/>
          <w:rtl w:val="true"/>
        </w:rPr>
        <w:footnoteReference w:id="62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متأخر عدم اعتبار مراسيل الصدوق حتى بالصيغة الجزمية، لاحتمال استناده إلى مقدمات حدسية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مرسل الصدوق فلم تقم حجة على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لأجله تُرفع اليد عن ظاهر النصوص المتقدمة المتأكدة </w:t>
      </w:r>
    </w:p>
    <w:p>
      <w:pPr>
        <w:pStyle w:val="BookText"/>
        <w:rPr/>
      </w:pPr>
      <w:r>
        <w:rPr>
          <w:rFonts w:ascii="Amiri" w:hAnsi="Amiri" w:eastAsia="Amiri" w:cs="Amiri"/>
          <w:color w:val="111111"/>
          <w:sz w:val="28"/>
          <w:sz w:val="28"/>
          <w:szCs w:val="28"/>
          <w:rtl w:val="true"/>
          <w:lang w:bidi="ar-SA"/>
        </w:rPr>
        <w:t>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من مرسلات الصدوق وإن كان أقوى من النوع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المعبر فيه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ما دام الخبر مستنداً إلى مقدمات حدسية اجتهادية لا مجال للاعتماد عليه، لاسيما مع احتمال كونها نظرية خفية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نجده حكم بقصور سندٍ مرسلٍ للصدوق كان بالصيغة الجزمية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ومرسل الصدوق في الفقيه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قاصر السند</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احتمال الحدس في نسبة الصدوق الجزمية غير كافٍ بعد بناء العقلاء على أصالة الحس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وبالتالي يكون إخباره عن المعصوم بشكل جزمي داخلاً تحت حجية خبر الثقة في الأحكام الكلية، كما بينه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من المستمسك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بيانه في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يشكل جريان أصالة الحس في أخبار الصدوق الجزمية لأن الظاهر من طريقته في نقل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من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يبني على حجية الخبر الموثوق به، ولو بحسب القرائن الحدسية التي يراها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بنى تصحيحه أو جزمه بالخبر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لو تم ذلك اقتضى الاعتماد على جميع مراسيل الصدوق، لا خصوص الجزمية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شهد في مقدمة كتابه بصحة جميع 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موقف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ازاء مراسيل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عام هو أنها كباقي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عدم اعتبارها بحد ذاتها ما لم تقم قرائن على الوثوق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وظاهر الصدوق في الفقيه للمرسل ونحوه خبر منصور الصقيل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الأولين وإعراض الأصحاب عن الجميع</w:t>
      </w:r>
      <w:r>
        <w:rPr>
          <w:rFonts w:eastAsia="Amiri" w:cs="Amiri" w:ascii="Amiri" w:hAnsi="Amiri"/>
          <w:color w:val="111111"/>
          <w:sz w:val="28"/>
          <w:szCs w:val="28"/>
          <w:rtl w:val="true"/>
          <w:lang w:bidi="ar-SA"/>
        </w:rPr>
        <w:t>)</w:t>
      </w:r>
      <w:r>
        <w:rPr>
          <w:rStyle w:val="FootnoteAnchor"/>
          <w:rtl w:val="true"/>
        </w:rPr>
        <w:footnoteReference w:id="625"/>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بمرسل الفقيه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فيه مضافاً إلى ما في الخبر من الضعف بالإسناد </w:t>
      </w:r>
    </w:p>
    <w:p>
      <w:pPr>
        <w:pStyle w:val="BookText"/>
        <w:rPr/>
      </w:pPr>
      <w:r>
        <w:rPr>
          <w:rFonts w:ascii="IRNazanin" w:hAnsi="IRNazanin" w:eastAsia="IRNazanin"/>
          <w:color w:val="111111"/>
          <w:sz w:val="28"/>
          <w:sz w:val="28"/>
          <w:szCs w:val="28"/>
          <w:rtl w:val="true"/>
          <w:lang w:bidi="fa-IR"/>
        </w:rPr>
        <w:t>والإرسال</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لمرسل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مع ضعفه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وإعراض المشهور</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مرسل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حينئذ بالاعتماد عليها مؤيدين أو معتضدين بما سبق</w:t>
      </w:r>
      <w:r>
        <w:rPr>
          <w:rFonts w:eastAsia="Amiri" w:cs="Amiri" w:ascii="Amiri" w:hAnsi="Amiri"/>
          <w:color w:val="111111"/>
          <w:sz w:val="28"/>
          <w:szCs w:val="28"/>
          <w:rtl w:val="true"/>
          <w:lang w:bidi="ar-SA"/>
        </w:rPr>
        <w:t>)</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مرسل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يقدح إرسال الجميع للجبر بالعمل</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ومرسل الفقيه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وضعفها مجبور بالعمل</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نقل عنهم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مشتركاً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بدأ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عن راويين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الشحام والمفضل بن صالح</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والفضيل بن يسار</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وعبد الله بن علي الحلبي</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 وعبد الله بن سنان</w:t>
      </w:r>
      <w:r>
        <w:rPr>
          <w:rFonts w:eastAsia="Amiri" w:cs="Amiri" w:ascii="Amiri" w:hAnsi="Amiri"/>
          <w:color w:val="111111"/>
          <w:sz w:val="28"/>
          <w:szCs w:val="28"/>
          <w:rtl w:val="true"/>
          <w:lang w:bidi="ar-SA"/>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ولم يذكر في المشيخة الطريق لهما مشتركاً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 الطريق لكل منهما منفرداً</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يُحكم بجهالة طريقه إليهما لعدم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له لكل واحدٍ منهما طريق 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بعض من بدأ به مشتركاً ذكر له في المشيخة طريقاً مشتركاً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حمران النهدي وجميل بن دراج</w:t>
      </w:r>
      <w:r>
        <w:rPr>
          <w:rFonts w:eastAsia="Amiri" w:cs="Amiri" w:ascii="Amiri" w:hAnsi="Amiri"/>
          <w:color w:val="111111"/>
          <w:sz w:val="28"/>
          <w:szCs w:val="28"/>
          <w:rtl w:val="true"/>
          <w:lang w:bidi="ar-SA"/>
        </w:rPr>
        <w:t>)</w:t>
      </w:r>
      <w:r>
        <w:rPr>
          <w:rStyle w:val="FootnoteAnchor"/>
          <w:rtl w:val="true"/>
        </w:rPr>
        <w:footnoteReference w:id="636"/>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الحضرمي </w:t>
      </w:r>
      <w:bookmarkStart w:id="309" w:name="pg9087_85330"/>
    </w:p>
    <w:p>
      <w:pPr>
        <w:pStyle w:val="BookText"/>
        <w:rPr/>
      </w:pPr>
      <w:bookmarkEnd w:id="309"/>
      <w:r>
        <w:rPr>
          <w:rFonts w:ascii="Amiri" w:hAnsi="Amiri" w:eastAsia="Amiri" w:cs="Amiri"/>
          <w:color w:val="111111"/>
          <w:sz w:val="28"/>
          <w:sz w:val="28"/>
          <w:szCs w:val="28"/>
          <w:rtl w:val="true"/>
          <w:lang w:bidi="ar-SA"/>
        </w:rPr>
        <w:t>وكليب الأسدي</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 الطريق لهما مشتركاً هو الطريق لكلٍ منهما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نفس اقتصاره على الطريق المنفرد يقتضي ذلك؟</w:t>
      </w:r>
    </w:p>
    <w:p>
      <w:pPr>
        <w:pStyle w:val="BookText"/>
        <w:rPr/>
      </w:pPr>
      <w:r>
        <w:rPr>
          <w:rFonts w:ascii="Amiri" w:hAnsi="Amiri" w:eastAsia="Amiri" w:cs="Amiri"/>
          <w:color w:val="111111"/>
          <w:sz w:val="28"/>
          <w:sz w:val="28"/>
          <w:szCs w:val="28"/>
          <w:rtl w:val="true"/>
          <w:lang w:bidi="ar-SA"/>
        </w:rPr>
        <w:t>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والمناقشة في الأول سنداً بجهالة طريق الصدوق إلى زرارة ومحمد مجتمعين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مندفعة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نص الصدوق على طريقه إلى زرارة وإلى محمد، مع عدم تعرضه لطريقه إليهما مجتمعين يقتضي أنَّ طريقه إليهما مجتمعين هو طريقه إلى كلٍ منهما منفرداً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تعرض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كلماته إلى بعض طرق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المشيخة، كطريقه إلى سماعة بن مهران</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وسويد القلا</w:t>
      </w:r>
      <w:r>
        <w:rPr>
          <w:rStyle w:val="FootnoteAnchor"/>
          <w:rtl w:val="true"/>
        </w:rPr>
        <w:footnoteReference w:id="640"/>
      </w:r>
    </w:p>
    <w:p>
      <w:pPr>
        <w:pStyle w:val="BookText"/>
        <w:rPr/>
      </w:pPr>
      <w:r>
        <w:rPr>
          <w:rFonts w:ascii="Amiri" w:hAnsi="Amiri" w:eastAsia="Amiri" w:cs="Amiri"/>
          <w:color w:val="111111"/>
          <w:sz w:val="28"/>
          <w:sz w:val="28"/>
          <w:szCs w:val="28"/>
          <w:rtl w:val="true"/>
          <w:lang w:bidi="ar-SA"/>
        </w:rPr>
        <w:t>وعلي ابن أبي حمزة</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وعمر بن يزيد</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ومحمد بن علي بن محبوب</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ومحمد بن مسلم</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ويعقوب بن شعيب</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مبيناً صحة الجميع</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2684323_2870459653"/>
      <w:bookmarkStart w:id="311" w:name="_Toc112"/>
      <w:bookmarkEnd w:id="310"/>
      <w:r>
        <w:rPr>
          <w:rtl w:val="true"/>
        </w:rPr>
        <w:t>التهذيب</w:t>
      </w:r>
      <w:bookmarkEnd w:id="311"/>
    </w:p>
    <w:p>
      <w:pPr>
        <w:pStyle w:val="BookText"/>
        <w:rPr/>
      </w:pPr>
      <w:r>
        <w:rPr>
          <w:rFonts w:ascii="Amiri" w:hAnsi="Amiri" w:eastAsia="Amiri" w:cs="Amiri"/>
          <w:color w:val="111111"/>
          <w:sz w:val="28"/>
          <w:sz w:val="28"/>
          <w:szCs w:val="28"/>
          <w:rtl w:val="true"/>
          <w:lang w:bidi="ar-SA"/>
        </w:rPr>
        <w:t xml:space="preserve">يمكن تحصيل نُكتتين متعلقتين بالتهذيب من مطاوي كلمات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ابتدأ الشيخ باسمه الإسناد ولم يذكر طريقه إليه في المشيخة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صرَّح الشيخ في مقدمة مشيخة التهذيب بأنه يبدأ باسم من ينقل الخبر عن كتابه</w:t>
      </w:r>
      <w:r>
        <w:rPr>
          <w:rStyle w:val="FootnoteAnchor"/>
          <w:rtl w:val="true"/>
        </w:rPr>
        <w:footnoteReference w:id="64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وأنه يذكر في المشيخة طريقه إلى صاحب الكتاب، لكن هناك من بدأ به في نقل الخبر ولم يذكر طريقه إليه في المشيخة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داود</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الخطاب</w:t>
      </w:r>
      <w:r>
        <w:rPr>
          <w:rFonts w:eastAsia="Amiri" w:cs="Amiri" w:ascii="Amiri" w:hAnsi="Amiri"/>
          <w:color w:val="111111"/>
          <w:sz w:val="28"/>
          <w:szCs w:val="28"/>
          <w:rtl w:val="true"/>
          <w:lang w:bidi="ar-SA"/>
        </w:rPr>
        <w:t>)</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يحكم بأن الشيخ نقل عنه بطريقه إليه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مذكوراً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بشهادة إحالة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طرق الفهرست في ذيل مشيخة التهذيب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أوردتُ جملاً من الطرق إلى هذه المصنفات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ولتفصيل ذلك شرح 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مذكور في الفهارس المصنفة في هذا الباب للشيوخ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أخذه من هناك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نحن مستوفى في كتاب فهرست الشيعة</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لا يحكم بذلك من جهة أن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 هي طرق لعناوين الكتب وأسمائها، لا للنُسخ المُعينة في الخارج، والمنقول عنها الحديث، إلا أن تقوم قرينة على أنه طريق للنسخة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الأول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للخدش في الصحيحة من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رواها الشيخ محمد بن أحمد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طريقه إليه في المشيخة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دفع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محكي الفهرست في ترجمة محمد بن أحمد بن داود أنه أخبرنا بكتبه ورواياته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النعمان، والحسين بن عبيد الله وأحمد بن عبدون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الأردبيلي في رسالة تصحيح الاسناد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طريقه إليه صحيح في </w:t>
      </w:r>
    </w:p>
    <w:p>
      <w:p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يظهر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يعتمد على طرق الفهرست في إحراز طرق الشيخ إلى الرواة ولو كانوا مذكورين في غير التهذيب، كالخلاف والمصباح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ومما يدل على النجاسة رواية العيص بن القاسم المروية 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من نسبة الرواية إلى العيص وجدانها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شيخنا الأعظم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 الشيخ إليه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الفهرست</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تدل عليه رواية هشام بن سالم المروية في محكي مصباح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طريق الشيخ إلى هشام صحيح كما يظهر من ملاحظة الفهرست</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طرق الشيخ في المشيخة كطريقه إلى الحسين ابن سعيد</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وإلى سعد بن عبدالله</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وإلى علي بن جعفر</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وإلى محمد بن علي ابن محبوب</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وموسى بن القاسم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وأنها طرق 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إلى الحسن ابن محمد بن سماعة</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وأنه موثق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تعويض طرق الشيخ بطرق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مخطوطة له إلى تعويض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فائدة قد يكون في طرق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الكتاب الذي ينقل عنه رجل ضعيف أو مجهول، فيتراءى منه قدح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كذلك لو كان في طريق الصدوق إليه سند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الشيخ كلما ينقل يكون بإجازة المفيد المجاز من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ينقل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ثبوت صحة سند الصدوق إلى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 لو فرض خبر صحيح من صاحب الكتاب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سند الشيخ إلى ذلك رجل غير معتبر فلا يقدح لو كان سند الصدوق إلى ذلك صحيحاً معتبراً، وإن لم يذكر خصوص 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سند الشيخ وإن كان ضعيفاً، لكنه يروي كلما أجازه الصدوق بالواسطة فيتصل سلسلة سنده إلى هذا بسندٍ آخر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نقله عن المفيد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صحة سند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مجال توهم ضعف الخبر</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312" w:name="pg9087_85334"/>
    </w:p>
    <w:p>
      <w:pPr>
        <w:pStyle w:val="Heading4"/>
        <w:numPr>
          <w:ilvl w:val="3"/>
          <w:numId w:val="1"/>
        </w:numPr>
        <w:rPr/>
      </w:pPr>
      <w:bookmarkStart w:id="313" w:name="__RefHeading___Toc2684325_2870459653"/>
      <w:bookmarkStart w:id="314" w:name="_Toc113"/>
      <w:bookmarkEnd w:id="312"/>
      <w:bookmarkEnd w:id="313"/>
      <w:r>
        <w:rPr>
          <w:rtl w:val="true"/>
        </w:rPr>
        <w:t>المحور الخامس</w:t>
      </w:r>
      <w:r>
        <w:rPr>
          <w:rtl w:val="true"/>
        </w:rPr>
        <w:t xml:space="preserve">: </w:t>
      </w:r>
      <w:r>
        <w:rPr>
          <w:rtl w:val="true"/>
        </w:rPr>
        <w:t>مصادر حديثية أخرى</w:t>
      </w:r>
      <w:bookmarkEnd w:id="314"/>
    </w:p>
    <w:p>
      <w:pPr>
        <w:pStyle w:val="Heading5"/>
        <w:numPr>
          <w:ilvl w:val="4"/>
          <w:numId w:val="1"/>
        </w:numPr>
        <w:rPr/>
      </w:pPr>
      <w:bookmarkStart w:id="315" w:name="__RefHeading___Toc2684327_2870459653"/>
      <w:bookmarkStart w:id="316" w:name="_Toc114"/>
      <w:bookmarkEnd w:id="315"/>
      <w:r>
        <w:rPr>
          <w:rtl w:val="true"/>
        </w:rPr>
        <w:t>اشارة</w:t>
      </w:r>
      <w:bookmarkEnd w:id="316"/>
    </w:p>
    <w:p>
      <w:pPr>
        <w:pStyle w:val="BookText"/>
        <w:rPr/>
      </w:pPr>
      <w:r>
        <w:rPr>
          <w:rFonts w:ascii="IRNazanin" w:hAnsi="IRNazanin" w:eastAsia="IRNazanin"/>
          <w:color w:val="111111"/>
          <w:sz w:val="28"/>
          <w:sz w:val="28"/>
          <w:szCs w:val="28"/>
          <w:rtl w:val="true"/>
          <w:lang w:bidi="fa-IR"/>
        </w:rPr>
        <w:t>من الكتب الحديثية ما وقع الكلام فيه من جهة أصل انتسابه إلى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هو مفروغ من نسبته إلى مؤلفه، لكن وقع الكلام في طرقه إلى الكتب التي يروي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تناول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القسم الأول من تلك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والفقه الرضوي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ومستطرفات السرائر</w:t>
      </w:r>
      <w:r>
        <w:rPr>
          <w:rFonts w:eastAsia="IRNazanin" w:cs="IRNazanin"/>
          <w:color w:val="111111"/>
          <w:sz w:val="28"/>
          <w:szCs w:val="28"/>
          <w:rtl w:val="true"/>
          <w:lang w:bidi="fa-IR"/>
        </w:rPr>
        <w:t>.</w:t>
      </w:r>
    </w:p>
    <w:p>
      <w:pPr>
        <w:pStyle w:val="Heading5"/>
        <w:numPr>
          <w:ilvl w:val="4"/>
          <w:numId w:val="1"/>
        </w:numPr>
        <w:rPr/>
      </w:pPr>
      <w:bookmarkStart w:id="317" w:name="__RefHeading___Toc2684329_2870459653"/>
      <w:bookmarkStart w:id="318" w:name="_Toc115"/>
      <w:bookmarkEnd w:id="317"/>
      <w:r>
        <w:rPr>
          <w:rtl w:val="true"/>
        </w:rPr>
        <w:t xml:space="preserve">تفسير العسكري </w:t>
      </w:r>
      <w:r>
        <w:rPr>
          <w:rtl w:val="true"/>
        </w:rPr>
        <w:t>(</w:t>
      </w:r>
      <w:r>
        <w:rPr>
          <w:rtl w:val="true"/>
        </w:rPr>
        <w:t>علیه السلام</w:t>
      </w:r>
      <w:r>
        <w:rPr>
          <w:rtl w:val="true"/>
        </w:rPr>
        <w:t>)</w:t>
      </w:r>
      <w:bookmarkEnd w:id="318"/>
    </w:p>
    <w:p>
      <w:pPr>
        <w:pStyle w:val="BookText"/>
        <w:rPr/>
      </w:pPr>
      <w:r>
        <w:rPr>
          <w:rFonts w:ascii="IRNazanin" w:hAnsi="IRNazanin" w:eastAsia="IRNazanin"/>
          <w:color w:val="111111"/>
          <w:sz w:val="28"/>
          <w:sz w:val="28"/>
          <w:szCs w:val="28"/>
          <w:rtl w:val="true"/>
          <w:lang w:bidi="fa-IR"/>
        </w:rPr>
        <w:t xml:space="preserve">من المصادر الحديثية التي وصلت لمتأخري علمائنا تفسيرٌ منسوبٌ للإمام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وقع الكلام في اعتباره على رأيين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تفسير ضعيف؛ لضعف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قد رواه عن شيخه محمد ابن القاسم الأسترابادي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رجلين مجهولين وهما يوسف بن محمد بن زياد، وعلي بن محمد بن يسار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ومن جهة ثانية قيل إنه كتاب موضوع وضعه سهل الديباجي</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ومضمونه يشهد بوضعه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الناظر في هذا التفسير لا يشك في أنه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وجَّلَ مقام عالم محقق أن يكتب مثل هذا التفسير فكيف بالإمام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الاعتماد عليه،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التفسير ليس هو الذي طعن فيه بعض علماء الرجال، لأن ذاك يُروى عن أبي الحسن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عن أبي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يرويه سهل الديباجي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غير مذكورين في سند هذا </w:t>
      </w:r>
      <w:bookmarkStart w:id="319" w:name="pg9087_85335"/>
    </w:p>
    <w:p>
      <w:pPr>
        <w:pStyle w:val="BookText"/>
        <w:rPr/>
      </w:pPr>
      <w:bookmarkEnd w:id="319"/>
      <w:r>
        <w:rPr>
          <w:rFonts w:ascii="Amiri" w:hAnsi="Amiri" w:eastAsia="Amiri" w:cs="Amiri"/>
          <w:color w:val="111111"/>
          <w:sz w:val="28"/>
          <w:sz w:val="28"/>
          <w:szCs w:val="28"/>
          <w:rtl w:val="true"/>
          <w:lang w:bidi="ar-SA"/>
        </w:rPr>
        <w:t>التفسير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فيه أحاديث من المناكير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خالٍ من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اعتمد عليه رئيس المحدثين ابن بابويه فنقل منه أحاديث كثيرة في كتاب من لا يحضره الفقيه، وفي سائر كتبه وكذلك الطبرسي وغيرهما من علمائنا</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اختار السيد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الرأي الأول مبيناً أن الإشكال في ضعف السند مع ضعفه في نفسه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المروي في 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وقد عرفت الإشكال في سنده</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المروي عن تفسير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الآتي ذكره فإنه مع ضعفه في نفسه</w:t>
      </w:r>
      <w:r>
        <w:rPr>
          <w:rFonts w:eastAsia="IRNazanin" w:cs="IRNazanin"/>
          <w:color w:val="111111"/>
          <w:sz w:val="28"/>
          <w:szCs w:val="28"/>
          <w:rtl w:val="true"/>
          <w:lang w:bidi="fa-IR"/>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صريح عبارته الثانية</w:t>
      </w:r>
      <w:r>
        <w:rPr>
          <w:rFonts w:eastAsia="Amiri" w:cs="Amiri" w:ascii="Amiri" w:hAnsi="Amiri"/>
          <w:color w:val="111111"/>
          <w:sz w:val="28"/>
          <w:szCs w:val="28"/>
          <w:rtl w:val="true"/>
          <w:lang w:bidi="ar-SA"/>
        </w:rPr>
        <w:t>.</w:t>
      </w:r>
    </w:p>
    <w:p>
      <w:pPr>
        <w:pStyle w:val="Heading5"/>
        <w:numPr>
          <w:ilvl w:val="4"/>
          <w:numId w:val="1"/>
        </w:numPr>
        <w:rPr/>
      </w:pPr>
      <w:bookmarkStart w:id="320" w:name="__RefHeading___Toc2684331_2870459653"/>
      <w:bookmarkStart w:id="321" w:name="_Toc116"/>
      <w:bookmarkEnd w:id="320"/>
      <w:r>
        <w:rPr>
          <w:rtl w:val="true"/>
        </w:rPr>
        <w:t>الفقه الرضوي</w:t>
      </w:r>
      <w:bookmarkEnd w:id="321"/>
    </w:p>
    <w:p>
      <w:pPr>
        <w:pStyle w:val="BookText"/>
        <w:rPr/>
      </w:pPr>
      <w:r>
        <w:rPr>
          <w:rFonts w:ascii="IRNazanin" w:hAnsi="IRNazanin" w:eastAsia="IRNazanin"/>
          <w:color w:val="111111"/>
          <w:sz w:val="28"/>
          <w:sz w:val="28"/>
          <w:szCs w:val="28"/>
          <w:rtl w:val="true"/>
          <w:lang w:bidi="fa-IR"/>
        </w:rPr>
        <w:t xml:space="preserve">من الكتب التي وقعت محلاً للكلام واختلاف الآراء، كتاب 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إرجاع الآراء فيه إلى رأيين أساسيين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باعتباره لقيام القرائن على نسبته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العلامة المجلسي نقل عن أحد السادة الأجلاء أنه عثر في موسم الحج على كتاب في الفقه عند الحجاج القادمين من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تاريخ سنة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ﻫ وخط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عدة مواضع منه، كما أن عليه جملة من إجازات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ووجد العلامة المجلسي أن جملة من الأحكام التي ذكرها الصدوق في الفقيه مطابقة لما في هذا الكتاب، وهكذا مطابقة بعض ما في رسالة أبيه إليه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يعني أنه كان عند الصدوق معلوم الانتساب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ومشمولاً لما حكم بصحته من الروايات التي ينقلها في كتابه الفقيه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ينته جماعة إلى أنه كله للإمام، وإنما هو ما أملاه على بعض أصحابه، وبعضه الآخر هو لأحمد بن محمد بن عيسى الأشعري وداخل في </w:t>
      </w:r>
      <w:bookmarkStart w:id="322" w:name="pg9087_85336"/>
    </w:p>
    <w:p>
      <w:pPr>
        <w:pStyle w:val="BookText"/>
        <w:rPr/>
      </w:pPr>
      <w:bookmarkEnd w:id="322"/>
      <w:r>
        <w:rPr>
          <w:rFonts w:ascii="IRNazanin" w:hAnsi="IRNazanin" w:eastAsia="IRNazanin"/>
          <w:color w:val="111111"/>
          <w:sz w:val="28"/>
          <w:sz w:val="28"/>
          <w:szCs w:val="28"/>
          <w:rtl w:val="true"/>
          <w:lang w:bidi="fa-IR"/>
        </w:rPr>
        <w:t>نوادره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اعتباره لعدم وصوله بطريق معتبر منتهٍ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 ما تقدم من قصة المجلسي صريحة توفره عليه بالوجادة مع الاعتماد على القرائن وهو غير كافٍ في نسبة الكتاب إلى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وعلى هذا الأساس حاول بعض العلماء تحديد هوية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انتهى إلى أنه نفس رسالة والد الصدوق لابنه، ومنهم من احتمل أنه مأخوذ من الرسالة المذكورة، ومنهم من انتهى إلى أنه كتاب التكليف للشلمغاني، وبعضهم إلى أنه مجرد كتاب فتوى لأحد علمائنا مع تضمينه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متفرع على عدم ثبوت انتسابه إلى الإمام بسند معتبر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اختار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حجيته من جهة عدم ثبوته بسند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 تكرر منه في مواطن عدة النص على عدم حجيته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الفقه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ودلالته على المشهور ظاهرة إلا أن سنده غير ظاهر</w:t>
      </w:r>
      <w:r>
        <w:rPr>
          <w:rFonts w:eastAsia="Amiri" w:cs="Amiri" w:ascii="Amiri" w:hAnsi="Amiri"/>
          <w:color w:val="111111"/>
          <w:sz w:val="28"/>
          <w:szCs w:val="28"/>
          <w:rtl w:val="true"/>
          <w:lang w:bidi="ar-SA"/>
        </w:rPr>
        <w:t>)</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والرضوي لم تثبت حجيته</w:t>
      </w:r>
      <w:r>
        <w:rPr>
          <w:rFonts w:eastAsia="Amiri" w:cs="Amiri" w:ascii="Amiri" w:hAnsi="Amiri"/>
          <w:color w:val="111111"/>
          <w:sz w:val="28"/>
          <w:szCs w:val="28"/>
          <w:rtl w:val="true"/>
          <w:lang w:bidi="ar-SA"/>
        </w:rPr>
        <w:t>)</w:t>
      </w:r>
      <w:r>
        <w:rPr>
          <w:rStyle w:val="FootnoteAnchor"/>
          <w:rtl w:val="true"/>
        </w:rPr>
        <w:footnoteReference w:id="66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والمحكي عن الرضوي لكنه غير ثابت الحجية</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2684333_2870459653"/>
      <w:bookmarkStart w:id="324" w:name="_Toc117"/>
      <w:bookmarkEnd w:id="323"/>
      <w:r>
        <w:rPr>
          <w:rtl w:val="true"/>
        </w:rPr>
        <w:t>تفسير العياشي</w:t>
      </w:r>
      <w:bookmarkEnd w:id="32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 لأبي النضر محمد بن مسعود بن محمد بن عياش السلمي السمرقندي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فاضل نبيل جليل القدر واسع الأخبار بصير بالرواية مطلع عليها ثقة صدوق عين من عيون هذه الطائفة شيخ الكشي </w:t>
      </w:r>
    </w:p>
    <w:p>
      <w:pPr>
        <w:pStyle w:val="BookText"/>
        <w:rPr/>
      </w:pPr>
      <w:r>
        <w:rPr>
          <w:rFonts w:ascii="Amiri" w:hAnsi="Amiri" w:eastAsia="Amiri" w:cs="Amiri"/>
          <w:color w:val="111111"/>
          <w:sz w:val="28"/>
          <w:sz w:val="28"/>
          <w:szCs w:val="28"/>
          <w:rtl w:val="true"/>
          <w:lang w:bidi="ar-SA"/>
        </w:rPr>
        <w:t>وفي طبقة الكليني، ألف ما يزيد على مائتي كتاب في عدة 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يروي كتبه أبنه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عامياً ثم استبصر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أنفق على العلم والحديث تركة أبيه سائرها، وكانت ثلاث مائة ألف دينار، وكانت داره كالمسجد بين ناسخ أو مقابل أو قارئ أو مُعلق</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تفسير روائي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وواجه هذا التفسير مشكلة جهالة طرقه إلى من نقل عنهم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طرقه مجهولة في أصل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 نسخه حذف أسانيده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يجد له طريقاً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في مقدمة ما اختصره من تفسير 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على أفضاله والصلاة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العبد الفقير إلى رحمة الله إني نظرت في التفسير الذي صنفه أبو النصر محمد بن مسعود بن محمد ابن عياش السلمي بإسناده ورغبت إلى هذا وطلبت من عنده سماعاً من المصنف أو غيره فلم أجد في ديارنا من كان عنده سماع أو إجازة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منه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الباقي على وجهه ليكون أسهل على الكاتب والناظر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بعد ذلك من عنده سماع أو إجازة من المصنف اتبعت الأسانيد وكتبتها على ما ذكره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التوفيق لإتمامه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وعلّق على ذلك العلامة المجلسي بأنه عذر أشنع من جرم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تنويهه بقيمة هذا الكتاب قائلاً في مخطوطة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جملة تصانيفه التفسير المعروف بتفسير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يوجد في عصرنا هذا من كتبه إلا هذا النفيس ناقصاً</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علمي الرجال والدراية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أنّ مشكلته في حذف أسانيده، وعود رواياته </w:t>
      </w:r>
      <w:bookmarkStart w:id="325" w:name="pg9087_85338"/>
    </w:p>
    <w:p>
      <w:pPr>
        <w:pStyle w:val="BookText"/>
        <w:rPr/>
      </w:pPr>
      <w:bookmarkEnd w:id="325"/>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مخطوطته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أن في اختصار الكتب ونقلها من غير اعتماد على قرينة محكمة تترتب عليه مفسدة، ولو بعد فقدان ذلك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اتفق لتفسير العياشي في أسانيده حيث أنه ذكر فيه إسناده وطرقه صريحاً، ثم الملآ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تلك الأسانيد معتذراً بأنه ليس لي إليها إجازة حتى يصح نقلها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قال المجلسي في مقام تعداد الكتب التي اعتمد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العياشي روى عنه الطبرسي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ورأينا منه نسختين قديمتين وعُد في كتب الرجال من كتبه، لكن بعض الناسخين حذف اسانيده للاختصار، وذكر في أوله عذراً هو أشنع من جرمه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المستمسك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عن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ضعفه في نفسه</w:t>
      </w:r>
      <w:r>
        <w:rPr>
          <w:rFonts w:eastAsia="Amiri" w:cs="Amiri" w:ascii="Amiri" w:hAnsi="Amiri"/>
          <w:color w:val="111111"/>
          <w:sz w:val="28"/>
          <w:szCs w:val="28"/>
          <w:rtl w:val="true"/>
          <w:lang w:bidi="ar-SA"/>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يشهد له رواية سماعة المروية عن تفسير العياشي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لضعف الرواية بالإرسال</w:t>
      </w:r>
      <w:r>
        <w:rPr>
          <w:rFonts w:eastAsia="IRNazanin" w:cs="IRNazanin"/>
          <w:color w:val="111111"/>
          <w:sz w:val="28"/>
          <w:szCs w:val="28"/>
          <w:rtl w:val="true"/>
          <w:lang w:bidi="fa-IR"/>
        </w:rPr>
        <w:t>)</w:t>
      </w:r>
      <w:r>
        <w:rPr>
          <w:rStyle w:val="FootnoteAnchor"/>
          <w:rtl w:val="true"/>
        </w:rPr>
        <w:footnoteReference w:id="6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خبر عيسى بن عبد الله المروي في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الخبر ضعيف</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حينئذ كباقي المراسيل يعتمد عليها في حال توفر ما يجبر ضعف سندها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المروي عن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في السفر تطوعاً ولا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المعتضد بعمومات المنع</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2684335_2870459653"/>
      <w:bookmarkStart w:id="327" w:name="_Toc118"/>
      <w:bookmarkEnd w:id="326"/>
      <w:r>
        <w:rPr>
          <w:rtl w:val="true"/>
        </w:rPr>
        <w:t>مستطرفات السرائر</w:t>
      </w:r>
      <w:bookmarkEnd w:id="32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صاحب كتاب السرائر الشيخ محمد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 </w:t>
      </w:r>
    </w:p>
    <w:p>
      <w:pPr>
        <w:pStyle w:val="BookText"/>
        <w:rPr/>
      </w:pP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أخر كتابه السرائر الذي هو فقهي استدلالي وليس روائياً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الروايات استطرفها من بعض أصول أصحابنا ومصنفاتهم التي عثر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 هذه المجموعة من الروايات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ومشكلة تلك الأخبار هي أن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طريقه إلى الكتب والأصول التي نقل عنها، فعادت مرسلةً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اعتبارها على معالجة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موقفان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نقل ابن إدريس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جهة إمكان تحصيل طرق ابن إدريس إليها من خلال ما ذكره صاحب البحار في مجلد الإجازات من الطرق التي تنتهي إلى ابن إدريس ومنه إلى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الشيخ إلى أصحاب الكتب المنقول عنها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جهة ما هو المعلوم من حال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إنكاره حجية خبر الواحد، وأنه لا يعتمد إلا على الخبر المتواتر، أو ما في حكمه مما يورث القطع بالصدور فيظهر أن الكتب التي نقل عنها الأخبار واصلة إليه بالتواتر أو ما في حكمه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نقل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لجهالة طريق ابن إدريس إلى الكتب التي استطرف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والتعويض في السند تام فيما لو أُحرز وحدة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توفره على قرائن أفادت الاعتبار عنده لا يوجب ذلك بالنسبة إلى غيره خصوصاً مع احتمالية حدسية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استثنى بعض خصوص ما استطرفه من كتاب محمد بن علي بن محبوب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ابن إدريس صرح بأنه كان بخط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وطريق الشيخ إليه معتبرة في الفهرست</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وظاهر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الأول بوجهه الثاني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لمكاتبة ابن مهزيار المروية عن 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 سند المكاتبة غير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لروايتها عن الحميري عن ابن مهزيار الجليلين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القريب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الحلي قد عثر على ما يوجب له اليقين برواية الحميري لها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الثالثة ففيها ابن إدريس وحاله في الجلالة والوثاقة مما لا مجال للريب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مجال للريب في صحة رواياته عن الأصول المذكورة في مستطرفاته</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bookmarkStart w:id="328" w:name="pg9087_85341"/>
    </w:p>
    <w:p>
      <w:pPr>
        <w:pStyle w:val="Heading3"/>
        <w:numPr>
          <w:ilvl w:val="2"/>
          <w:numId w:val="1"/>
        </w:numPr>
        <w:rPr/>
      </w:pPr>
      <w:bookmarkStart w:id="329" w:name="__RefHeading___Toc2684337_2870459653"/>
      <w:bookmarkStart w:id="330" w:name="_Toc119"/>
      <w:bookmarkEnd w:id="328"/>
      <w:bookmarkEnd w:id="329"/>
      <w:r>
        <w:rPr>
          <w:rtl w:val="true"/>
        </w:rPr>
        <w:t>المصادر</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الإفصاح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تدريب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دار التراث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ترتيب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توضيح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 علي 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حقائق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بصيرتي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خاتمة المستدرك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المحدث النوري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إسماعيليان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في جامعة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عمر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في جامعة 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علي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في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الدراية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الرواشح السماوية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بنياد فرهنك 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يزيد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الاشعث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العُدة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بوستان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أنصاريان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مجلة دراسات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مخطوطة في علمي الرجال والدراية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الحكيم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الأحكام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الظلام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الوحيد البهبهاني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العلامة المجدد الوحيد البهبهاني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مصابيح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المجلس العلمي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 الخامسة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مقباس 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دليل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الموقظة في مصطلح علم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الدراية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الفقاهة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الفيض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 عترت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9087_85345"/>
      <w:bookmarkStart w:id="332" w:name="pg9087_85345"/>
      <w:bookmarkEnd w:id="332"/>
    </w:p>
    <w:p>
      <w:pPr>
        <w:pStyle w:val="Heading2"/>
        <w:numPr>
          <w:ilvl w:val="1"/>
          <w:numId w:val="1"/>
        </w:numPr>
        <w:rPr/>
      </w:pPr>
      <w:bookmarkStart w:id="333" w:name="pg9087_85345"/>
      <w:bookmarkStart w:id="334" w:name="__RefHeading___Toc2684339_2870459653"/>
      <w:bookmarkStart w:id="335" w:name="_Toc120"/>
      <w:bookmarkEnd w:id="333"/>
      <w:bookmarkEnd w:id="334"/>
      <w:r>
        <w:rPr>
          <w:rtl w:val="true"/>
        </w:rPr>
        <w:t xml:space="preserve">رسالة في التعبدي والتوصلي للمیرزا النائيني </w:t>
      </w:r>
      <w:r>
        <w:rPr>
          <w:rtl w:val="true"/>
        </w:rPr>
        <w:t>(</w:t>
      </w:r>
      <w:r>
        <w:rPr>
          <w:rtl w:val="true"/>
        </w:rPr>
        <w:t>قدس سره</w:t>
      </w:r>
      <w:r>
        <w:rPr>
          <w:rtl w:val="true"/>
        </w:rPr>
        <w:t xml:space="preserve">) - </w:t>
      </w:r>
      <w:r>
        <w:rPr>
          <w:rtl w:val="true"/>
        </w:rPr>
        <w:t>السيد غسان الخرسان</w:t>
      </w:r>
      <w:bookmarkEnd w:id="335"/>
    </w:p>
    <w:p>
      <w:pPr>
        <w:pStyle w:val="Heading3"/>
        <w:numPr>
          <w:ilvl w:val="2"/>
          <w:numId w:val="1"/>
        </w:numPr>
        <w:rPr/>
      </w:pPr>
      <w:bookmarkStart w:id="336" w:name="__RefHeading___Toc2684341_2870459653"/>
      <w:bookmarkStart w:id="337" w:name="_Toc121"/>
      <w:bookmarkEnd w:id="336"/>
      <w:r>
        <w:rPr>
          <w:rtl w:val="true"/>
        </w:rPr>
        <w:t>اشارة</w:t>
      </w:r>
      <w:bookmarkEnd w:id="337"/>
    </w:p>
    <w:p>
      <w:pPr>
        <w:pStyle w:val="BookText"/>
        <w:rPr/>
      </w:pPr>
      <w:r>
        <w:rPr>
          <w:rFonts w:ascii="Amiri" w:hAnsi="Amiri" w:eastAsia="Amiri" w:cs="Amiri"/>
          <w:color w:val="111111"/>
          <w:sz w:val="28"/>
          <w:sz w:val="28"/>
          <w:szCs w:val="28"/>
          <w:rtl w:val="true"/>
          <w:lang w:bidi="ar-SA"/>
        </w:rPr>
        <w:t>رسالة في التعبدي والتوصلي</w:t>
      </w:r>
    </w:p>
    <w:p>
      <w:pPr>
        <w:pStyle w:val="BookText"/>
        <w:rPr/>
      </w:pPr>
      <w:r>
        <w:rPr>
          <w:rFonts w:ascii="Amiri" w:hAnsi="Amiri" w:eastAsia="Amiri" w:cs="Amiri"/>
          <w:color w:val="111111"/>
          <w:sz w:val="28"/>
          <w:sz w:val="28"/>
          <w:szCs w:val="28"/>
          <w:rtl w:val="true"/>
          <w:lang w:bidi="ar-SA"/>
        </w:rPr>
        <w:t>لإمام المحققين آية الله العظمى</w:t>
      </w:r>
    </w:p>
    <w:p>
      <w:pPr>
        <w:pStyle w:val="BookText"/>
        <w:rPr/>
      </w:pPr>
      <w:r>
        <w:rPr>
          <w:rFonts w:ascii="Amiri" w:hAnsi="Amiri" w:eastAsia="Amiri" w:cs="Amiri"/>
          <w:color w:val="111111"/>
          <w:sz w:val="28"/>
          <w:sz w:val="28"/>
          <w:szCs w:val="28"/>
          <w:rtl w:val="true"/>
          <w:lang w:bidi="ar-SA"/>
        </w:rPr>
        <w:t xml:space="preserve">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ﻫ</w:t>
      </w:r>
    </w:p>
    <w:p>
      <w:pPr>
        <w:pStyle w:val="BookText"/>
        <w:rPr/>
      </w:pPr>
      <w:r>
        <w:rPr>
          <w:rFonts w:ascii="Amiri" w:hAnsi="Amiri" w:eastAsia="Amiri" w:cs="Amiri"/>
          <w:color w:val="111111"/>
          <w:sz w:val="28"/>
          <w:sz w:val="28"/>
          <w:szCs w:val="28"/>
          <w:rtl w:val="true"/>
          <w:lang w:bidi="ar-SA"/>
        </w:rPr>
        <w:t>تحقيق</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غسان الخرسان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8" w:name="pg9087_85347"/>
      <w:bookmarkStart w:id="339" w:name="pg9087_85347"/>
      <w:bookmarkEnd w:id="339"/>
    </w:p>
    <w:p>
      <w:pPr>
        <w:pStyle w:val="Heading3"/>
        <w:numPr>
          <w:ilvl w:val="2"/>
          <w:numId w:val="1"/>
        </w:numPr>
        <w:rPr/>
      </w:pPr>
      <w:bookmarkStart w:id="340" w:name="pg9087_85347"/>
      <w:bookmarkStart w:id="341" w:name="__RefHeading___Toc2684343_2870459653"/>
      <w:bookmarkStart w:id="342" w:name="_Toc122"/>
      <w:bookmarkEnd w:id="340"/>
      <w:bookmarkEnd w:id="341"/>
      <w:r>
        <w:rPr>
          <w:rtl w:val="true"/>
        </w:rPr>
        <w:t>المقدمة</w:t>
      </w:r>
      <w:bookmarkEnd w:id="342"/>
    </w:p>
    <w:p>
      <w:pPr>
        <w:pStyle w:val="Heading4"/>
        <w:numPr>
          <w:ilvl w:val="3"/>
          <w:numId w:val="1"/>
        </w:numPr>
        <w:rPr/>
      </w:pPr>
      <w:bookmarkStart w:id="343" w:name="__RefHeading___Toc2684345_2870459653"/>
      <w:bookmarkStart w:id="344" w:name="_Toc123"/>
      <w:bookmarkEnd w:id="343"/>
      <w:r>
        <w:rPr>
          <w:rtl w:val="true"/>
        </w:rPr>
        <w:t>اشارة</w:t>
      </w:r>
      <w:bookmarkEnd w:id="3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الذي أنعم علينا بالإيمان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والتصديق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ووفّقنا للتعبد بما افترضه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وسهل لنا سبل التوصل إلى غاية ما صاغته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أشرف أنبيائه المرسل رحمة للعالمين سيدنا ومولانا أبي القاسم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بيته الطيبين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سادات الخلق والهداة إلى الحق القائمين بأمر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والمشفعين في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أهم مباحث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يُعرف بمبحث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 والتوصلي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يتعرَّض الأصوليون فيه إلى البحث عمّا تقتضيه الأدلة الاجتهادية والأصول العملية عند الشك في كون المأمور به ممّا يكون مجرد الإتيان به مجزياً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بقصد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مما يحتاج إلى هذا القصد في الاجتزاء به وسقوط التكليف المتعلّق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المعنى الذائع لهذين المصطلحين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معانٍ أخرى لهما تعرضوا لها أيضاً وبحثوا عما تقتضيه الأدلة عند الشك في التعبدية والتوصلية بالنظر إليها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أكابر الأصوليين الذين حققوا هذا البحث وتوسعوا فيه هو المحقق العظيم أستاذ الأساتذة آية الله العظمى الميرزا محمد حسين الغروي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نُشر ما أفاده في هذا البحث من آراء مبتكرة ونظريات مهمة في تقريرات الأفذاذ من تلامذته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العلامة الشيخ محمد علي الكاظمي طاب ثراه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الكبير زعيم الحوزة العلمية السيد أبو القاسم الموسوي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bookmarkStart w:id="345" w:name="pg9087_85348"/>
    </w:p>
    <w:p>
      <w:pPr>
        <w:pStyle w:val="BookText"/>
        <w:rPr/>
      </w:pPr>
      <w:bookmarkEnd w:id="345"/>
      <w:r>
        <w:rPr>
          <w:rFonts w:ascii="Amiri" w:hAnsi="Amiri" w:eastAsia="Amiri" w:cs="Amiri"/>
          <w:color w:val="111111"/>
          <w:sz w:val="28"/>
          <w:sz w:val="28"/>
          <w:szCs w:val="28"/>
          <w:rtl w:val="true"/>
          <w:lang w:bidi="ar-SA"/>
        </w:rPr>
        <w:t>ولكنه أعلى الله مقامه لمزيد عنايته بهذا البحث تصدى لتحرير رسالة مستقلة فيه بقلمه الشريف</w:t>
      </w:r>
      <w:r>
        <w:rPr>
          <w:rStyle w:val="FootnoteAnchor"/>
          <w:rtl w:val="true"/>
        </w:rPr>
        <w:footnoteReference w:id="683"/>
      </w:r>
      <w:r>
        <w:rPr>
          <w:rFonts w:ascii="Amiri" w:hAnsi="Amiri" w:eastAsia="Amiri" w:cs="Amiri"/>
          <w:color w:val="111111"/>
          <w:sz w:val="28"/>
          <w:sz w:val="28"/>
          <w:szCs w:val="28"/>
          <w:rtl w:val="true"/>
          <w:lang w:bidi="ar-SA"/>
        </w:rPr>
        <w:t xml:space="preserve">وقد تيسر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كتابة قسم منها ولم يوفق لتكميلها فبقيت ناقصة مبتورة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بالرغم من ذلك تحتوي على فوائد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وتفي ببيان بعض آرائه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بأدق مما ورد عنه في تقريرات درسه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 على هذا بعض المحققين من مراجع العصر 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نماذج ذلك ما ورد في تقريرات درسه الشريف بشأن الوجه الذي اعتمده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عدم إمكان أخذ قصد القربة في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ويجدر بنا أن نقتبس ما أفاده دام ظله في هذا الصدد ونورده هنا بلفظه حيث قال</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استدل على عدم إمكان أخذ قصد القربة في متعلّق الأمر بوجه عام يجري في جميع الدواعي القربية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وتقريبه ببيان منّا على ضوء ما حرره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المخطوطة في التعبدي والتوصلي يتم ببيان مقدمتين</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2684347_2870459653"/>
      <w:bookmarkStart w:id="347" w:name="_Toc124"/>
      <w:bookmarkEnd w:id="346"/>
      <w:r>
        <w:rPr>
          <w:rtl w:val="true"/>
        </w:rPr>
        <w:t>المقدمة الأولى</w:t>
      </w:r>
      <w:bookmarkEnd w:id="34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الداعي المنبعث من الإرادة الفاعلية إلى فعل 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يكون من ملابسات متعلق تلك الإرادة وكيفياته وشؤونه؛ وذلك لأن نسبة الداعي إلى الإرادة – بمعنى إعمال القدرة النفسانية – هي نسبة العلة إلى معلولها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مقدّم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متعلّق الإرادة بوجوده الخارجي متأخر عن نفس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هي بمنزلة العلة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كيف يمكن أن يؤخذ ما هو في رتبة متقدّمة على الإرادة في مرتبة متأخرة عنها؟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المبتلى بالصداع يحصل له أولا </w:t>
      </w:r>
      <w:bookmarkStart w:id="348" w:name="pg9087_85349"/>
    </w:p>
    <w:p>
      <w:pPr>
        <w:pStyle w:val="BookText"/>
        <w:rPr/>
      </w:pPr>
      <w:bookmarkEnd w:id="348"/>
      <w:r>
        <w:rPr>
          <w:rFonts w:ascii="Amiri" w:hAnsi="Amiri" w:eastAsia="Amiri" w:cs="Amiri"/>
          <w:color w:val="111111"/>
          <w:sz w:val="28"/>
          <w:sz w:val="28"/>
          <w:szCs w:val="28"/>
          <w:rtl w:val="true"/>
          <w:lang w:bidi="ar-SA"/>
        </w:rPr>
        <w:t>الداعي إلى التداوي من هذا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تنبعث منه الإرادة إلى استعمال هذا الدواء المعالج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وبتحقق الإرادة يتحقق الفعل وهو استعمال الدواء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العمل الجوارحي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الجوانحي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يرغب في تهذيب نفسه من الصفات الرذيلة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 الصفات الحميدة يحصل له الداعي إلى ذلك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تستتبع ذلك الإرادة المتعلقة بهذا الفعل الجوانحي وبتحققها يتحقق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الدواعي مطلقاً في مرتبة متقدمة على الإرادة الفاعلية المنبعثة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تكون قيوداً للمراد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ملابساته وحدوده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الدواعي القربية وما ضارعها بما أنها من الأفعال الاختيارية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تكون مسبوقة بالإرادة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هذه الإرادة هي غير تلك الإرادة المنبعثة عن الداعي القربي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تكون متحدة معها لاختلافهما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المدّعى هو استحالة تعلق الإرادة المنبعثة عن داعٍ بنفس ذلك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استحالة تعلق الإرادة الفاعلية بالدواعي مطلقاً ليورد عليه بالنقض بما سيأتي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إليها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متعلق الإرادة والداعي الباعث لها طوليان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أحدهما في رتبة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صالحاً لأن يتركب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 كيفياته وحالاته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وقوعهما تحت إرادة واحدة فاعلية بشيء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يتعلق بهما إرادة واحدة آمرية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 أن تتعلق إرادة الفاعل بما تنبعث عنه تلك الإرادة بأي أنحاء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ما يجري منها مجرى العلة معلولاً لها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2684349_2870459653"/>
      <w:bookmarkStart w:id="350" w:name="_Toc125"/>
      <w:bookmarkEnd w:id="349"/>
      <w:r>
        <w:rPr>
          <w:rtl w:val="true"/>
        </w:rPr>
        <w:t>المقدمة الثانية</w:t>
      </w:r>
      <w:bookmarkEnd w:id="35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ما يعبّر عنه بالإرادة الآمرية سواء أكانت حقيقته البعث والتحريك أم النسبة الإيقاعية أم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يتعلق إلا بما تتعلق به الإرادة الفاعلية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فمتعلقهما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الإرادة الآمرية متعلقها الإرادة الفاعلية أي بإعمال القدرة النفسانية في الإتيان بالعمل الجوارحي أو الجوانحي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الأمر بالوضوء مثلاً ليس متعلق الإرادة الآمرية سوى الغسلتين والمسحتين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الإرادة الفاعلية في الإتيان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أنه لو كان متعلق الإرادة الآمرية هو إعمال القدرة في الإتيان بالعمل الجوارحي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الجوانحي لأمكن تقييدها بالداعي بأن يقول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عليك إعمال القدرة بداعي قربي في الإتيان بالوضوء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متعلّقها نفس متعلق الإرادة الفاعلية فلا يمكن التقييد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من أن الداعي الذي تنبعث منه الإرادة الفاعلية يستحيل أن يكون من شؤون متعلق تلك الإرادة وكيفياته وملابساته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يصلح للتقييد بالداعي لا يصح أن يكون متعلقاً للإرادة الآمرية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متعلّقها لا يصلح للتقييد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تكفّل جعل واحد لإيجاب الأمرين معاً أي الداعي والمتعلّق وهو ذات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هي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نبَّه عليها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متعلق الإرادة الآمرية إلا عين ما تتعلق به الإرادة الفاعلية بتوسيطها دون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يمكن تقييدها بالمنبعثة عن داعٍ كذائي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والمستنتج من هاتين المقدّمتين هو أنّه لا يصح أن يتعلّق أمر واحد بفعل جوارحي وجوانحي مقيداً بأن يكون إتيانه عن داع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أن متعلق الإرادة الآمرية لا يكون سوى ما تتعلق به الإرادة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أيضاً أن الداعي لا يصح أن يكون من قيود متعلق الإرادة الفاعلية المنبعثة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المقدّمة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الجعل الواحد إنما يتكفل ايجاب شيئين إذا كان يصح جعل أحدهما من قيود الآخر ومن شؤونه وملابساته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يصح هذا في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يعقل أن يتعلق بهما إرادة واحدة آمرية ويتكفلهما بعث واحد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لابد من فرض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 يتعلَّق بالداعي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يتعلق بذات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متمم للثاني كما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التقرير لما ذكره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 ما أورد عليه من النقض والحل في كلمات جملة من أعلام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هامش أجود التقريرات</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وتقريرات المحقق العراقي</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هامش الأجود – إنه لو تمَّ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تعلق الطلب والإرادة التشريعية بقصد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بغيره من الدواعي القربية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بجعل المتمم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وبالأمر الثاني المغاير للأمر الأول المتعلق بذات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ينافي ما ذهب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تصحيح كون الواجب عبادة بذلك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اندفاعه من المقدمة الأولى من ان المحقق النائيني لا ينكر إمكان تعلق الإرادة الفاعلية بالداعي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يقول إن الإرادة المنبعثة عن داع لا يعقل تعلقها بنفس ذلك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يلزم أن يكون الداعي مراداً بإرادة أخرى غير الإرادة المنبعثة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مانع من تعلق الإرادة الآمرية بالدواعي القربية مستقلة عن تعلقها بذوات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 فبيانه كما في هامش الأجود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المستحيل إنّما هو تعلّق شخص الاختيار الناشئ عن داعٍ بذلك الداعي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تعلق اختيار آخر به غير الاختيار الناشئ عنه فهو بمكان من الإمكان وحيث أن المفروض أن هناك 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محالة يكون الاختيار المتعلق بالفعل الخارجي الناشئ من الفعل النفساني مغايراً للاختيار المتعلق بالفعل النفساني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بما أن المفروض ترتب الغرض الواحد </w:t>
      </w:r>
    </w:p>
    <w:p>
      <w:pPr>
        <w:pStyle w:val="BookText"/>
        <w:rPr/>
      </w:pPr>
      <w:r>
        <w:rPr>
          <w:rFonts w:ascii="Amiri" w:hAnsi="Amiri" w:eastAsia="Amiri" w:cs="Amiri"/>
          <w:color w:val="111111"/>
          <w:sz w:val="28"/>
          <w:sz w:val="28"/>
          <w:szCs w:val="28"/>
          <w:rtl w:val="true"/>
          <w:lang w:bidi="ar-SA"/>
        </w:rPr>
        <w:t>على الفعلين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عن كون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الأمر المتعلق بهما واحداً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الجواب كما ترى لا يحمل ما ينافي مرام المحقق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الحقيقة هو تقرير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جاء في ذيله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ولكنه بما أن المفروض ترتّب الغرض الواحد على الفعلين معا فلا مناص عن كون الشوق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الأمر المتعلّق بهما واحداً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اندفاعه من المقدمة الثانية من أنه بعد فرض استحالة أن يكون الداعي من شؤون ما تتعلق به الإرادة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ولزوم أن يكون متعلق الإرادة الآمرية عين متعلق الإرادة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يعقل تكفّل جعل واحد لإيجاب ذات الفعل والداعي معاً بعد كونهما أمرين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أحدهما في رتبة متقدمة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وضوح أن تعدد الأمر ووحدته منوط بتعدد المتعلق ووحدته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والخطاب الواحد بشيئين مستقلين لا يكون أحدهما من قيود الآخر ولا يربطه به رابط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انحلاله إلى خطابين مستقلين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ومجرد ترتب غرض واحد عليهما معا لا يجدي في وحدة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يجدي في وحدة المخالفة والعقاب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والإطاعة والثواب التي لأجلها يقول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الثاني متمم للأول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في الجواب عمّا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يناقش في المقدمة الثانية بالفرق بين متعلق الإرادة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والإرادة الآمرية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قياس أحدهما بالآخر 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الفرق</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متعلّق الإرادة الفاعلية لمّا كان أمراً مشخّصاً في الخارج كالإرادة المتعلّقة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وكالداعي المنبعث من تلك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الداعي بمنزلة العلّة لما هو كالعلّة لتحقق المتعلّق لم يعقل أن تجعل العلّة من شؤون ما هو كالمعلول لها مع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المعلول من شؤون علته ومن ملابساته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يعقل أن يجعل من </w:t>
      </w:r>
    </w:p>
    <w:p>
      <w:pPr>
        <w:pStyle w:val="BookText"/>
        <w:rPr/>
      </w:pPr>
      <w:r>
        <w:rPr>
          <w:rFonts w:ascii="Amiri" w:hAnsi="Amiri" w:eastAsia="Amiri" w:cs="Amiri"/>
          <w:color w:val="111111"/>
          <w:sz w:val="28"/>
          <w:sz w:val="28"/>
          <w:szCs w:val="28"/>
          <w:rtl w:val="true"/>
          <w:lang w:bidi="ar-SA"/>
        </w:rPr>
        <w:t>حدوده وقيوده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لامجال للتقييد والاطلاق اللحاظيين في غير الماهيات الكلية القابلة للتحصيص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متضيق تكوينا لتحققه بإرادة منبعثة عن داعٍ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متعلق الإرادة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متعلّق الإرادة الآمرية فليس كذلك لأنه أمر كلي موجود في وعاء النفس وقابل للتقييد بأمر آخر والالتحام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من صفاته أم مقارناته أم مما في سلسلة علله أو معلولاته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أنه ماهية كلية قابلة للتحصيص والانقسام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الإرادة الآمرية بإيجاد الحرارة يجوز تعلقها به كذلك من دون تقييدها بأمر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أيضاً تقييدها بإيجاد الحرارة الناشئة من القوة الكهربائية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الحرارة الموجبة لإحراق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الحرارة المتصفة بالصفة الكذائية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المقارنة مع الأمر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لأجل أن الإرادة الآمرية إنما تتعلق بمتعلّقها في وعاء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والمتعلق في هذا الوعاء أمر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وماهية قابلة للتحصيص والتقسيم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أمراً جزئياً كمتعلّق الإرادة الفاعلية كي لا يقبلها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إمكان التقييد بما هو في مرتبة علل الشيء في وجوده الخارجي فلا مانع من تعلق الإرادة الآمرية بالحصة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وإيجابها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ولامجال لحديث الاستحالة والامتناع العقليين في مثله من 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وما ضارعه من الأمور الاعتبارية لا يتصف بالاستحالة والامتناع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بالحسن والقبح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يكون الأمر بالحصة في مفروض المقام حسناً إلا مع توفر 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الملاك بالحصة الخاصة وتعلقه بها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داعوية الأمر للمكلف إلى الإتيان بها بالتأثير في مشاعره وعواطفه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توفر هذين الشرطين فلا يبقى مانع من توجه الإرادة الآمرية إلى المكلف بإتيان الحصة الخاصة كالصلاة بداع قربي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الصلاة في وجودها الخارجي في مرتبة متأخرة عن مرتبة وجود الداعي</w:t>
      </w:r>
      <w:r>
        <w:rPr>
          <w:rFonts w:eastAsia="Amiri" w:cs="Amiri" w:ascii="Amiri" w:hAnsi="Amiri"/>
          <w:color w:val="111111"/>
          <w:sz w:val="28"/>
          <w:szCs w:val="28"/>
          <w:rtl w:val="true"/>
          <w:lang w:bidi="ar-SA"/>
        </w:rPr>
        <w:t xml:space="preserve">. </w:t>
      </w:r>
      <w:bookmarkStart w:id="351" w:name="pg9087_85354"/>
    </w:p>
    <w:p>
      <w:pPr>
        <w:pStyle w:val="BookText"/>
        <w:rPr/>
      </w:pPr>
      <w:bookmarkEnd w:id="351"/>
      <w:r>
        <w:rPr>
          <w:rFonts w:ascii="Amiri" w:hAnsi="Amiri" w:eastAsia="Amiri" w:cs="Amiri"/>
          <w:color w:val="111111"/>
          <w:sz w:val="28"/>
          <w:sz w:val="28"/>
          <w:szCs w:val="28"/>
          <w:rtl w:val="true"/>
          <w:lang w:bidi="ar-SA"/>
        </w:rPr>
        <w:t>ثم إنّه بعد تحقق الأمر وتوجه الخطاب إلى المكلف فعليه الإتيان بالمأمور به سواء استدعى ذلك تحقق إرادتين مستقلتين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متعلقة بالعمل الجوانحي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والأخرى متعلقة بالعمل الجوارحي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ذات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يكفي في الإتيان به إرادة فاعلية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يتضح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قياس متعلق الإرادة الآمرية بمتعلق الإرادة الفاعلية وإسراء حكم الثاني إلى الأول 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 ما استدل به في وجه استحالة أخذ قصد القربة بجميع أنواعه في متعلق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المفارقات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اعترف بإمكان تعلّق الإرادة الآمرية بالإرادة الفاعلية مقيّدة بانبعاثها عن داعٍ قربي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 عن الرسالة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منع من تعلقها بمتعلق الإرادة الفاعلية مقيداً بالداعي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وضوح أن الإرادة الفاعلية أيضاً متأخرة في وجودها الخارجي عن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متعلقها غاية الأمر أن الإرادة الفاعلية معلول للداعي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ومتعلّقها معلول لمعلوله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يشكل فارقاً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يستحيل تقييد ما هو متأخر بالمتقدم في مرحلة الإرادة الآمرية لاستحال كلاهما على نسق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بلفظه</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2684351_2870459653"/>
      <w:bookmarkStart w:id="353" w:name="_Toc126"/>
      <w:bookmarkEnd w:id="352"/>
      <w:r>
        <w:rPr>
          <w:rtl w:val="true"/>
        </w:rPr>
        <w:t xml:space="preserve">اطلالة على حياة المؤلف </w:t>
      </w:r>
      <w:r>
        <w:rPr>
          <w:rtl w:val="true"/>
        </w:rPr>
        <w:t>(</w:t>
      </w:r>
      <w:r>
        <w:rPr>
          <w:rtl w:val="true"/>
        </w:rPr>
        <w:t>قدس سره</w:t>
      </w:r>
      <w:r>
        <w:rPr>
          <w:rtl w:val="true"/>
        </w:rPr>
        <w:t>)</w:t>
      </w:r>
      <w:bookmarkEnd w:id="353"/>
    </w:p>
    <w:p>
      <w:pPr>
        <w:pStyle w:val="BookText"/>
        <w:rPr/>
      </w:pPr>
      <w:r>
        <w:rPr>
          <w:rFonts w:ascii="Amiri" w:hAnsi="Amiri" w:eastAsia="Amiri" w:cs="Amiri"/>
          <w:color w:val="111111"/>
          <w:sz w:val="28"/>
          <w:sz w:val="28"/>
          <w:szCs w:val="28"/>
          <w:rtl w:val="true"/>
          <w:lang w:bidi="ar-SA"/>
        </w:rPr>
        <w:t xml:space="preserve">تناولت كلمات الأعاظم من علماء الطائفة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مجتهد خالد الذكر من أعاظم علماء الشيعة وأكابر المحققين</w:t>
      </w:r>
      <w:r>
        <w:rPr>
          <w:rStyle w:val="FootnoteAnchor"/>
          <w:rtl w:val="true"/>
        </w:rPr>
        <w:footnoteReference w:id="688"/>
      </w:r>
      <w:r>
        <w:rPr>
          <w:rFonts w:ascii="Amiri" w:hAnsi="Amiri" w:eastAsia="Amiri" w:cs="Amiri"/>
          <w:color w:val="111111"/>
          <w:sz w:val="28"/>
          <w:sz w:val="28"/>
          <w:szCs w:val="28"/>
          <w:rtl w:val="true"/>
          <w:lang w:bidi="ar-SA"/>
        </w:rPr>
        <w:t xml:space="preserve">وقد أبَّنه تلميذه العلامة الكبير الشيخ عبد الحسين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قيّمة نشرها في 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البغدادية نوردها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بتصرف طفيف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وافية بأهم الجوانب في حياته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شيخنا وأستاذنا أستاذ الكل بقيّة السلف الصالح من العلماء الروحانيين </w:t>
      </w:r>
      <w:bookmarkStart w:id="354" w:name="pg9087_85355"/>
    </w:p>
    <w:p>
      <w:pPr>
        <w:pStyle w:val="BookText"/>
        <w:rPr/>
      </w:pPr>
      <w:bookmarkEnd w:id="354"/>
      <w:r>
        <w:rPr>
          <w:rFonts w:ascii="Amiri" w:hAnsi="Amiri" w:eastAsia="Amiri" w:cs="Amiri"/>
          <w:color w:val="111111"/>
          <w:sz w:val="28"/>
          <w:sz w:val="28"/>
          <w:szCs w:val="28"/>
          <w:rtl w:val="true"/>
          <w:lang w:bidi="ar-SA"/>
        </w:rPr>
        <w:t xml:space="preserve">أرباب المواهب والملكات العالية والإخلاص لله في القول والعمل آية الله الميرزا محمد حسين النائيني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طوى نحواً من اثنتين وثمانين صحيفة من كتاب الدهر زاهية زاهرة بمآثره الغضة التي زانت الزمن الذي عاش فيه مخلصاً لربه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أتقدَّم لأشرح نشأة هذا الرجل العظيم ليعرف الناس من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عاش عظيما ذايع الصيت وهو على عظمته وشهرته وذيوع صيته مجهول في شخصيته الجبارة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في ثمراته الصالحة التي كانت تنتجها حياته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لأن العصر لا يستطيع أن يعرف استكمال أحد لما حواه من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لا يعرف رجلاً منزهاً من الزلل يعيش بين الكافة</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2684353_2870459653"/>
      <w:bookmarkStart w:id="356" w:name="_Toc127"/>
      <w:bookmarkEnd w:id="355"/>
      <w:r>
        <w:rPr>
          <w:rtl w:val="true"/>
        </w:rPr>
        <w:t>ميلاده ونشأته</w:t>
      </w:r>
      <w:bookmarkEnd w:id="356"/>
    </w:p>
    <w:p>
      <w:pPr>
        <w:pStyle w:val="BookText"/>
        <w:rPr/>
      </w:pPr>
      <w:r>
        <w:rPr>
          <w:rFonts w:ascii="Amiri" w:hAnsi="Amiri" w:eastAsia="Amiri" w:cs="Amiri"/>
          <w:color w:val="111111"/>
          <w:sz w:val="28"/>
          <w:sz w:val="28"/>
          <w:szCs w:val="28"/>
          <w:rtl w:val="true"/>
          <w:lang w:bidi="ar-SA"/>
        </w:rPr>
        <w:t>ولد الإمام النائيني في حدود سنة</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Style w:val="FootnoteAnchor"/>
          <w:rtl w:val="true"/>
        </w:rPr>
        <w:footnoteReference w:id="689"/>
      </w:r>
      <w:r>
        <w:rPr>
          <w:rFonts w:ascii="Amiri" w:hAnsi="Amiri" w:eastAsia="Amiri" w:cs="Amiri"/>
          <w:color w:val="111111"/>
          <w:sz w:val="28"/>
          <w:sz w:val="28"/>
          <w:szCs w:val="28"/>
          <w:rtl w:val="true"/>
          <w:lang w:bidi="ar-SA"/>
        </w:rPr>
        <w:t>في بلدة نائين وهي من إحدى البلاد الفخمة التابعة في الإدارة لأصفهان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هاجر إلى أصفهان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بعد ما أكمل دروسه الابتدائية والتهذيبية والأخلاقية في بلاده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أساتذة الأخلاق والعرفان</w:t>
      </w:r>
      <w:r>
        <w:rPr>
          <w:rStyle w:val="FootnoteAnchor"/>
          <w:rtl w:val="true"/>
        </w:rPr>
        <w:footnoteReference w:id="690"/>
      </w:r>
      <w:r>
        <w:rPr>
          <w:rFonts w:ascii="Amiri" w:hAnsi="Amiri" w:eastAsia="Amiri" w:cs="Amiri"/>
          <w:color w:val="111111"/>
          <w:sz w:val="28"/>
          <w:sz w:val="28"/>
          <w:szCs w:val="28"/>
          <w:rtl w:val="true"/>
          <w:lang w:bidi="ar-SA"/>
        </w:rPr>
        <w:t>بقي في أصفهان مثابراً على دراسة علوم الدين والحكمة العالية النظرية مدّة أكملت له العقد الثالث من عمره وهو مجدّ فيها بالتحصيل منقطع إلى الأساتذة العظام في علوم الدين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الأدب والعلوم الفلسفية والرياضية وفي الأدب الفارسي وبها </w:t>
      </w:r>
      <w:bookmarkStart w:id="357" w:name="pg9087_85356"/>
    </w:p>
    <w:p>
      <w:pPr>
        <w:pStyle w:val="BookText"/>
        <w:rPr/>
      </w:pPr>
      <w:bookmarkEnd w:id="357"/>
      <w:r>
        <w:rPr>
          <w:rFonts w:ascii="Amiri" w:hAnsi="Amiri" w:eastAsia="Amiri" w:cs="Amiri"/>
          <w:color w:val="111111"/>
          <w:sz w:val="28"/>
          <w:sz w:val="28"/>
          <w:szCs w:val="28"/>
          <w:rtl w:val="true"/>
          <w:lang w:bidi="ar-SA"/>
        </w:rPr>
        <w:t>استكمل قوته وملكته الأخلاقية والعلمية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يبارح الفقيد الراحل تلك الحاضرة العلمية إلا وقد شهد له المجمع العلمي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طليعتهم أساتذته الأخصّاء به ببلوغه المرتبة التي تمكّنه من الإفتاء والاستقلال بالتدريس والتصنيف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وتخوله الهجرة إلى العاصمة الكبرى الدينية في العراق – النجف – ليشاهد فيها سير العلم بنفسه</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2684355_2870459653"/>
      <w:bookmarkStart w:id="359" w:name="_Toc128"/>
      <w:bookmarkEnd w:id="358"/>
      <w:r>
        <w:rPr>
          <w:rtl w:val="true"/>
        </w:rPr>
        <w:t>هجرته إلى العراق</w:t>
      </w:r>
      <w:bookmarkEnd w:id="359"/>
    </w:p>
    <w:p>
      <w:pPr>
        <w:pStyle w:val="BookText"/>
        <w:rPr/>
      </w:pPr>
      <w:r>
        <w:rPr>
          <w:rFonts w:ascii="Amiri" w:hAnsi="Amiri" w:eastAsia="Amiri" w:cs="Amiri"/>
          <w:color w:val="111111"/>
          <w:sz w:val="28"/>
          <w:sz w:val="28"/>
          <w:szCs w:val="28"/>
          <w:rtl w:val="true"/>
          <w:lang w:bidi="ar-SA"/>
        </w:rPr>
        <w:t xml:space="preserve">هاجر شيخنا النائيني للعراق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وانتهى إلى 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زاهية يومئذ وغاصّة بأعلام العلماء وأقطاب العظماء من أهل العرفان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رأس الجميع أستاذهم المحقق المدقق مجدّد المذهب على رأس القرن الرابع عشر العلامة السيد ميرزا محمد حسن الشيرازي النجفي وهو مؤسس المدرسة العلمية العالية في تلك المدينة التاريخية وهو مدرسها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الميرزا النائيني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منه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عصا الرحلة في تلك الديار منظماً إلى العلماء البارزين من تلامذة السيد المذكور</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خلال هذه الهجرة توفي والده الشيخ عبد الرحيم شيخ الإسلام زاده، فجزع السيد</w:t>
      </w:r>
      <w:r>
        <w:rPr>
          <w:rStyle w:val="FootnoteAnchor"/>
          <w:rtl w:val="true"/>
        </w:rPr>
        <w:footnoteReference w:id="692"/>
      </w:r>
      <w:r>
        <w:rPr>
          <w:rFonts w:ascii="Amiri" w:hAnsi="Amiri" w:eastAsia="Amiri" w:cs="Amiri"/>
          <w:color w:val="111111"/>
          <w:sz w:val="28"/>
          <w:sz w:val="28"/>
          <w:szCs w:val="28"/>
          <w:rtl w:val="true"/>
          <w:lang w:bidi="ar-SA"/>
        </w:rPr>
        <w:t>لوفاته؛ لمقامه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بالواجب من الاحتفال لتعزية ولده به ثلاثة أيام ولكن ولده العظيم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لعلو همته واعتزازه بتقدير أستاذه له – ليبارح </w:t>
      </w:r>
    </w:p>
    <w:p>
      <w:pPr>
        <w:pStyle w:val="BookText"/>
        <w:rPr/>
      </w:pPr>
      <w:r>
        <w:rPr>
          <w:rFonts w:ascii="Amiri" w:hAnsi="Amiri" w:eastAsia="Amiri" w:cs="Amiri"/>
          <w:color w:val="111111"/>
          <w:sz w:val="28"/>
          <w:sz w:val="28"/>
          <w:szCs w:val="28"/>
          <w:rtl w:val="true"/>
          <w:lang w:bidi="ar-SA"/>
        </w:rPr>
        <w:t>سامراء عند موت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بقي كما هو</w:t>
      </w:r>
      <w:r>
        <w:rPr>
          <w:rStyle w:val="FootnoteAnchor"/>
          <w:rtl w:val="true"/>
        </w:rPr>
        <w:footnoteReference w:id="693"/>
      </w:r>
      <w:r>
        <w:rPr>
          <w:rFonts w:ascii="Amiri" w:hAnsi="Amiri" w:eastAsia="Amiri" w:cs="Amiri"/>
          <w:color w:val="111111"/>
          <w:sz w:val="28"/>
          <w:sz w:val="28"/>
          <w:szCs w:val="28"/>
          <w:rtl w:val="true"/>
          <w:lang w:bidi="ar-SA"/>
        </w:rPr>
        <w:t xml:space="preserve">حتى أجاب الأستاذ الأكبر داعي ربه بسامراء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آثر الفقيد بعد أستاذه البقاء بسامراء أسوة بالكثير من أقرانه من العلماء الذين يشار إليهم بالبنان إلى أن هاجر إلى النجف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وقال في طبقات أعلام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2/593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وبقي ملازما لبحث المجدد إلى أن توفي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واشتغل مع السيد الصدر المذكور بالتدريس هناك فبقي ملازماً له حتى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هاجر فيها إلى كربلاء فصحبه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معه عدة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غادرها وتحوّل إلى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يقيم آية الله الخراساني الذي استقل بالتدريس في النجف أيام حياة السيد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ولمزايا كثيرة تخصّه سبق بالشهرة سائر قرنائه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المنضوي إلى النجف لا يستغني عن الالتفاف إليه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شيخنا الراحل فقد حازه إلى جانبه الولاء المتقادم والإخلاص في نشر العلوم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ذلك الإنحياز الظاهر والطاهر مستقل بالتدريس والتصنيف في علمي الفقه والأصول </w:t>
      </w:r>
      <w:r>
        <w:rPr>
          <w:rStyle w:val="FootnoteAnchor"/>
          <w:rtl w:val="true"/>
        </w:rPr>
        <w:footnoteReference w:id="695"/>
      </w:r>
      <w:r>
        <w:rPr>
          <w:rFonts w:ascii="Amiri" w:hAnsi="Amiri" w:eastAsia="Amiri" w:cs="Amiri"/>
          <w:color w:val="111111"/>
          <w:sz w:val="28"/>
          <w:sz w:val="28"/>
          <w:szCs w:val="28"/>
          <w:rtl w:val="true"/>
          <w:lang w:bidi="ar-SA"/>
        </w:rPr>
        <w:t>لكن الزعيم المذكور لم يكن ليهمل رأيه في أكثر مشكلات العلم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الإصلاح والخدمات العامة فما كان </w:t>
      </w:r>
      <w:bookmarkStart w:id="360" w:name="pg9087_85358"/>
    </w:p>
    <w:p>
      <w:pPr>
        <w:pStyle w:val="BookText"/>
        <w:rPr/>
      </w:pPr>
      <w:bookmarkEnd w:id="360"/>
      <w:r>
        <w:rPr>
          <w:rFonts w:ascii="Amiri" w:hAnsi="Amiri" w:eastAsia="Amiri" w:cs="Amiri"/>
          <w:color w:val="111111"/>
          <w:sz w:val="28"/>
          <w:sz w:val="28"/>
          <w:szCs w:val="28"/>
          <w:rtl w:val="true"/>
          <w:lang w:bidi="ar-SA"/>
        </w:rPr>
        <w:t>ليستغني عن آرائه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إلا كالمشايع له فيما أقدم عليه من الأعمال الجليلة النافعة للأمة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تقديم المثل التي يلزم أن يحتذى بها ألَّف له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ألفّ الإمام النائيني في الدستور كتابه باللغة الفارسية لما يمس حكومة إيران المطلقة يومئذ والتي هي سابقة في دول الإسلام للنهضة الدستورية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قيم جداً وبديع في محتوياته لأنه يتكفل بنظام حكومة نيابية مستنبط من الكتاب الكريم والسنة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يعجز عن تأليف مثله الأخصائيون بالحقوق؛ ولذلك أدهش عظماء</w:t>
      </w:r>
    </w:p>
    <w:p>
      <w:pPr>
        <w:pStyle w:val="BookText"/>
        <w:rPr/>
      </w:pPr>
      <w:r>
        <w:rPr>
          <w:rFonts w:ascii="Amiri" w:hAnsi="Amiri" w:eastAsia="Amiri" w:cs="Amiri"/>
          <w:color w:val="111111"/>
          <w:sz w:val="28"/>
          <w:sz w:val="28"/>
          <w:szCs w:val="28"/>
          <w:rtl w:val="true"/>
          <w:lang w:bidi="ar-SA"/>
        </w:rPr>
        <w:t>ومفكري الفرس وغيرهم على كثرتهم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نحن علمنا كم بين مقام العالم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المحنّك السياسي من البون الشاسع نعرف قوة ذكاء الفقيد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ونتيقن أن اهتمامه بإصلاح الشؤون العامة الاجتماعية قد كان شديداً لدرجة غالبة على مراعاة شخصياته الفردية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1" w:name="__RefHeading___Toc2684357_2870459653"/>
      <w:bookmarkStart w:id="362" w:name="_Toc129"/>
      <w:bookmarkEnd w:id="361"/>
      <w:r>
        <w:rPr>
          <w:rtl w:val="true"/>
        </w:rPr>
        <w:t>منزلته العلمية</w:t>
      </w:r>
      <w:bookmarkEnd w:id="362"/>
    </w:p>
    <w:p>
      <w:pPr>
        <w:pStyle w:val="BookText"/>
        <w:rPr/>
      </w:pPr>
      <w:r>
        <w:rPr>
          <w:rFonts w:ascii="Amiri" w:hAnsi="Amiri" w:eastAsia="Amiri" w:cs="Amiri"/>
          <w:color w:val="111111"/>
          <w:sz w:val="28"/>
          <w:sz w:val="28"/>
          <w:szCs w:val="28"/>
          <w:rtl w:val="true"/>
          <w:lang w:bidi="ar-SA"/>
        </w:rPr>
        <w:t xml:space="preserve">إن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امتيازه بين علماء النجف بالتضلع بالعلوم الرياضية والحكمة النظرية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امتاز بالإحاطة بكليات فقه الشرع الأقدس واتقان أصوله إتقاناً غريباً وأنه دقق فن الأصول تدقيقاً مدهشاً بفكر ثاقب 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وبجد متواصل وثبات رهيب حتى عده الخبراء وعده الكافة مجدداً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يبتني عليه من أحكام الشريعة المطهرة ولذلك لا نجد في النجف اليوم طالب علم إلا وقد انطبع فكره بطابع خاص من آراء الإمام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النائيني مجدداً على الحقيقة لعلمي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لمّا نظم طرق الاستدلال وأبرزها بصورة غريبة سهلة خالية عن الغوامض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أثبت القواعد الأصولية وقرَّبها إلى الأذهان وأثبتها إثباتاً منطقياً على التفكير </w:t>
      </w:r>
      <w:bookmarkStart w:id="363" w:name="pg9087_85359"/>
    </w:p>
    <w:p>
      <w:pPr>
        <w:pStyle w:val="BookText"/>
        <w:rPr/>
      </w:pPr>
      <w:bookmarkEnd w:id="363"/>
      <w:r>
        <w:rPr>
          <w:rFonts w:ascii="Amiri" w:hAnsi="Amiri" w:eastAsia="Amiri" w:cs="Amiri"/>
          <w:color w:val="111111"/>
          <w:sz w:val="28"/>
          <w:sz w:val="28"/>
          <w:szCs w:val="28"/>
          <w:rtl w:val="true"/>
          <w:lang w:bidi="ar-SA"/>
        </w:rPr>
        <w:t xml:space="preserve">الصحيح لأنها مستنتجة من مبادئها المسلّمة انتاجاً منطقياً ولذلك حسبها ذو الفن القديم جديدة مبتكرة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ناحية الإتقان وقرب المأخذ تغاير ما ذكره الأسلاف من العلماء</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2684359_2870459653"/>
      <w:bookmarkStart w:id="365" w:name="_Toc130"/>
      <w:bookmarkEnd w:id="364"/>
      <w:r>
        <w:rPr>
          <w:rtl w:val="true"/>
        </w:rPr>
        <w:t>زعامته الدينية</w:t>
      </w:r>
      <w:bookmarkEnd w:id="365"/>
    </w:p>
    <w:p>
      <w:pPr>
        <w:pStyle w:val="BookText"/>
        <w:rPr/>
      </w:pPr>
      <w:r>
        <w:rPr>
          <w:rFonts w:ascii="Amiri" w:hAnsi="Amiri" w:eastAsia="Amiri" w:cs="Amiri"/>
          <w:color w:val="111111"/>
          <w:sz w:val="28"/>
          <w:sz w:val="28"/>
          <w:szCs w:val="28"/>
          <w:rtl w:val="true"/>
          <w:lang w:bidi="ar-SA"/>
        </w:rPr>
        <w:t xml:space="preserve">إن الإمام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تقلّد الزعامة الدينية مستقلا فيها سنة </w:t>
      </w:r>
      <w:r>
        <w:rPr>
          <w:rFonts w:eastAsia="Amiri" w:cs="Amiri" w:ascii="Amiri" w:hAnsi="Amiri"/>
          <w:color w:val="111111"/>
          <w:sz w:val="28"/>
          <w:szCs w:val="28"/>
          <w:lang w:bidi="ar-SA"/>
        </w:rPr>
        <w:t>1339</w:t>
      </w:r>
      <w:r>
        <w:rPr>
          <w:rFonts w:ascii="Amiri" w:hAnsi="Amiri" w:eastAsia="Amiri" w:cs="Amiri"/>
          <w:color w:val="111111"/>
          <w:sz w:val="28"/>
          <w:sz w:val="28"/>
          <w:szCs w:val="28"/>
          <w:rtl w:val="true"/>
          <w:lang w:bidi="ar-SA"/>
        </w:rPr>
        <w:t>ﻫ حيث انتهت له المرجعية للشيعة في الأقطار عموماً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العراق خصوصاً وما كانت تلك الزعامة بالتي فاجأته عظمتها عنوة؛ لأن تلك العظمة لم تبتدئ بها كما أنها لم تنته بوفاته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إنها قد سبقت تاريخ استقلاله بتلك الزعامة الكبرى وستبقى خالدة بعده مادامت اصول العلوم الدينية لمذهب الإمامية قائمة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العلم لا ينسى ما له قبل الاستقلال بالمرجعية وبعدها من الثمرات الصالحة التي ينتجها المجمع العلمي الذي كان ينعقد له كل يوم وكل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تجتنيه الحوزة العلمية الرهيبة التي تشد إليها الرحال من الأقطار الشاسعة من تلك الأخلاق الفاضلة ومن النظريات الدقيقة التي هي محور الحركة العلمية في النجف بيد أن اشتهار تلك النظريات وعموم الانتفاع بتلك الأخلاق كان محدودا بمبدأ تلك الزعامة العامة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2684361_2870459653"/>
      <w:bookmarkStart w:id="367" w:name="_Toc131"/>
      <w:bookmarkEnd w:id="366"/>
      <w:r>
        <w:rPr>
          <w:rtl w:val="true"/>
        </w:rPr>
        <w:t>تلامذته ومصنفاته</w:t>
      </w:r>
      <w:bookmarkEnd w:id="367"/>
    </w:p>
    <w:p>
      <w:pPr>
        <w:pStyle w:val="BookText"/>
        <w:rPr/>
      </w:pPr>
      <w:r>
        <w:rPr>
          <w:rFonts w:ascii="Amiri" w:hAnsi="Amiri" w:eastAsia="Amiri" w:cs="Amiri"/>
          <w:color w:val="111111"/>
          <w:sz w:val="28"/>
          <w:sz w:val="28"/>
          <w:szCs w:val="28"/>
          <w:rtl w:val="true"/>
          <w:lang w:bidi="ar-SA"/>
        </w:rPr>
        <w:t>من مزايا الفقيد التي يمتاز بها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آرائه النافذة الصحيحة عنايته الخاصة بتربية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الخيرة الذين تُعلق الآمال على كفاءتهم في كفالة مقامه في العلوم الدينية؛ ولذلك كان يجدّ في تهذيبهم طبق المناهج المشروعة بلا ميل عنها يوماً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نفسه هو المثل الأعلى في الإخلاص لله وللعلم وأهله قولاً وعملاً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أحرز الكثير ممن ضمته حوزته العلمية كثيراً من نظرياته والمكانة البديعة التي تفرَّد بها وامتاز بالإبداع بها عن أسلافه ولكن الذين جدوا في إتقان الفنون </w:t>
      </w:r>
      <w:bookmarkStart w:id="368" w:name="pg9087_85360"/>
    </w:p>
    <w:p>
      <w:pPr>
        <w:pStyle w:val="BookText"/>
        <w:rPr/>
      </w:pPr>
      <w:bookmarkEnd w:id="368"/>
      <w:r>
        <w:rPr>
          <w:rFonts w:ascii="Amiri" w:hAnsi="Amiri" w:eastAsia="Amiri" w:cs="Amiri"/>
          <w:color w:val="111111"/>
          <w:sz w:val="28"/>
          <w:sz w:val="28"/>
          <w:szCs w:val="28"/>
          <w:rtl w:val="true"/>
          <w:lang w:bidi="ar-SA"/>
        </w:rPr>
        <w:t>التي جدّ في اتقانها هم الذين نعنيهم بتلامذته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ما كانوا ليبارحوا محافل إفاداته العامة والخاصة إلا نادراً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حفظت السيرة لكل سلف من العلماء خلفاً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تدون للإمام النائيني تلامذة من خيرة العلماء الصالحين الذين تلقوا محاضراته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واتقنوا نتائج أفكاره فألّفوا المجلدات الضخمة وأودعوها جميع ما يؤثر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بلا إخلال حتى في العبارة ولذلك لا نحسب أن مجمعه العلمي الذي كان ينعقد له في النجف قد انتهى وتقوّض بوفاته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إنه سوف يبقى مادام تلامذته لهم مجامع البحث والتدريس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تبقى نظرياته هي محور الحركة العلمية خالدة ببركة مصنفاته وتقارير تلامذته التي طبع بعضها</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2684363_2870459653"/>
      <w:bookmarkStart w:id="370" w:name="_Toc132"/>
      <w:bookmarkEnd w:id="369"/>
      <w:r>
        <w:rPr>
          <w:rtl w:val="true"/>
        </w:rPr>
        <w:t>أخلاقه وملكاته</w:t>
      </w:r>
      <w:bookmarkEnd w:id="370"/>
    </w:p>
    <w:p>
      <w:pPr>
        <w:pStyle w:val="BookText"/>
        <w:rPr/>
      </w:pPr>
      <w:r>
        <w:rPr>
          <w:rFonts w:ascii="Amiri" w:hAnsi="Amiri" w:eastAsia="Amiri" w:cs="Amiri"/>
          <w:color w:val="111111"/>
          <w:sz w:val="28"/>
          <w:sz w:val="28"/>
          <w:szCs w:val="28"/>
          <w:rtl w:val="true"/>
          <w:lang w:bidi="ar-SA"/>
        </w:rPr>
        <w:t xml:space="preserve">إن للإمام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عناية خاصة بتكميل نفسه وتغذيتها بأنواع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يصحبه في سفر أم حضر بضع شهور يعلم أن تلك العناية الخاصة وليدة نشأته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خصلة من أخلاق رجال العرفان ورجال السلوك الذين كان يلزم نهجهم أيام كان بسامراء مهاجراً وكان أشهرهم في السلوك والوصول الشيخ فتح علي السلطان آبادي صاحب الكرامات والمكاشفات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الآخوند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أن تلمس فضيلة الورع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أن تعرف كيف يتصل الإنسان بربه كفاك أن تلزمه أسبوعاً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تشهده يوماً قائماً في خلوته بين يدي باريه منقطعاً عن هذا العالم لا يحس منه شيئا التذاذاً بمناجاته ورهبة من</w:t>
      </w:r>
    </w:p>
    <w:p>
      <w:pPr>
        <w:pStyle w:val="BookText"/>
        <w:rPr/>
      </w:pPr>
      <w:r>
        <w:rPr>
          <w:rFonts w:ascii="IRNazanin" w:hAnsi="IRNazanin" w:eastAsia="IRNazanin"/>
          <w:color w:val="111111"/>
          <w:sz w:val="28"/>
          <w:sz w:val="28"/>
          <w:szCs w:val="28"/>
          <w:rtl w:val="true"/>
          <w:lang w:bidi="fa-IR"/>
        </w:rPr>
        <w:t>المثول أمامه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ستّ عشرة سنة قضاها في خدمة العلم وخدمة الأمة وهو زعيمها الروحي المطاع ما نال أحداً بكلمة واحدة ضد الكلمات الجمَّة المفترات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رُأي يوماً ما متهاوناً في حق عليه أو آسفاً لشيء زوي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لايزال في أوقات فراغه </w:t>
      </w:r>
      <w:bookmarkStart w:id="371" w:name="pg9087_85361"/>
    </w:p>
    <w:p>
      <w:pPr>
        <w:pStyle w:val="BookText"/>
        <w:rPr/>
      </w:pPr>
      <w:bookmarkEnd w:id="371"/>
      <w:r>
        <w:rPr>
          <w:rFonts w:ascii="Amiri" w:hAnsi="Amiri" w:eastAsia="Amiri" w:cs="Amiri"/>
          <w:color w:val="111111"/>
          <w:sz w:val="28"/>
          <w:sz w:val="28"/>
          <w:szCs w:val="28"/>
          <w:rtl w:val="true"/>
          <w:lang w:bidi="ar-SA"/>
        </w:rPr>
        <w:t>إما واجماً مفكراً في مشكلة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منبسطاً منشرحاً بين الملأ من أهل العلم ما داموا على طاعة</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وقال في طبقات أعلام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lang w:bidi="ar-SA"/>
        </w:rPr>
        <w:t>2/595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لبحثه ميزة خاصة لدقة مسلكه وغموض تحقيقاته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يحضره الا ذوو الكفاءة من أهل النظر ولا مجال فيه للناشئة والمتوسطين لقصورهم عن الاستفادة منه؛ ولذلك كان تلامذته المختصون به هم الذين تعلق عليهم الآمال وهكذا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برز فيهم أفذاذ أصبحوا قادة الحركة العلمية والفكرية والمدرسين المشاهير ناهيك بمثل السيد أبو القاسم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حسين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حسن البجنوردي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والميرزا باقر الزنجاني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هم مدراء الجامعة النجفية من مواردهم يستقي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طلاب أفذاذ التحقوا بالرفيق الأعلى كالشيخ محمد علي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موسى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انتشروا في أرجاء البسيطة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2" w:name="__RefHeading___Toc2684365_2870459653"/>
      <w:bookmarkStart w:id="373" w:name="_Toc133"/>
      <w:bookmarkEnd w:id="372"/>
      <w:r>
        <w:rPr>
          <w:rtl w:val="true"/>
        </w:rPr>
        <w:t>وفاته</w:t>
      </w:r>
      <w:bookmarkEnd w:id="373"/>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ظهر يوم السبت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 رزئت البلاد الإسلامية بالزعيم الديني الأكبر خاتمة السلف الصالح الإمام النائيني الذي قل أن ينجب الدهر مثلاً له في الصلاح وفي سمو التفكير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واتقان العلوم الدينية كافة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الناس في أسف وحسرة شديدة لما نزل بهم في الزمن الذي تقل فيه المثل الصالحة الذين يقتدى بهداهم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والحجج البالغة الذين تزاح الشكوك بالرجوع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وتوافدوا من الاقطار النائية لتعزية انجاله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الميرزا علي </w:t>
      </w:r>
      <w:bookmarkStart w:id="374" w:name="pg9087_85362"/>
    </w:p>
    <w:p>
      <w:pPr>
        <w:pStyle w:val="BookText"/>
        <w:rPr/>
      </w:pPr>
      <w:bookmarkEnd w:id="374"/>
      <w:r>
        <w:rPr>
          <w:rFonts w:ascii="Amiri" w:hAnsi="Amiri" w:eastAsia="Amiri" w:cs="Amiri"/>
          <w:color w:val="111111"/>
          <w:sz w:val="28"/>
          <w:sz w:val="28"/>
          <w:szCs w:val="28"/>
          <w:rtl w:val="true"/>
          <w:lang w:bidi="ar-SA"/>
        </w:rPr>
        <w:t>آغا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 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حرسهم الله فعلى ذمّة الدين الأقدس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ذمة الإخلاص الذي لم يرتفع من على وجه الأرض سد هذا الفراغ الشاغر في البناية الإسلامية والله هو المؤيد لدينه المسدد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حول ولا قوة الا به وحده</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2684367_2870459653"/>
      <w:bookmarkStart w:id="376" w:name="_Toc134"/>
      <w:bookmarkEnd w:id="375"/>
      <w:r>
        <w:rPr>
          <w:rtl w:val="true"/>
        </w:rPr>
        <w:t>آثاره</w:t>
      </w:r>
      <w:bookmarkEnd w:id="376"/>
    </w:p>
    <w:p>
      <w:pPr>
        <w:pStyle w:val="BookText"/>
        <w:rPr/>
      </w:pPr>
      <w:r>
        <w:rPr>
          <w:rFonts w:ascii="Amiri" w:hAnsi="Amiri" w:eastAsia="Amiri" w:cs="Amiri"/>
          <w:color w:val="111111"/>
          <w:sz w:val="28"/>
          <w:sz w:val="28"/>
          <w:szCs w:val="28"/>
          <w:rtl w:val="true"/>
          <w:lang w:bidi="ar-SA"/>
        </w:rPr>
        <w:t xml:space="preserve">قد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الكتب والرسائل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الأمَّة وتنزيه الملَّة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إقامة النظام الدستوري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بغداد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 فقهي غير مكتمل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الأشرف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أجوبة على مسائل المستفتين وقد جمعها واستنسخها تلميذه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ايران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وسيلة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عملية تشتمل على أبواب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مختصرها في صيدا 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عليها فقيه عصره السيد محسن الحكيم وسمَّاها دليل الناسك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تعليقة على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مستقلة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ذخيرة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عملية باللغة الفارسية</w:t>
      </w:r>
      <w:r>
        <w:rPr>
          <w:rFonts w:eastAsia="Amiri" w:cs="Amiri" w:ascii="Amiri" w:hAnsi="Amiri"/>
          <w:color w:val="111111"/>
          <w:sz w:val="28"/>
          <w:szCs w:val="28"/>
          <w:rtl w:val="true"/>
          <w:lang w:bidi="ar-SA"/>
        </w:rPr>
        <w:t xml:space="preserve">). </w:t>
      </w:r>
      <w:bookmarkStart w:id="377" w:name="pg9087_85363"/>
    </w:p>
    <w:p>
      <w:pPr>
        <w:pStyle w:val="BookText"/>
        <w:rPr/>
      </w:pPr>
      <w:bookmarkEnd w:id="377"/>
      <w:r>
        <w:rPr>
          <w:rFonts w:ascii="Amiri" w:hAnsi="Amiri" w:eastAsia="Amiri" w:cs="Amiri"/>
          <w:color w:val="111111"/>
          <w:sz w:val="28"/>
          <w:sz w:val="28"/>
          <w:szCs w:val="28"/>
          <w:rtl w:val="true"/>
          <w:lang w:bidi="ar-SA"/>
        </w:rPr>
        <w:t>وأمَّا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المعاني الحرفية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الترتب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في التعبدية والتوصلية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الرسالة التي بين يديك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اللباس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طبعت في النجف الأشرف سنة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وأعيد طبعها مستقلة في إيران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2684369_2870459653"/>
      <w:bookmarkStart w:id="379" w:name="_Toc135"/>
      <w:bookmarkEnd w:id="378"/>
      <w:r>
        <w:rPr>
          <w:rtl w:val="true"/>
        </w:rPr>
        <w:t>عملنا في التحقيق</w:t>
      </w:r>
      <w:bookmarkEnd w:id="379"/>
    </w:p>
    <w:p>
      <w:pPr>
        <w:pStyle w:val="BookText"/>
        <w:rPr/>
      </w:pPr>
      <w:r>
        <w:rPr>
          <w:rFonts w:ascii="Amiri" w:hAnsi="Amiri" w:eastAsia="Amiri" w:cs="Amiri"/>
          <w:color w:val="111111"/>
          <w:sz w:val="28"/>
          <w:sz w:val="28"/>
          <w:szCs w:val="28"/>
          <w:rtl w:val="true"/>
          <w:lang w:bidi="ar-SA"/>
        </w:rPr>
        <w:t>توفرت لدينا ثلاث نسخ من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المحقق الكبير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التلميذ المقرَّب من 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والظاهر أنَّه استنسخها في حياة المؤلف حيث دعا له بالحفظ فيما كتبه عليها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التعبدي والتوصلي لحجة الإسلام وملاذ الأنام الحاج ميرزا محمد حسين النائيني حفظه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النسخة موجودة في خزانة مخطوطات معهد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انتقلت إليه قريباً من ذرية الناسخ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تُفهرس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منضمَّة إلى مجموعة من 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صفحاتها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الورق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lang w:val="en-US" w:bidi="en-US"/>
        </w:rPr>
        <w:t>x 13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أسطرها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العلامة السيد محمد صادق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أيضاً مستنسخة في حياة المؤلف حيث ورد في خاتمتها أنَّه تمَّ استنساخها في ذي الحجة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النسخة أيضاً موجودة في خزانة مخطوطات معهد العلمين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أوراقها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lang w:val="en-US" w:bidi="en-US"/>
        </w:rPr>
        <w:t>x 20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وعدد أسطرها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bookmarkStart w:id="380" w:name="pg9087_85364"/>
    </w:p>
    <w:p>
      <w:pPr>
        <w:pStyle w:val="BookText"/>
        <w:rPr/>
      </w:pPr>
      <w:bookmarkEnd w:id="380"/>
      <w:r>
        <w:rPr>
          <w:rFonts w:ascii="Amiri" w:hAnsi="Amiri" w:eastAsia="Amiri" w:cs="Amiri"/>
          <w:color w:val="111111"/>
          <w:sz w:val="28"/>
          <w:sz w:val="28"/>
          <w:szCs w:val="28"/>
          <w:rtl w:val="true"/>
          <w:lang w:bidi="ar-SA"/>
        </w:rPr>
        <w:t xml:space="preserve">وهي منضمَّة إلى رسائل أخرى جمعها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بتأريخ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ﻫ كما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ذيل تعدادها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العلامة الشيخ محمد حسين الكلباسي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تلامذة المحقق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الملاحَظ أن بين نسختيهما فرقاً في مواضع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أن الأصل في نسخته غير النسخة الأولى المار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النسخة موجودة في حيازة نجل ناسخها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الشيخ محمد علي الكلباسي حفظه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ومصوَّرِها في خزانة مخطوطات مؤسسة كاشف الغطاء العامة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صفحاتها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Times New Roman" w:cs="Times New Roman" w:ascii="Times New Roman" w:hAnsi="Times New Roman"/>
          <w:color w:val="111111"/>
          <w:sz w:val="28"/>
          <w:szCs w:val="28"/>
          <w:lang w:val="en-US" w:bidi="en-US"/>
        </w:rPr>
        <w:t>x 14</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وعدد أسطرها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وتأريخ نسخها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منضمَّة إلى رسائل أخرى بخط الناسخ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وقد تمَّ اعتماد نسخة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في الهوامش إلى ما بينها وبين النسختين الأخريين من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للنسخة الثانية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وللثالثة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أشرنا إلى مظان المطالب التي أرجع إليها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تقريرات بحثه الشريف كفوائد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وأجود التقريرات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والمصادر الأخرى</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2684371_2870459653"/>
      <w:bookmarkStart w:id="382" w:name="_Toc136"/>
      <w:bookmarkEnd w:id="381"/>
      <w:r>
        <w:rPr>
          <w:rtl w:val="true"/>
        </w:rPr>
        <w:t>شكر وتقدير</w:t>
      </w:r>
      <w:bookmarkEnd w:id="38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الختام أتقدم بالشكر الجزيل إلى إدارة معهد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وإدارة مؤسسة كاشف الغطاء العامة لجميل تعاونهما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جميع الأساتذة الفضلاء والإخوة الأعزاء الذين ساهموا في اخراج هذا العمل بهذه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وأخص بالذكر منهم جناب الشيخ كريم مسير حفظه الله تعالى</w:t>
      </w:r>
      <w:r>
        <w:rPr>
          <w:rFonts w:eastAsia="Amiri" w:cs="Amiri" w:ascii="Amiri" w:hAnsi="Amiri"/>
          <w:color w:val="111111"/>
          <w:sz w:val="28"/>
          <w:szCs w:val="28"/>
          <w:rtl w:val="true"/>
          <w:lang w:bidi="ar-SA"/>
        </w:rPr>
        <w:t xml:space="preserve">.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تبارك وتعالى أن يجعل عملنا هذا خالصاً لوجهه الكريم وينفعنا به يوم لا ينفع مال ولا بنون إلا من أتى الله بقلب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وصلى الله على محمد وآله الطاهرين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81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4381560" cy="6985080"/>
                        </a:xfrm>
                        <a:prstGeom prst="rect">
                          <a:avLst/>
                        </a:prstGeom>
                        <a:ln w="0">
                          <a:noFill/>
                        </a:ln>
                      </pic:spPr>
                    </pic:pic>
                  </a:graphicData>
                </a:graphic>
              </wp:inline>
            </w:drawing>
          </mc:Choice>
          <mc:Fallback>
            <w:pict>
              <v:shape id="shape_0" stroked="f" o:allowincell="f" style="position:absolute;margin-left:0pt;margin-top:-550.05pt;width:344.95pt;height:549.95pt;mso-wrap-style:none;v-text-anchor:middle;mso-position-horizontal:left;mso-position-vertical:top" type="_x0000_t75">
                <v:imagedata r:id="rId352" o:detectmouseclick="t"/>
                <v:stroke color="#3465a4" joinstyle="round" endcap="flat"/>
                <w10:wrap type="none"/>
              </v:shape>
            </w:pict>
          </mc:Fallback>
        </mc:AlternateConten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صفحة العنوان من نسخة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445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4"/>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394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7"/>
                        <a:stretch/>
                      </pic:blipFill>
                      <pic:spPr>
                        <a:xfrm>
                          <a:off x="0" y="0"/>
                          <a:ext cx="4394160" cy="6985080"/>
                        </a:xfrm>
                        <a:prstGeom prst="rect">
                          <a:avLst/>
                        </a:prstGeom>
                        <a:ln w="0">
                          <a:noFill/>
                        </a:ln>
                      </pic:spPr>
                    </pic:pic>
                  </a:graphicData>
                </a:graphic>
              </wp:inline>
            </w:drawing>
          </mc:Choice>
          <mc:Fallback>
            <w:pict>
              <v:shape id="shape_0" stroked="f" o:allowincell="f" style="position:absolute;margin-left:0pt;margin-top:-550.05pt;width:345.95pt;height:549.95pt;mso-wrap-style:none;v-text-anchor:middle;mso-position-horizontal:left;mso-position-vertical:top" type="_x0000_t75">
                <v:imagedata r:id="rId358" o:detectmouseclick="t"/>
                <v:stroke color="#3465a4" joinstyle="round" endcap="flat"/>
                <w10:wrap type="none"/>
              </v:shape>
            </w:pict>
          </mc:Fallback>
        </mc:AlternateConten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076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6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127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3"/>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64" o:detectmouseclick="t"/>
                <v:stroke color="#3465a4" joinstyle="round" endcap="flat"/>
                <w10:wrap type="none"/>
              </v:shape>
            </w:pict>
          </mc:Fallback>
        </mc:AlternateConten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054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6"/>
                        <a:stretch/>
                      </pic:blipFill>
                      <pic:spPr>
                        <a:xfrm>
                          <a:off x="0" y="0"/>
                          <a:ext cx="5054760" cy="6985080"/>
                        </a:xfrm>
                        <a:prstGeom prst="rect">
                          <a:avLst/>
                        </a:prstGeom>
                        <a:ln w="0">
                          <a:noFill/>
                        </a:ln>
                      </pic:spPr>
                    </pic:pic>
                  </a:graphicData>
                </a:graphic>
              </wp:inline>
            </w:drawing>
          </mc:Choice>
          <mc:Fallback>
            <w:pict>
              <v:shape id="shape_0" stroked="f" o:allowincell="f" style="position:absolute;margin-left:0pt;margin-top:-550.05pt;width:397.95pt;height:549.95pt;mso-wrap-style:none;v-text-anchor:middle;mso-position-horizontal:left;mso-position-vertical:top" type="_x0000_t75">
                <v:imagedata r:id="rId367" o:detectmouseclick="t"/>
                <v:stroke color="#3465a4" joinstyle="round" endcap="flat"/>
                <w10:wrap type="none"/>
              </v:shape>
            </w:pict>
          </mc:Fallback>
        </mc:AlternateConten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2959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69"/>
                        <a:stretch/>
                      </pic:blipFill>
                      <pic:spPr>
                        <a:xfrm>
                          <a:off x="0" y="0"/>
                          <a:ext cx="5295960" cy="6985080"/>
                        </a:xfrm>
                        <a:prstGeom prst="rect">
                          <a:avLst/>
                        </a:prstGeom>
                        <a:ln w="0">
                          <a:noFill/>
                        </a:ln>
                      </pic:spPr>
                    </pic:pic>
                  </a:graphicData>
                </a:graphic>
              </wp:inline>
            </w:drawing>
          </mc:Choice>
          <mc:Fallback>
            <w:pict>
              <v:shape id="shape_0" stroked="f" o:allowincell="f" style="position:absolute;margin-left:0pt;margin-top:-550.05pt;width:416.95pt;height:549.95pt;mso-wrap-style:none;v-text-anchor:middle;mso-position-horizontal:left;mso-position-vertical:top" type="_x0000_t75">
                <v:imagedata r:id="rId370" o:detectmouseclick="t"/>
                <v:stroke color="#3465a4" joinstyle="round" endcap="flat"/>
                <w10:wrap type="none"/>
              </v:shape>
            </w:pict>
          </mc:Fallback>
        </mc:AlternateConten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bookmarkStart w:id="383" w:name="pg9087_85373"/>
    </w:p>
    <w:p>
      <w:pPr>
        <w:pStyle w:val="Heading3"/>
        <w:numPr>
          <w:ilvl w:val="2"/>
          <w:numId w:val="1"/>
        </w:numPr>
        <w:rPr/>
      </w:pPr>
      <w:bookmarkStart w:id="384" w:name="__RefHeading___Toc2684373_2870459653"/>
      <w:bookmarkStart w:id="385" w:name="_Toc137"/>
      <w:bookmarkEnd w:id="383"/>
      <w:bookmarkEnd w:id="384"/>
      <w:r>
        <w:rPr>
          <w:rtl w:val="true"/>
        </w:rPr>
        <w:t>متن الرسالة</w:t>
      </w:r>
      <w:bookmarkEnd w:id="38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6" w:name="__RefHeading___Toc2684375_2870459653"/>
      <w:bookmarkStart w:id="387" w:name="_Toc138"/>
      <w:bookmarkEnd w:id="386"/>
      <w:r>
        <w:rPr>
          <w:rtl w:val="true"/>
        </w:rPr>
        <w:t>اشارة</w:t>
      </w:r>
      <w:bookmarkEnd w:id="38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8" w:name="pg9087_85375"/>
      <w:bookmarkStart w:id="389" w:name="pg9087_85375"/>
      <w:bookmarkEnd w:id="389"/>
    </w:p>
    <w:p>
      <w:pPr>
        <w:pStyle w:val="BookText"/>
        <w:rPr/>
      </w:pPr>
      <w:bookmarkStart w:id="390" w:name="pg9087_85375"/>
      <w:bookmarkEnd w:id="390"/>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الحمد لله ربّ العالمين وأفضل الصلاة وأكمل التحية على خاتم أنبيائه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أنّ الأصل في الواجبات هل هو التوصلية أو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ليس في البين ما يوجب أصالة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تبين شيء منهما من مرجعه الآتي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إلى ما يقتضيه الاشتغال أو البراءة؟</w:t>
      </w:r>
    </w:p>
    <w:p>
      <w:pPr>
        <w:pStyle w:val="BookText"/>
        <w:rPr/>
      </w:pPr>
      <w:r>
        <w:rPr>
          <w:rFonts w:ascii="IRNazanin" w:hAnsi="IRNazanin" w:eastAsia="IRNazanin"/>
          <w:color w:val="111111"/>
          <w:sz w:val="28"/>
          <w:sz w:val="28"/>
          <w:szCs w:val="28"/>
          <w:rtl w:val="true"/>
          <w:lang w:bidi="fa-IR"/>
        </w:rPr>
        <w:t>وهذا</w:t>
      </w:r>
      <w:r>
        <w:rPr>
          <w:rStyle w:val="FootnoteAnchor"/>
          <w:rtl w:val="true"/>
        </w:rPr>
        <w:footnoteReference w:id="700"/>
      </w:r>
      <w:r>
        <w:rPr>
          <w:rStyle w:val="FootnoteAnchor"/>
          <w:rtl w:val="true"/>
        </w:rPr>
        <w:footnoteReference w:id="701"/>
      </w:r>
      <w:r>
        <w:rPr>
          <w:rFonts w:ascii="Amiri" w:hAnsi="Amiri" w:eastAsia="Amiri" w:cs="Amiri"/>
          <w:color w:val="111111"/>
          <w:sz w:val="28"/>
          <w:sz w:val="28"/>
          <w:szCs w:val="28"/>
          <w:rtl w:val="true"/>
          <w:lang w:bidi="ar-SA"/>
        </w:rPr>
        <w:t>هو الحق الذي لا محيص عنه ولا بد في تنقيحه من تقديم أمور</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2684377_2870459653"/>
      <w:bookmarkStart w:id="392" w:name="_Toc139"/>
      <w:bookmarkEnd w:id="391"/>
      <w:r>
        <w:rPr>
          <w:rtl w:val="true"/>
        </w:rPr>
        <w:t>الأمر الأول</w:t>
      </w:r>
      <w:bookmarkEnd w:id="392"/>
    </w:p>
    <w:p>
      <w:pPr>
        <w:pStyle w:val="BookText"/>
        <w:rPr/>
      </w:pPr>
      <w:r>
        <w:rPr>
          <w:rFonts w:ascii="Amiri" w:hAnsi="Amiri" w:eastAsia="Amiri" w:cs="Amiri"/>
          <w:color w:val="111111"/>
          <w:sz w:val="28"/>
          <w:sz w:val="28"/>
          <w:szCs w:val="28"/>
          <w:rtl w:val="true"/>
          <w:lang w:bidi="ar-SA"/>
        </w:rPr>
        <w:t>إن تعبدية الواجب عبارة عن كونه وظيفة مشروعة لأن يتعبد ويتقرب به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وتوصليته عبارة عما لم يعتبر فيه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التوصلية على الأعم من ذلك، فيراد به ما يسقط التكليف بمحض حصوله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مع عدم استناده إلى المكلف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بلا إرادة و اختيار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حال النوم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وبالمحرَّم أيضاً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 خفي أن غاية ما يمكن من دعوى أصالة التوصلية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بتوهم أنها قضية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بذلك المعنى الأخص المقابل لاعتبار نية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زعماً برجوعه إلى تقييد المادة بها</w:t>
      </w:r>
      <w:r>
        <w:rPr>
          <w:rStyle w:val="FootnoteAnchor"/>
          <w:rtl w:val="true"/>
        </w:rPr>
        <w:footnoteReference w:id="702"/>
      </w:r>
      <w:r>
        <w:rPr>
          <w:rFonts w:ascii="Amiri" w:hAnsi="Amiri" w:eastAsia="Amiri" w:cs="Amiri"/>
          <w:color w:val="111111"/>
          <w:sz w:val="28"/>
          <w:sz w:val="28"/>
          <w:szCs w:val="28"/>
          <w:rtl w:val="true"/>
          <w:lang w:bidi="ar-SA"/>
        </w:rPr>
        <w:t>أما بهذا المعنى الملازم للسقوط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w:t>
      </w:r>
    </w:p>
    <w:p>
      <w:pPr>
        <w:pStyle w:val="BookText"/>
        <w:rPr/>
      </w:pPr>
      <w:r>
        <w:rPr>
          <w:rFonts w:ascii="Amiri" w:hAnsi="Amiri" w:eastAsia="Amiri" w:cs="Amiri"/>
          <w:color w:val="111111"/>
          <w:sz w:val="28"/>
          <w:sz w:val="28"/>
          <w:szCs w:val="28"/>
          <w:rtl w:val="true"/>
          <w:lang w:bidi="ar-SA"/>
        </w:rPr>
        <w:t>قيام دليل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فظاهر الخطاب هو تقييد المطلوب بكل من المباشرة والاختيارية وما عدا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على ما هو التحقيق عندنا</w:t>
      </w:r>
      <w:r>
        <w:rPr>
          <w:rStyle w:val="FootnoteAnchor"/>
          <w:rtl w:val="true"/>
        </w:rPr>
        <w:footnoteReference w:id="703"/>
      </w:r>
      <w:r>
        <w:rPr>
          <w:rFonts w:ascii="Amiri" w:hAnsi="Amiri" w:eastAsia="Amiri" w:cs="Amiri"/>
          <w:color w:val="111111"/>
          <w:sz w:val="28"/>
          <w:sz w:val="28"/>
          <w:szCs w:val="28"/>
          <w:rtl w:val="true"/>
          <w:lang w:bidi="ar-SA"/>
        </w:rPr>
        <w:t>من كفاية تعدد الجهة في تعدد متعلق الحكمين وعدم تعلق كل منهما بعين ما يتعلق</w:t>
      </w:r>
      <w:r>
        <w:rPr>
          <w:rStyle w:val="FootnoteAnchor"/>
          <w:rtl w:val="true"/>
        </w:rPr>
        <w:footnoteReference w:id="704"/>
      </w:r>
      <w:r>
        <w:rPr>
          <w:rFonts w:ascii="Amiri" w:hAnsi="Amiri" w:eastAsia="Amiri" w:cs="Amiri"/>
          <w:color w:val="111111"/>
          <w:sz w:val="28"/>
          <w:sz w:val="28"/>
          <w:szCs w:val="28"/>
          <w:rtl w:val="true"/>
          <w:lang w:bidi="ar-SA"/>
        </w:rPr>
        <w:t>الآخر بإطلاقه به فضلاً عما إذا قيل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المباشرة فلأن الكلام في</w:t>
      </w:r>
      <w:r>
        <w:rPr>
          <w:rStyle w:val="FootnoteAnchor"/>
          <w:rtl w:val="true"/>
        </w:rPr>
        <w:footnoteReference w:id="705"/>
      </w:r>
      <w:r>
        <w:rPr>
          <w:rFonts w:ascii="IRNazanin" w:hAnsi="IRNazanin" w:eastAsia="IRNazanin"/>
          <w:color w:val="111111"/>
          <w:sz w:val="28"/>
          <w:sz w:val="28"/>
          <w:szCs w:val="28"/>
          <w:rtl w:val="true"/>
          <w:lang w:bidi="fa-IR"/>
        </w:rPr>
        <w:t>ظهور الخطاب</w:t>
      </w:r>
      <w:r>
        <w:rPr>
          <w:rStyle w:val="FootnoteAnchor"/>
          <w:rtl w:val="true"/>
        </w:rPr>
        <w:footnoteReference w:id="706"/>
      </w:r>
      <w:r>
        <w:rPr>
          <w:rFonts w:ascii="Amiri" w:hAnsi="Amiri" w:eastAsia="Amiri" w:cs="Amiri"/>
          <w:color w:val="111111"/>
          <w:sz w:val="28"/>
          <w:sz w:val="28"/>
          <w:szCs w:val="28"/>
          <w:rtl w:val="true"/>
          <w:lang w:bidi="ar-SA"/>
        </w:rPr>
        <w:t>في اعتبارها يقع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تارة في مقابل كفاية الاستنابة</w:t>
      </w:r>
      <w:r>
        <w:rPr>
          <w:rStyle w:val="FootnoteAnchor"/>
          <w:rtl w:val="true"/>
        </w:rPr>
        <w:footnoteReference w:id="707"/>
      </w:r>
      <w:r>
        <w:rPr>
          <w:rFonts w:ascii="Amiri" w:hAnsi="Amiri" w:eastAsia="Amiri" w:cs="Amiri"/>
          <w:color w:val="111111"/>
          <w:sz w:val="28"/>
          <w:sz w:val="28"/>
          <w:szCs w:val="28"/>
          <w:rtl w:val="true"/>
          <w:lang w:bidi="ar-SA"/>
        </w:rPr>
        <w:t>وأًخرى في مقابل السقوط بفعل الغير بلا استناد إلى</w:t>
      </w:r>
      <w:r>
        <w:rPr>
          <w:rStyle w:val="FootnoteAnchor"/>
          <w:rtl w:val="true"/>
        </w:rPr>
        <w:footnoteReference w:id="708"/>
      </w:r>
      <w:r>
        <w:rPr>
          <w:rFonts w:ascii="Amiri" w:hAnsi="Amiri" w:eastAsia="Amiri" w:cs="Amiri"/>
          <w:color w:val="111111"/>
          <w:sz w:val="28"/>
          <w:sz w:val="28"/>
          <w:szCs w:val="28"/>
          <w:rtl w:val="true"/>
          <w:lang w:bidi="ar-SA"/>
        </w:rPr>
        <w:t>المكلّف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أن ما يلازم التوصلية بالمعنى الأعم وإن كان هو السقوط على الوجه الثاني دون الأول إلا أن ظاهر الخطاب هو اعتبارها في مقابل كلٍ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w:t>
      </w:r>
      <w:r>
        <w:rPr>
          <w:rStyle w:val="FootnoteAnchor"/>
          <w:rtl w:val="true"/>
        </w:rPr>
        <w:footnoteReference w:id="709"/>
      </w:r>
      <w:r>
        <w:rPr>
          <w:rFonts w:ascii="Amiri" w:hAnsi="Amiri" w:eastAsia="Amiri" w:cs="Amiri"/>
          <w:color w:val="111111"/>
          <w:sz w:val="28"/>
          <w:sz w:val="28"/>
          <w:szCs w:val="28"/>
          <w:rtl w:val="true"/>
          <w:lang w:bidi="ar-SA"/>
        </w:rPr>
        <w:t>على اختلاف طريق المسألتين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ومغايرة الإطلاق المقتضي لتعينها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للإطلاق النافي للسقوط بفعل الغير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يرتضعان من ثدي واحد</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وتوضيح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إنها عنوان اختياري</w:t>
      </w:r>
      <w:r>
        <w:rPr>
          <w:rStyle w:val="FootnoteAnchor"/>
          <w:rtl w:val="true"/>
        </w:rPr>
        <w:footnoteReference w:id="710"/>
      </w:r>
      <w:r>
        <w:rPr>
          <w:rFonts w:ascii="Amiri" w:hAnsi="Amiri" w:eastAsia="Amiri" w:cs="Amiri"/>
          <w:color w:val="111111"/>
          <w:sz w:val="28"/>
          <w:sz w:val="28"/>
          <w:szCs w:val="28"/>
          <w:rtl w:val="true"/>
          <w:lang w:bidi="ar-SA"/>
        </w:rPr>
        <w:t xml:space="preserve">يصلح لتعلق </w:t>
      </w:r>
    </w:p>
    <w:p>
      <w:pPr>
        <w:pStyle w:val="BookText"/>
        <w:rPr/>
      </w:pPr>
      <w:r>
        <w:rPr>
          <w:rFonts w:ascii="Amiri" w:hAnsi="Amiri" w:eastAsia="Amiri" w:cs="Amiri"/>
          <w:color w:val="111111"/>
          <w:sz w:val="28"/>
          <w:sz w:val="28"/>
          <w:szCs w:val="28"/>
          <w:rtl w:val="true"/>
          <w:lang w:bidi="ar-SA"/>
        </w:rPr>
        <w:t>التكليف به</w:t>
      </w:r>
      <w:r>
        <w:rPr>
          <w:rStyle w:val="FootnoteAnchor"/>
          <w:rtl w:val="true"/>
        </w:rPr>
        <w:footnoteReference w:id="711"/>
      </w:r>
      <w:r>
        <w:rPr>
          <w:rFonts w:ascii="IRNazanin" w:hAnsi="IRNazanin" w:eastAsia="IRNazanin"/>
          <w:color w:val="111111"/>
          <w:sz w:val="28"/>
          <w:sz w:val="28"/>
          <w:szCs w:val="28"/>
          <w:rtl w:val="true"/>
          <w:lang w:bidi="fa-IR"/>
        </w:rPr>
        <w:t>عند</w:t>
      </w:r>
    </w:p>
    <w:p>
      <w:pPr>
        <w:pStyle w:val="BookText"/>
        <w:rPr/>
      </w:pPr>
      <w:r>
        <w:rPr>
          <w:rFonts w:ascii="Amiri" w:hAnsi="Amiri" w:eastAsia="Amiri" w:cs="Amiri"/>
          <w:color w:val="111111"/>
          <w:sz w:val="28"/>
          <w:sz w:val="28"/>
          <w:szCs w:val="28"/>
          <w:rtl w:val="true"/>
          <w:lang w:bidi="ar-SA"/>
        </w:rPr>
        <w:t xml:space="preserve">تعذر المباشرة أو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كفايتها في عرض المباشرة إلى</w:t>
      </w:r>
      <w:r>
        <w:rPr>
          <w:rStyle w:val="FootnoteAnchor"/>
          <w:rtl w:val="true"/>
        </w:rPr>
        <w:footnoteReference w:id="712"/>
      </w:r>
      <w:r>
        <w:rPr>
          <w:rFonts w:ascii="Amiri" w:hAnsi="Amiri" w:eastAsia="Amiri" w:cs="Amiri"/>
          <w:color w:val="111111"/>
          <w:sz w:val="28"/>
          <w:sz w:val="28"/>
          <w:szCs w:val="28"/>
          <w:rtl w:val="true"/>
          <w:lang w:bidi="ar-SA"/>
        </w:rPr>
        <w:t>تعميم في متعلق التكليف</w:t>
      </w:r>
      <w:r>
        <w:rPr>
          <w:rStyle w:val="FootnoteAnchor"/>
          <w:rtl w:val="true"/>
        </w:rPr>
        <w:footnoteReference w:id="7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هو النتيجة المترتبة على حكومة دليلها على الدليل الظاهر في خصوص المباشرة</w:t>
      </w:r>
      <w:r>
        <w:rPr>
          <w:rStyle w:val="FootnoteAnchor"/>
          <w:rtl w:val="true"/>
        </w:rPr>
        <w:footnoteReference w:id="714"/>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فإن قلنا بأن في البين جامعاً قريباً عرفياً يصلح أن يكون هو المطالب به من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والمستعمل فيه هيئة الأمر وغيرها من هيئات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على سبيل عموم المجاز كما هو لازم القول بمجازية النسبة إلى المستنيب بعلاقة التنزيل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التسبيب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المتجه حينئذ رجوع التعميم المذكور إلى وجوب القدر المشترك بين الأمرين في مقابل تقييده بخصوص المباشرة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منعنا عن ذلك وقلنا بأن النسبة الناشئة عن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حقيقية كانت أو مجازية وبأي عناية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إنها في طول النسبة إلى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يجمعها نسبة واحدة تكون هي المطالب بها من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والمستعمل به هيئة الأمر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سبيل الحقيقة ولا على عموم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المتعين حينئذ رجوع التعميم المذكور إلى التخيير بين الأمرين في مقابل تعيين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منهما فالنسبة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قلنا بعدم مجازيتها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وأغمضنا عن طوليتها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أقل من انصراف المعنى المنشأ بهيئة الأمر عنها عند إطلاقها المقامي الراجع إلى انتقاء ما يوجب صرفها عن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عما إذا قلنا بالمجازية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منعنا عن الجامع المذكور والتزمنا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كفاية الاستنابة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بالوجوب التخييري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ظهور الخطاب في اعتبار المباشرة يكون أقوى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لا يخفى</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فعل الغير بلا استنابة من المكلف</w:t>
      </w:r>
      <w:r>
        <w:rPr>
          <w:rStyle w:val="FootnoteAnchor"/>
          <w:rtl w:val="true"/>
        </w:rPr>
        <w:footnoteReference w:id="716"/>
      </w:r>
      <w:r>
        <w:rPr>
          <w:rFonts w:ascii="Amiri" w:hAnsi="Amiri" w:eastAsia="Amiri" w:cs="Amiri"/>
          <w:color w:val="111111"/>
          <w:sz w:val="28"/>
          <w:sz w:val="28"/>
          <w:szCs w:val="28"/>
          <w:rtl w:val="true"/>
          <w:lang w:bidi="ar-SA"/>
        </w:rPr>
        <w:t>فحيث إنه لا يعقل أن يتعلق التكليف العيني الموجه إلى مكلف خاص بالقدر المشترك بين فعل نفسه وغيره</w:t>
      </w:r>
      <w:r>
        <w:rPr>
          <w:rStyle w:val="FootnoteAnchor"/>
          <w:rtl w:val="true"/>
        </w:rPr>
        <w:footnoteReference w:id="7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بأحدهما 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يكشف دليل السقوط</w:t>
      </w:r>
      <w:r>
        <w:rPr>
          <w:rStyle w:val="FootnoteAnchor"/>
          <w:rtl w:val="true"/>
        </w:rPr>
        <w:footnoteReference w:id="718"/>
      </w:r>
      <w:r>
        <w:rPr>
          <w:rFonts w:ascii="Amiri" w:hAnsi="Amiri" w:eastAsia="Amiri" w:cs="Amiri"/>
          <w:color w:val="111111"/>
          <w:sz w:val="28"/>
          <w:sz w:val="28"/>
          <w:szCs w:val="28"/>
          <w:rtl w:val="true"/>
          <w:lang w:bidi="ar-SA"/>
        </w:rPr>
        <w:t>عن تعميم المتعلق بشيء من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يكون كاشفاً لا محالة عن ارتفاع موضوعه</w:t>
      </w:r>
      <w:r>
        <w:rPr>
          <w:rStyle w:val="FootnoteAnchor"/>
          <w:rtl w:val="true"/>
        </w:rPr>
        <w:footnoteReference w:id="719"/>
      </w:r>
      <w:r>
        <w:rPr>
          <w:rFonts w:ascii="Amiri" w:hAnsi="Amiri" w:eastAsia="Amiri" w:cs="Amiri"/>
          <w:color w:val="111111"/>
          <w:sz w:val="28"/>
          <w:sz w:val="28"/>
          <w:szCs w:val="28"/>
          <w:rtl w:val="true"/>
          <w:lang w:bidi="ar-SA"/>
        </w:rPr>
        <w:t>الذي يدور حدوثاً وبقاءً مداره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وموضوعيته للحكم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عدم تعقل السقوط في مفروض المقام بغير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أن قضية اشتراط كل حكم بوجود موضوعه على حسب ما أخذ موضوعاً له إنما هو اشتراط التكليف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إزالة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أداء الدين ونحو ذلك مما يصلح موضوعه لأن يرتفع بفعل الغير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ارتفاعه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شرط آخر في ناحية البقاء زائداً على أصل الحدوث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فبهذا الاعتبار يكون السقوط بفعل الغير منافياً لإطلاق الخطاب في مقابل اشتراطه بقاءً بعدم قيام الغير به</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فالسقوط</w:t>
      </w:r>
      <w:r>
        <w:rPr>
          <w:rStyle w:val="FootnoteAnchor"/>
          <w:rtl w:val="true"/>
        </w:rPr>
        <w:footnoteReference w:id="721"/>
      </w:r>
      <w:r>
        <w:rPr>
          <w:rFonts w:ascii="Amiri" w:hAnsi="Amiri" w:eastAsia="Amiri" w:cs="Amiri"/>
          <w:color w:val="111111"/>
          <w:sz w:val="28"/>
          <w:sz w:val="28"/>
          <w:szCs w:val="28"/>
          <w:rtl w:val="true"/>
          <w:lang w:bidi="ar-SA"/>
        </w:rPr>
        <w:t xml:space="preserve">بالاستنابة يرجع إلى الخروج عما يقتضيه إطلاق </w:t>
      </w:r>
    </w:p>
    <w:p>
      <w:pPr>
        <w:pStyle w:val="BookText"/>
        <w:rPr/>
      </w:pPr>
      <w:r>
        <w:rPr>
          <w:rFonts w:ascii="Amiri" w:hAnsi="Amiri" w:eastAsia="Amiri" w:cs="Amiri"/>
          <w:color w:val="111111"/>
          <w:sz w:val="28"/>
          <w:sz w:val="28"/>
          <w:szCs w:val="28"/>
          <w:rtl w:val="true"/>
          <w:lang w:bidi="ar-SA"/>
        </w:rPr>
        <w:t>الخطاب في ناحية المكلف به بأحد الوجهين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وبدونها إلى الخروج عما يقتضيه في ناحية التكليف من الوجوب المطلق المقابل للمشروط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وبينهما من البون البعيد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الدليل مجملاً فاختلاف الطريق يسري إلى المقام أيضاً لرجوع الأمر عند الشك في كفاية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تسليم الجامع المذكور إلى العلم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قيد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فيندرج فيما يكون تردد المكلف به بين الأقل والأكثر تحليلياً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خارجياً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المنع عنه إلى العلم بتكليفٍ مرددٍ متعلقُه بين المعين والمخير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أيضا إلى التحليلي بوجه آخر على ما بين في محله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البناء على جريان البراءة في المقام وشمول دليل الرفع لمثل ذلك فينحل اليقين السابق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يبقى مجال لاستصحاب التكليف المردد بعد الإتيان بالأقل المعلومِ تعلقُ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حرر في محله</w:t>
      </w:r>
      <w:r>
        <w:rPr>
          <w:rStyle w:val="FootnoteAnchor"/>
          <w:rtl w:val="true"/>
        </w:rPr>
        <w:footnoteReference w:id="723"/>
      </w:r>
      <w:r>
        <w:rPr>
          <w:rFonts w:ascii="Amiri" w:hAnsi="Amiri" w:eastAsia="Amiri" w:cs="Amiri"/>
          <w:color w:val="111111"/>
          <w:sz w:val="28"/>
          <w:sz w:val="28"/>
          <w:szCs w:val="28"/>
          <w:rtl w:val="true"/>
          <w:lang w:bidi="ar-SA"/>
        </w:rPr>
        <w:t>وهذا بخلاف ما إذا شك في السقوط بقيام الغير بدون الاستنابة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جريان البراءة عند انتقاء ما يشك في اشتراط التكليف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مفروض المقام من المتسالم عليها من مجاريها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إن الشك في المقام راجع إلى مرحلة البقاء وانتقاض اليقين السابق دون الحدوث الموجب لانحلاله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الفرض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يصلح دليل الرفع رافعاً لموضوع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ينعكس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ويرتفع به موضوعه كما في أشباهه فتدبر</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الاختيارية فلأن النسبة الموضوعة لها هيئات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باعتبار اشتراكها المعنوي</w:t>
      </w:r>
      <w:r>
        <w:rPr>
          <w:rStyle w:val="FootnoteAnchor"/>
          <w:rtl w:val="true"/>
        </w:rPr>
        <w:footnoteReference w:id="725"/>
      </w:r>
      <w:r>
        <w:rPr>
          <w:rFonts w:ascii="Amiri" w:hAnsi="Amiri" w:eastAsia="Amiri" w:cs="Amiri"/>
          <w:color w:val="111111"/>
          <w:sz w:val="28"/>
          <w:sz w:val="28"/>
          <w:szCs w:val="28"/>
          <w:rtl w:val="true"/>
          <w:lang w:bidi="ar-SA"/>
        </w:rPr>
        <w:t>بين المتعدي واللازم بأنواعه</w:t>
      </w:r>
      <w:r>
        <w:rPr>
          <w:rStyle w:val="FootnoteAnchor"/>
          <w:rtl w:val="true"/>
        </w:rPr>
        <w:footnoteReference w:id="726"/>
      </w:r>
      <w:r>
        <w:rPr>
          <w:rFonts w:ascii="Amiri" w:hAnsi="Amiri" w:eastAsia="Amiri" w:cs="Amiri"/>
          <w:color w:val="111111"/>
          <w:sz w:val="28"/>
          <w:sz w:val="28"/>
          <w:szCs w:val="28"/>
          <w:rtl w:val="true"/>
          <w:lang w:bidi="ar-SA"/>
        </w:rPr>
        <w:t>الراجع بعضها إلى مقولة الانفعال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إلى مقولة الكيف وغير ذلك مما لا دخل للاختيارية في قيامها بمعروضاتها</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شاملة لما إذا كان قيام المبدأ بفاعله بغير</w:t>
      </w:r>
      <w:r>
        <w:rPr>
          <w:rStyle w:val="FootnoteAnchor"/>
          <w:rtl w:val="true"/>
        </w:rPr>
        <w:footnoteReference w:id="728"/>
      </w:r>
      <w:r>
        <w:rPr>
          <w:rFonts w:ascii="Amiri" w:hAnsi="Amiri" w:eastAsia="Amiri" w:cs="Amiri"/>
          <w:color w:val="111111"/>
          <w:sz w:val="28"/>
          <w:sz w:val="28"/>
          <w:szCs w:val="28"/>
          <w:rtl w:val="true"/>
          <w:lang w:bidi="ar-SA"/>
        </w:rPr>
        <w:t>إرادة واختيار منه على حد شموله</w:t>
      </w:r>
      <w:r>
        <w:rPr>
          <w:rStyle w:val="FootnoteAnchor"/>
          <w:rtl w:val="true"/>
        </w:rPr>
        <w:footnoteReference w:id="729"/>
      </w:r>
      <w:r>
        <w:rPr>
          <w:rFonts w:ascii="Amiri" w:hAnsi="Amiri" w:eastAsia="Amiri" w:cs="Amiri"/>
          <w:color w:val="111111"/>
          <w:sz w:val="28"/>
          <w:sz w:val="28"/>
          <w:szCs w:val="28"/>
          <w:rtl w:val="true"/>
          <w:lang w:bidi="ar-SA"/>
        </w:rPr>
        <w:t>للاختياري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القدر المسلم من الانصراف الناشئ عن كون المبدأ من مقولة الفعل المقابل للانفعال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انصرافها عما إذا </w:t>
      </w:r>
    </w:p>
    <w:p>
      <w:pPr>
        <w:pStyle w:val="BookText"/>
        <w:rPr/>
      </w:pPr>
      <w:r>
        <w:rPr>
          <w:rFonts w:ascii="Amiri" w:hAnsi="Amiri" w:eastAsia="Amiri" w:cs="Amiri"/>
          <w:color w:val="111111"/>
          <w:sz w:val="28"/>
          <w:sz w:val="28"/>
          <w:szCs w:val="28"/>
          <w:rtl w:val="true"/>
          <w:lang w:bidi="ar-SA"/>
        </w:rPr>
        <w:t>وقع الفعل بقهر قاهر على من يقوم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النسبة حينئذ وقوعية عليه لا صدورية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كان الفعل صادراً منه بغير إرادته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حال النوم ونحوه فإنه لا مجال لدعوى الانصراف عن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جهة الهيئة لما عرفت من أن وضعها للقدر المشترك بين المتعدي واللازم بأنواعه من المتواطئ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لدعوى الانصراف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جهة نفس المادة إذا كان من مقولة الفعل المصطلح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ما يتوقف إضافتها إلى الفاعل هو صدورها منه؛ إما كونه بإرادته واختياره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نفس المادة بنفسها متضمنة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كانت هي كالتعظيم والتأديب ونحوهما من العناوين القصدية فلا معنى للانصراف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فليس إلى دعواه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تسالموا على شمول أدلة الضمانات ونحوها بجامع واحد للإرادي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مضافاً إلى امتياز متعلقات التكاليف عن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خلو غير الاختياري عن جهة الحسن أو القبح الفاعلي التي بها يتقوم ملاك المطلوبية أو المبغوضية دون الضمان ونحوه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فهيئة الأمر أيضا ممتازة عن هيئة الماضي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النسبة الموضوعة هي لإيقاعها على من يتوجه اليه طلبية مسوقة لبعثه على الفعل بإلقاء موجب الاختيار إليه وتوجيه إرادته نحوه</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فهذان الاعتباران متعلق البعث الإرادي حتى إذا كان الدليل لبياً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المنكشف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وتتوسط الاختيارية في جهة الانتساب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 غير الاختياري عن الانطباق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السقوط به كالسقوط بفعل الغير في كونه من باب ارتفاع الموضوع المتقدم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لحصول مصداق الواجب كما عرفته في الاستنابة</w:t>
      </w:r>
      <w:r>
        <w:rPr>
          <w:rStyle w:val="FootnoteAnchor"/>
          <w:rtl w:val="true"/>
        </w:rPr>
        <w:footnoteReference w:id="7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توقفه على إمكان التعميم المتعذر في المقام أيضا حذو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غير المقدور بالمزاحم فهو وإن كانت القدرة أيضاً كالاختيارية من القيود اللاحقة من جهة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وترتضعان من ثدي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غير المقدور المذكور غير صالح بهذا الاعتبار لأن يطالب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بدلياً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يبتني</w:t>
      </w:r>
      <w:r>
        <w:rPr>
          <w:rStyle w:val="FootnoteAnchor"/>
          <w:rtl w:val="true"/>
        </w:rPr>
        <w:footnoteReference w:id="731"/>
      </w:r>
      <w:r>
        <w:rPr>
          <w:rFonts w:ascii="Amiri" w:hAnsi="Amiri" w:eastAsia="Amiri" w:cs="Amiri"/>
          <w:color w:val="111111"/>
          <w:sz w:val="28"/>
          <w:sz w:val="28"/>
          <w:szCs w:val="28"/>
          <w:rtl w:val="true"/>
          <w:lang w:bidi="ar-SA"/>
        </w:rPr>
        <w:t>خروج ما يزاحمه المضيق في زمانه عن إطلاق الموسع على ما حرر في محله</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حيث إنه لا دخل للقدرة عند عدم أخذها شرطاً شرعياً في لسان الدليل إلا في حسن الطلب دون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يؤثر المزاحمة حينئذ إلا في سقوط الخطاب عن أحد المتزاحمين دون خلوه عن ملاك الحكم وجهة حسنه الفاعلي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مجزياً بهذا الاعتبار بلا حاجة إلى قيام دليل آخر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ويصلح حتى للتعبدية من هذه الجهة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بعدم ارتفاع محذور التزاحم بترتب أحد الخطابين على عصيان </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خلاف التحقيق عندنا على ما حققناه في محله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المزاحم بحيث يوجب مضافاً إلى عدم التمكن عما يزاحمه خللاً في حسنه الفاعلي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يلحق بغير الاختياري في جميع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اجتماع الأمر والنهي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القول بعدم الجدوى لتعدد الجهة في تعدد متعلق الحكمين وترجيح جانب النهي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بعد خروج الجهة المغلوبة عن ملاكية الحكم بأقوائية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جدوى في حسن الفعل في حد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حسنه الفاعلي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على ما هو المختار عندنا من</w:t>
      </w:r>
      <w:r>
        <w:rPr>
          <w:rStyle w:val="FootnoteAnchor"/>
          <w:rtl w:val="true"/>
        </w:rPr>
        <w:footnoteReference w:id="734"/>
      </w:r>
      <w:r>
        <w:rPr>
          <w:rFonts w:ascii="Amiri" w:hAnsi="Amiri" w:eastAsia="Amiri" w:cs="Amiri"/>
          <w:color w:val="111111"/>
          <w:sz w:val="28"/>
          <w:sz w:val="28"/>
          <w:szCs w:val="28"/>
          <w:rtl w:val="true"/>
          <w:lang w:bidi="ar-SA"/>
        </w:rPr>
        <w:t>كفايتها في ذلك؛ فلأن غاية ما يجديه ذلك هو التخلص عن أحد محذوري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وارتفاع المانع عن إطلاق متعلق الأمر عند عدم تنجز النهي بذلك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المقدورية المجامع للمحرم عند تنجز حرمته فهو محذور آخر يترتب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كونه مانعاً عن شمول الإطلاق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الفراغ عن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البناء على تبعية إطلاق متعلق الأمر لمقدار مقدوريته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أنه مبنى مزاحمة المضيق لإطلاق الموسع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حينئذ من تقييد متعلق الأمر بما عدا المتنجز حرمته وبناء الامتناع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فيستقيم حينئذ ما تسالموا عليه من دوران مانعية النهي مدار 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لا مساس له بالامتناع من الجهة الأولى كما فُصِّل في محله</w:t>
      </w:r>
      <w:r>
        <w:rPr>
          <w:rStyle w:val="FootnoteAnchor"/>
          <w:rtl w:val="true"/>
        </w:rPr>
        <w:footnoteReference w:id="7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ولمكان تلازم</w:t>
      </w:r>
      <w:r>
        <w:rPr>
          <w:rStyle w:val="FootnoteAnchor"/>
          <w:rtl w:val="true"/>
        </w:rPr>
        <w:footnoteReference w:id="736"/>
      </w:r>
      <w:r>
        <w:rPr>
          <w:rFonts w:ascii="Amiri" w:hAnsi="Amiri" w:eastAsia="Amiri" w:cs="Amiri"/>
          <w:color w:val="111111"/>
          <w:sz w:val="28"/>
          <w:sz w:val="28"/>
          <w:szCs w:val="28"/>
          <w:rtl w:val="true"/>
          <w:lang w:bidi="ar-SA"/>
        </w:rPr>
        <w:t>الجهتين إيجاداً ووجوداً فيسري القبح الفاعلي الناشئ عن تنجز النهي إلى ما يجامع المبغوض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ويمتاز عما </w:t>
      </w:r>
      <w:bookmarkStart w:id="393" w:name="pg9087_85384"/>
    </w:p>
    <w:p>
      <w:pPr>
        <w:pStyle w:val="BookText"/>
        <w:rPr/>
      </w:pPr>
      <w:bookmarkEnd w:id="393"/>
      <w:r>
        <w:rPr>
          <w:rFonts w:ascii="Amiri" w:hAnsi="Amiri" w:eastAsia="Amiri" w:cs="Amiri"/>
          <w:color w:val="111111"/>
          <w:sz w:val="28"/>
          <w:sz w:val="28"/>
          <w:szCs w:val="28"/>
          <w:rtl w:val="true"/>
          <w:lang w:bidi="ar-SA"/>
        </w:rPr>
        <w:t>يضاد المضيق ونحوه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يصلح</w:t>
      </w:r>
      <w:r>
        <w:rPr>
          <w:rStyle w:val="FootnoteAnchor"/>
          <w:rtl w:val="true"/>
        </w:rPr>
        <w:footnoteReference w:id="737"/>
      </w:r>
      <w:r>
        <w:rPr>
          <w:rFonts w:ascii="Amiri" w:hAnsi="Amiri" w:eastAsia="Amiri" w:cs="Amiri"/>
          <w:color w:val="111111"/>
          <w:sz w:val="28"/>
          <w:sz w:val="28"/>
          <w:szCs w:val="28"/>
          <w:rtl w:val="true"/>
          <w:lang w:bidi="ar-SA"/>
        </w:rPr>
        <w:t>بهذا الاعتبار للأمر الترتبي أيضا، مضافا إلى عدم معقوليته في المقام من حيث نفسه من جهة رجوعه إلى طلب الشيء على تقدير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السقوط به كالسقوط بفعل الغير وغير الاختياري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كالسقوط بما يضاد المضيق ونحوه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موكول إلى محله</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4" w:name="__RefHeading___Toc2684379_2870459653"/>
      <w:bookmarkStart w:id="395" w:name="_Toc140"/>
      <w:bookmarkEnd w:id="394"/>
      <w:r>
        <w:rPr>
          <w:rtl w:val="true"/>
        </w:rPr>
        <w:t>الأمر الثاني</w:t>
      </w:r>
      <w:bookmarkEnd w:id="395"/>
    </w:p>
    <w:p>
      <w:pPr>
        <w:pStyle w:val="BookText"/>
        <w:rPr/>
      </w:pPr>
      <w:r>
        <w:rPr>
          <w:rFonts w:ascii="Amiri" w:hAnsi="Amiri" w:eastAsia="Amiri" w:cs="Amiri"/>
          <w:color w:val="111111"/>
          <w:sz w:val="28"/>
          <w:sz w:val="28"/>
          <w:szCs w:val="28"/>
          <w:rtl w:val="true"/>
          <w:lang w:bidi="ar-SA"/>
        </w:rPr>
        <w:t>إن الخصوصيات الصالحة لأن يتخصّص أو لا يتخصّص بها متعلقات الأحكام أو موضوعاتها لا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التخصّص بها وعدمه من انقساماتها اللاحقة لها بعناوينها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نفس ذواتها بلا مدخلية لاتصافها بأحكامها</w:t>
      </w: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 انقساماتها الثانوية اللاحقة لها بتوسط</w:t>
      </w:r>
    </w:p>
    <w:p>
      <w:pPr>
        <w:pStyle w:val="BookText"/>
        <w:rPr/>
      </w:pPr>
      <w:r>
        <w:rPr>
          <w:rFonts w:ascii="Amiri" w:hAnsi="Amiri" w:eastAsia="Amiri" w:cs="Amiri"/>
          <w:color w:val="111111"/>
          <w:sz w:val="28"/>
          <w:sz w:val="28"/>
          <w:szCs w:val="28"/>
          <w:rtl w:val="true"/>
          <w:lang w:bidi="ar-SA"/>
        </w:rPr>
        <w:t>أحكامها والمترتبة عليها ترتب المعلولات على</w:t>
      </w:r>
      <w:r>
        <w:rPr>
          <w:rStyle w:val="FootnoteAnchor"/>
          <w:rtl w:val="true"/>
        </w:rPr>
        <w:footnoteReference w:id="740"/>
      </w:r>
      <w:r>
        <w:rPr>
          <w:rFonts w:ascii="IRNazanin" w:hAnsi="IRNazanin" w:eastAsia="IRNazanin"/>
          <w:color w:val="111111"/>
          <w:sz w:val="28"/>
          <w:sz w:val="28"/>
          <w:szCs w:val="28"/>
          <w:rtl w:val="true"/>
          <w:lang w:bidi="fa-IR"/>
        </w:rPr>
        <w:t>أجزاء عللها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وغير خفي أن ما يرجع إلى القسم الأول فلا يخلو معروض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متعلقه كان أو موضوعه بالنسبة إلى كل خصوصية يمكن أن يتخصص أو لا يتخصص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من إطلاقه بالنسبة إلى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تقييده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إهماله</w:t>
      </w:r>
    </w:p>
    <w:p>
      <w:pPr>
        <w:pStyle w:val="BookText"/>
        <w:rPr/>
      </w:pPr>
      <w:r>
        <w:rPr>
          <w:rFonts w:ascii="Amiri" w:hAnsi="Amiri" w:eastAsia="Amiri" w:cs="Amiri"/>
          <w:color w:val="111111"/>
          <w:sz w:val="28"/>
          <w:sz w:val="28"/>
          <w:szCs w:val="28"/>
          <w:rtl w:val="true"/>
          <w:lang w:bidi="ar-SA"/>
        </w:rPr>
        <w:t>في نفس الأمر</w:t>
      </w:r>
      <w:r>
        <w:rPr>
          <w:rStyle w:val="FootnoteAnchor"/>
          <w:rtl w:val="true"/>
        </w:rPr>
        <w:footnoteReference w:id="741"/>
      </w:r>
      <w:r>
        <w:rPr>
          <w:rFonts w:ascii="Amiri" w:hAnsi="Amiri" w:eastAsia="Amiri" w:cs="Amiri"/>
          <w:color w:val="111111"/>
          <w:sz w:val="28"/>
          <w:sz w:val="28"/>
          <w:szCs w:val="28"/>
          <w:rtl w:val="true"/>
          <w:lang w:bidi="ar-SA"/>
        </w:rPr>
        <w:t>بالنسبة إلى شيء منهما مع علم الآمر والتفاته إلى ما له دخل منها في غرضه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يتساوى وجوده وعدمه فيه وما ينافيه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بخلاف ما كان من قبيل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بعد أن كان انقسام ما يعرضه </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المتخصص واللا متخصص بتلك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مترتباً على عروضه له منتفياً موضوعه في رتبة عروضه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فيستحيل أن يرد هو على المتخصص حذو ما يستحيل أن يتقدم كل معلول على ما هو من أجزاء 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امتناع أخذ الخصوصية المترتبة على الحكم كالعلم به وما يجري مجراه في موضوعه المتوقف عليه فعليتُه –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بعد أن كانت الخصوصية المذكورة متوقفاً تحققها الخارجي على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على تحقق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فاتحاد جهة التوقف من الجانبين في مرحلة فعلية الحكم واستلزام أخذها فيه للدور المصطلح في تلك المرحلة مما لا خفاء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إنشاؤه على موضوعه المتوقف عليه فعليتُه فهو وإن لم يكن متوقفا على وجوده كي يستحيل نفس الإنشاء أيضا لذلك لكنه مضافاً إلى كفاية استحالة المجعول في استحالة جعله فحيث قد تقرر في محله</w:t>
      </w:r>
      <w:r>
        <w:rPr>
          <w:rStyle w:val="FootnoteAnchor"/>
          <w:rtl w:val="true"/>
        </w:rPr>
        <w:footnoteReference w:id="742"/>
      </w:r>
      <w:r>
        <w:rPr>
          <w:rFonts w:ascii="Amiri" w:hAnsi="Amiri" w:eastAsia="Amiri" w:cs="Amiri"/>
          <w:color w:val="111111"/>
          <w:sz w:val="28"/>
          <w:sz w:val="28"/>
          <w:szCs w:val="28"/>
          <w:rtl w:val="true"/>
          <w:lang w:bidi="ar-SA"/>
        </w:rPr>
        <w:t>أن مناط كون المقدمة وجوبية مأخوذة على جهة الموضوعية للحكم هو أخذها عند إنشائه مفروض الوجود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وإيجاد الحكم عند وجودها مترتبا عليها فمرجع أخذ العلم بالحكم قيداً لمن يتوجه إليه وتوجيه ذلك الحكم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إلى أخذ كل من الحكم والعلم به عند إنشائه متحققاً قبل رتبة وجوده ويلزم المحذور ذهناً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حسبما سيجيء توضيحه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امتناع أخذها في متعلق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يؤخذ داعي الامتثال ونحوه فيه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للمناقشة فيه مجال لإمكان أن يقال إن تحقق الداعي في الخارج وإن كان متوقفاً على الحكم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حيث إن ما يتوقف الحكم عليه من ناحية متعلقه هو تصور الآمر له دون وجوده؛ لأنه هو الموجب للسقوط دون الثبوت كما في ناحية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يتوقف عليه تقييد المطلوب بها هو تصورها قبل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أنه بمكان من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فيختلف جهة التوقف </w:t>
      </w:r>
    </w:p>
    <w:p>
      <w:pPr>
        <w:pStyle w:val="BookText"/>
        <w:rPr/>
      </w:pPr>
      <w:r>
        <w:rPr>
          <w:rFonts w:ascii="Amiri" w:hAnsi="Amiri" w:eastAsia="Amiri" w:cs="Amiri"/>
          <w:color w:val="111111"/>
          <w:sz w:val="28"/>
          <w:sz w:val="28"/>
          <w:szCs w:val="28"/>
          <w:rtl w:val="true"/>
          <w:lang w:bidi="ar-SA"/>
        </w:rPr>
        <w:t>حينئذ كما في العلل الغائية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وترتفع غائلة الدور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وينحصر ما يصلح مانعاً عنه في عدم تمكن المكلف من قصد الامتثال مع قيديته شرطاً وشطراً؛ لخلو ذات الصلاة ونحوها حينئذ عن الأمر الاستقلالي الصالح للبعث عليها 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صلاحية تعلقه الضمني بكل من الوجهين لأن يكون داعياً إلى ذاتها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عدم تعلقه بها إلا منضمة بتلك الخصوصية لا مجردة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نفس انضمامها إليها على تعلقه بالذات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فينسد باب الامتثال حينئذ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ويمتنع التقييد بها بهذا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لاستحالته في حد ذاته كما في ناحية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غاية ما يمكن أن يتوجه به التفصيل في استحالة التقييد بالخصوصية المذكورة بين المقامين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غاية ما يجديه اختلاف جهة التوقف هو التخلص عن محذور الدور المصطلح المتوقف لزومه على التوقف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والمستلزم لتقدم كل منهما على نفسه بتقدمه على خاصته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لكنه لا يجدي في التخلص عن محذور التقدم المذكور بلا توسط الواسطة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الموجب لاستحالة هذا التقييد وإليه يستند عدم تمكن المكلف من الامتثال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مناص عنه في كلتا المرحلتين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يتمكن منه</w:t>
      </w:r>
      <w:r>
        <w:rPr>
          <w:rStyle w:val="FootnoteAnchor"/>
          <w:rtl w:val="true"/>
        </w:rPr>
        <w:footnoteReference w:id="745"/>
      </w:r>
      <w:r>
        <w:rPr>
          <w:rFonts w:ascii="Amiri" w:hAnsi="Amiri" w:eastAsia="Amiri" w:cs="Amiri"/>
          <w:color w:val="111111"/>
          <w:sz w:val="28"/>
          <w:sz w:val="28"/>
          <w:szCs w:val="28"/>
          <w:rtl w:val="true"/>
          <w:lang w:bidi="ar-SA"/>
        </w:rPr>
        <w:t>المكلف لمكان امتناعه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لقصور قدرته عنه مع إمكان الشيء في حد ذاته كالطيران في الهواء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توضيحه من تنقيح أمور</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خفاء في أن الضابط في جواز قيدية شيء لمتعلق حكم خاص واستحالته هو إمكان تعلقه به استقلالاً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التفكيك في جواز تعلقه به واستحالته بين الوجهين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بأنها عين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سابقة عليه في الرتبة كما حققنا في محله</w:t>
      </w:r>
      <w:r>
        <w:rPr>
          <w:rStyle w:val="FootnoteAnchor"/>
          <w:rtl w:val="true"/>
        </w:rPr>
        <w:footnoteReference w:id="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يمتاز التكوينية منها عن التشريعية بأنه لا بد للأولى من 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المريد والآخر هو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ويزداد في التشريعية طرف ثالث لا محالة وهو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يزداد الأطراف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الحال في ما إذا تعلقت الإرادة التكوينية أو التشريعية بعنوان مترتب على موضوع 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يعقل فعلية الإرادة إلا إذا تحقق ذلك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يتوقف وجودها الشأني إلا على تقدير وجوده كما في الطرف الثالث</w:t>
      </w:r>
      <w:r>
        <w:rPr>
          <w:rStyle w:val="FootnoteAnchor"/>
          <w:rtl w:val="true"/>
        </w:rPr>
        <w:footnoteReference w:id="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الطرفية والإضافة وإن اختلف سنخها وكانت بالنسبة إلى المراد هي الموجبة لوجوبه التكويني</w:t>
      </w:r>
    </w:p>
    <w:p>
      <w:pPr>
        <w:pStyle w:val="BookText"/>
        <w:rPr/>
      </w:pPr>
      <w:r>
        <w:rPr>
          <w:rFonts w:ascii="Amiri" w:hAnsi="Amiri" w:eastAsia="Amiri" w:cs="Amiri"/>
          <w:color w:val="111111"/>
          <w:sz w:val="28"/>
          <w:sz w:val="28"/>
          <w:szCs w:val="28"/>
          <w:rtl w:val="true"/>
          <w:lang w:bidi="ar-SA"/>
        </w:rPr>
        <w:t>أو التشريعي التابع لإطلاقه واشتراطه لكيفية تعلقها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وبالنسبة إلى غيره مترتبة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Style w:val="FootnoteAnchor"/>
          <w:rtl w:val="true"/>
        </w:rPr>
        <w:footnoteReference w:id="748"/>
      </w:r>
      <w:r>
        <w:rPr>
          <w:rFonts w:ascii="Amiri" w:hAnsi="Amiri" w:eastAsia="Amiri" w:cs="Amiri"/>
          <w:color w:val="111111"/>
          <w:sz w:val="28"/>
          <w:sz w:val="28"/>
          <w:szCs w:val="28"/>
          <w:rtl w:val="true"/>
          <w:lang w:bidi="ar-SA"/>
        </w:rPr>
        <w:t>أن تقومها بالإضافة إلى كل واحد من أطرافها في عرض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واستحالة تحققها بدونها من الواضحات الجاري انكارها مجرى مكابرة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الإرادة كما أنه في التكوينية هو نفس الفعل الخارجي الذي تنبعث إرادة الفاعل نحو إيجاده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تجري الصورة الذهنية بمرآتيتها له مجرى الآلة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الحال في التشريعية أيضا حذو النعل بالنعل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الصور والعناوين المتصورة للآمر متعلقات أمره بما أنها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تكون كلياً عقلياً ويخرج عن صلاحية الانطباق على الخارجيات بالكلية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يتعلق البعث التشريعي أيضا كالتكويني بنفس ما يصدر أو لا يصدر عن المكلف بطاعته أو عصيانه بمرآتيتها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هي ملحوظة في مرحلة</w:t>
      </w:r>
      <w:r>
        <w:rPr>
          <w:rStyle w:val="FootnoteAnchor"/>
          <w:rtl w:val="true"/>
        </w:rPr>
        <w:footnoteReference w:id="749"/>
      </w:r>
      <w:r>
        <w:rPr>
          <w:rFonts w:ascii="IRNazanin" w:hAnsi="IRNazanin" w:eastAsia="IRNazanin"/>
          <w:color w:val="111111"/>
          <w:sz w:val="28"/>
          <w:sz w:val="28"/>
          <w:szCs w:val="28"/>
          <w:rtl w:val="true"/>
          <w:lang w:bidi="fa-IR"/>
        </w:rPr>
        <w:t xml:space="preserve">تعلق </w:t>
      </w:r>
    </w:p>
    <w:p>
      <w:pPr>
        <w:pStyle w:val="BookText"/>
        <w:rPr/>
      </w:pPr>
      <w:r>
        <w:rPr>
          <w:rFonts w:ascii="Amiri" w:hAnsi="Amiri" w:eastAsia="Amiri" w:cs="Amiri"/>
          <w:color w:val="111111"/>
          <w:sz w:val="28"/>
          <w:sz w:val="28"/>
          <w:szCs w:val="28"/>
          <w:rtl w:val="true"/>
          <w:lang w:bidi="ar-SA"/>
        </w:rPr>
        <w:t>التكليف بها بما أنها متحدة لما ينطبق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بلحاظ المغايرة التي يصح الحمل باعتبارها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يلزم من المحاذير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تصور العناوين المترتبة في التحقق الخارجي على شيء آخر قبل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بمكان من الإمكان من دون فرق بين أن يكون المترتب عليه حكماً شرعيا كمفروض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موضوعاً </w:t>
      </w:r>
      <w:r>
        <w:rPr>
          <w:rFonts w:eastAsia="Amiri" w:cs="Amiri" w:ascii="Amiri" w:hAnsi="Amiri"/>
          <w:color w:val="111111"/>
          <w:sz w:val="28"/>
          <w:szCs w:val="28"/>
          <w:rtl w:val="true"/>
          <w:lang w:bidi="ar-SA"/>
        </w:rPr>
        <w:softHyphen/>
        <w:softHyphen/>
        <w:softHyphen/>
        <w:softHyphen/>
        <w:softHyphen/>
        <w:softHyphen/>
        <w:softHyphen/>
        <w:softHyphen/>
        <w:softHyphen/>
        <w:softHyphen/>
        <w:softHyphen/>
        <w:softHyphen/>
        <w:softHyphen/>
        <w:softHyphen/>
        <w:softHyphen/>
        <w:softHyphen/>
      </w:r>
      <w:r>
        <w:rPr>
          <w:rFonts w:ascii="Amiri" w:hAnsi="Amiri" w:eastAsia="Amiri" w:cs="Amiri"/>
          <w:color w:val="111111"/>
          <w:sz w:val="28"/>
          <w:sz w:val="28"/>
          <w:szCs w:val="28"/>
          <w:rtl w:val="true"/>
          <w:lang w:bidi="ar-SA"/>
        </w:rPr>
        <w:t>خارجياً كقضاء الفائتة والوفاء بالعقد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بين أن يكون ترتبه عليه عقلياً كأمثال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شرعياً كترتب حجة الإسلام على استطاعته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تصورها وترتيب حكم عليها كغيرها من العناوين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على جهة موضوعية وبلحاظ أنها هي تلك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هي حينئذ كلياً عقلياً لا ينطبق على الخارجيات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المتضمنة لحكمٍ عليها هي الطبيعية التي لا اعتداد لها في العلوم؛ لعدم تركيب الأقيسة منها وعدم صلاحيتها للوسطية والاستنتاج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بلحاظ المرآتية لما ينطبق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هي حينئذ كلياً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والقضية المتضمنة لحكم عليها هي الحقيقية التي تدور رحى القضايا المعتبرة في العلوم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أوضحوه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خفي أنه كما لا محيص في متعلقات الأحكام وموضوعاتها عن كونها مأخوذة على الوجه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بمعزل عن الانطباق على ما في الخارج كما أوضحناه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لا مناص في أخذ العناوين المترتبة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 على هذا الوجه متعلقاً للحكم</w:t>
      </w:r>
      <w:r>
        <w:rPr>
          <w:rStyle w:val="FootnoteAnchor"/>
          <w:rtl w:val="true"/>
        </w:rPr>
        <w:footnoteReference w:id="7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أخذ ما هي مترتبة عليه مفروض الوجود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وترتيب الحكم على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لم يكن العنوان مرآةً لما ينطبق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ولزم الخلف كما لا يخفى</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أنه لا يعقل أن يؤخذ قضاء الفائتة مثلاً على جهة المرآتية ويطالب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بأن يأخذ فوات الفريضة متحققاً مفروض الوجود في الخارج ويطالب </w:t>
      </w:r>
    </w:p>
    <w:p>
      <w:pPr>
        <w:pStyle w:val="BookText"/>
        <w:rPr/>
      </w:pPr>
      <w:r>
        <w:rPr>
          <w:rFonts w:ascii="Amiri" w:hAnsi="Amiri" w:eastAsia="Amiri" w:cs="Amiri"/>
          <w:color w:val="111111"/>
          <w:sz w:val="28"/>
          <w:sz w:val="28"/>
          <w:szCs w:val="28"/>
          <w:rtl w:val="true"/>
          <w:lang w:bidi="ar-SA"/>
        </w:rPr>
        <w:t>بقضائها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الخمر متحققاً في الخارج ويمنع عن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غيرهما من موضوعات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الحال بالنسبة إلى عنوان الامتثال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يعقل أن يطالب به إلا بأن يؤخذ ما يراد امتثاله صادراً ويطالب بامتثاله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يرجع ما قدمناه من زيادة طرف الإرادة على أركانها المتقدمة عند تعلقها بعنوان مترتب على موضوع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يبتني اشتراط التكاليف المتعلقة بالعناوين المترتبة المذكورة بوجود موضوعاتها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الشك فيها إلى الشك في ما يترتب عليها من التكليف حسبما أوضحناه في محله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قد عرفت ذلك اتضح لك أن غاية ما يجديه إمكان تصور العناوين المترتبة على الخطابات قبل صدورها هو إمكان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موضوعاً لقضية طبيعية أجنبية عن التعلق بأفعال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حقيقية متضمنة لحكم آخر عليها غير ما هي 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أخذها متعلّقا لشخص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قد عرفت أنه لا مناص عند ترتب متعلق الخطاب على شيء آخر حكماً شرعياً أو موضوعاً 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ترتب ذلك الخطاب أيضا على ذلك الشيء وموضوعيته له فمرجع تعلق الخطاب بامتثال نفسه إلى موضوعيته لشخص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في مرحلة إنشائه كسائر موضوعات الأحكام مفروض الصدور قبل صدوره متقدماً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مرحلة الفعلية والتحقق أيضا متوقفاً على 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المحذور ذهناً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فليس الأمر الذي يطالب بامتثاله إلا كالفائتة التي يراد 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الخمر الذي يمنع عن شربه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الذي يلزم بالوفاء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الموضوعات التي يتعلّق حكم وضعي أو تكليفي بالعناوين المترتبة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w:t>
      </w:r>
    </w:p>
    <w:p>
      <w:pPr>
        <w:pStyle w:val="BookText"/>
        <w:rPr/>
      </w:pPr>
      <w:r>
        <w:rPr>
          <w:rFonts w:ascii="Amiri" w:hAnsi="Amiri" w:eastAsia="Amiri" w:cs="Amiri"/>
          <w:color w:val="111111"/>
          <w:sz w:val="28"/>
          <w:sz w:val="28"/>
          <w:szCs w:val="28"/>
          <w:rtl w:val="true"/>
          <w:lang w:bidi="ar-SA"/>
        </w:rPr>
        <w:t xml:space="preserve">أنه لا يعقل أن يتعلق ذلك الحكم إلا بنفس تلك العناوين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هي مترتبة في الخارج على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الصور الذهنية والمفاهيم التصورية التي لا يتوقف وجودها التصوري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هي في مرحلة إنشاء الحكم إلا مرآة لها وآلة لتعلق الحكم بها، ولا الحكم المنشأ بذلك الإنشاء إلا عبارة عن نفس ما يتعلق بذلك العنوان يتوجه إلى المكلف عند تحقق ذلك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قبله فسبيله سبيل الخطاب المتعلق بفعل مكلف خاص قبل وجوده ونحو ذلك مما يكون الحكم مشروطاً شرعاً أو عقلاً بوجوده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يعقل له تحقق سابق عليه وإن كان انشاؤه سابقا كما في الوصية والتدبير أيضاً حسبما حقق في بحث الواجب المشروط</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الحال بالنسبة إلى الخطاب المتعلق بامتثال خطاب أيضا حذو النعل بالنعل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تبيَّن أن نسبة الأمر الذي يطالب بامتثاله إلى إيجاب امتثاله هي بعينها نسبة سائر موضوعات الأحكام إلى أحكامها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تعلَّق هو بامتثال نفسه لزم موضوعيته لشخص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ولمكان أن قضية هذه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عقلية كانت كأمثال المقام أم شرعية كما في الاستطاعة بالنسبة إلى وجوب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أخذ الموضوع عند إنشاء الحكم متحققاً مفروض الوجود في الخارج وايجاب وضع أو تكليف على ما يترتب عليه عند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أخذه مفروض الصدور عند إنشائه يلزم تقدمه على نفسه ذهناً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مرحلة الإنشاء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ترتبه في الفعلية على شخص نفسه فيلزم المحذور خارجاً في مرحلة التحقق والفعلية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قضية اشتراط كل حكم بوجود موضوعه عقلاً وإن كانت الموضوعية شرعية كما في مثال الحج ونحوه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ويعود هذا المحذور ثالثاً في مرحلة الامتثال أيضاً لمكان توقف داعي الامتثال أيضا على تحققه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حقه</w:t>
      </w:r>
      <w:r>
        <w:rPr>
          <w:rFonts w:eastAsia="Amiri" w:cs="Amiri" w:ascii="Amiri" w:hAnsi="Amiri"/>
          <w:color w:val="111111"/>
          <w:sz w:val="28"/>
          <w:szCs w:val="28"/>
          <w:rtl w:val="true"/>
          <w:lang w:bidi="ar-SA"/>
        </w:rPr>
        <w:t xml:space="preserve">. </w:t>
      </w:r>
      <w:bookmarkStart w:id="396" w:name="pg9087_85391"/>
    </w:p>
    <w:p>
      <w:pPr>
        <w:pStyle w:val="Heading4"/>
        <w:numPr>
          <w:ilvl w:val="3"/>
          <w:numId w:val="1"/>
        </w:numPr>
        <w:rPr/>
      </w:pPr>
      <w:bookmarkStart w:id="397" w:name="__RefHeading___Toc2684381_2870459653"/>
      <w:bookmarkStart w:id="398" w:name="_Toc141"/>
      <w:bookmarkEnd w:id="396"/>
      <w:bookmarkEnd w:id="397"/>
      <w:r>
        <w:rPr>
          <w:rtl w:val="true"/>
        </w:rPr>
        <w:t>الأمر الثالث</w:t>
      </w:r>
      <w:bookmarkEnd w:id="398"/>
    </w:p>
    <w:p>
      <w:pPr>
        <w:pStyle w:val="BookText"/>
        <w:rPr/>
      </w:pPr>
      <w:r>
        <w:rPr>
          <w:rFonts w:ascii="Amiri" w:hAnsi="Amiri" w:eastAsia="Amiri" w:cs="Amiri"/>
          <w:color w:val="111111"/>
          <w:sz w:val="28"/>
          <w:sz w:val="28"/>
          <w:szCs w:val="28"/>
          <w:rtl w:val="true"/>
          <w:lang w:bidi="ar-SA"/>
        </w:rPr>
        <w:t>إنه كما لا يمكن أن تؤخذ الخصوصية المترتبة على الأمر كداعي الامتثال قيداً لمتعلقه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يمكن تقييده بغيره من الدواعي أيضا بأسرها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كان المحذور المتقدم تنقيحه مخصوصاً لزومه بقيدية خصوص قصد الامتثال ولا يطّرد في غيره إلا أن في البين محاذير أخرى 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قصد الجهة الباعثة على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تفصيلاً كما إذا فرض العلم بها أو إجمالا كأن يكون الداعي على الإتيان بالمطلوب هو حسنه أو المصلحة الباعثة على الأمر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وإن أمكن الالتزام بقيديته</w:t>
      </w:r>
      <w:r>
        <w:rPr>
          <w:rStyle w:val="FootnoteAnchor"/>
          <w:rtl w:val="true"/>
        </w:rPr>
        <w:footnoteReference w:id="753"/>
      </w:r>
      <w:r>
        <w:rPr>
          <w:rFonts w:ascii="Amiri" w:hAnsi="Amiri" w:eastAsia="Amiri" w:cs="Amiri"/>
          <w:color w:val="111111"/>
          <w:sz w:val="28"/>
          <w:sz w:val="28"/>
          <w:szCs w:val="28"/>
          <w:rtl w:val="true"/>
          <w:lang w:bidi="ar-SA"/>
        </w:rPr>
        <w:t>ورجوع قصد الامتثال ونحوه أيضا إلى قصدها بالإجمال فلا يكون القطع بكفايته حينئذ منافياً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 تقدم من المحذور لازماً إذا لم يكن هو بنفسه قيداً وكان من محصلاته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w:t>
      </w:r>
    </w:p>
    <w:p>
      <w:pPr>
        <w:pStyle w:val="BookText"/>
        <w:rPr/>
      </w:pPr>
      <w:r>
        <w:rPr>
          <w:rFonts w:ascii="Amiri" w:hAnsi="Amiri" w:eastAsia="Amiri" w:cs="Amiri"/>
          <w:color w:val="111111"/>
          <w:sz w:val="28"/>
          <w:sz w:val="28"/>
          <w:szCs w:val="28"/>
          <w:rtl w:val="true"/>
          <w:lang w:bidi="ar-SA"/>
        </w:rPr>
        <w:t>مضافا إلى خلو أدلة الباب عما يشعر بإناطة العبادية بخصوص قيد الجهة فحيث لا خفاء في توقفه على أن يكون ما يراد فعله مشتملاً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أن قضية القيدية هي توقف اشتماله عليها على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فاستلزام قيديته لتوقف كل من الأمرين على الآخر في مرحلة التحقق الخارجي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وامتناعها بهذا الاعتبار حذو ما تقدم في قصد الامتثال أيضاً بمكان من الوضوح والبداهة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لوجهه الأعلى ونحو ذلك من العناوين الحاصلة بقصد الطاعة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الجهة أو غيرهما – فهو</w:t>
      </w:r>
    </w:p>
    <w:p>
      <w:pPr>
        <w:pStyle w:val="BookText"/>
        <w:rPr/>
      </w:pPr>
      <w:r>
        <w:rPr>
          <w:rFonts w:ascii="Amiri" w:hAnsi="Amiri" w:eastAsia="Amiri" w:cs="Amiri"/>
          <w:color w:val="111111"/>
          <w:sz w:val="28"/>
          <w:sz w:val="28"/>
          <w:szCs w:val="28"/>
          <w:rtl w:val="true"/>
          <w:lang w:bidi="ar-SA"/>
        </w:rPr>
        <w:t xml:space="preserve">وإن كانت ظواهر الأدلة مطبقة على كفايته والمحاذير المتقدمة أيضا مرتفعة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فالبناء على قيديته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ورجوع الاجتزاء بسائر الدواعي إلى كونها جميعاً من محصلاته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لكونها بأنفسها قيوداً في عرضه كي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الخروج عن ظواهر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المحاذير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الأمر بالآخرة إلى قيدية الجامع المذكور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بعد القطع بكفاية كل منها في عرض الآخر فلا سبيل إلى البناء على </w:t>
      </w:r>
      <w:bookmarkStart w:id="399" w:name="pg9087_85392"/>
    </w:p>
    <w:p>
      <w:pPr>
        <w:pStyle w:val="BookText"/>
        <w:rPr/>
      </w:pPr>
      <w:bookmarkEnd w:id="399"/>
      <w:r>
        <w:rPr>
          <w:rFonts w:ascii="Amiri" w:hAnsi="Amiri" w:eastAsia="Amiri" w:cs="Amiri"/>
          <w:color w:val="111111"/>
          <w:sz w:val="28"/>
          <w:sz w:val="28"/>
          <w:szCs w:val="28"/>
          <w:rtl w:val="true"/>
          <w:lang w:bidi="ar-SA"/>
        </w:rPr>
        <w:t>قيدية شيء منهما</w:t>
      </w:r>
      <w:r>
        <w:rPr>
          <w:rStyle w:val="FootnoteAnchor"/>
          <w:rtl w:val="true"/>
        </w:rPr>
        <w:footnoteReference w:id="754"/>
      </w:r>
      <w:r>
        <w:rPr>
          <w:rFonts w:ascii="Amiri" w:hAnsi="Amiri" w:eastAsia="Amiri" w:cs="Amiri"/>
          <w:color w:val="111111"/>
          <w:sz w:val="28"/>
          <w:sz w:val="28"/>
          <w:szCs w:val="28"/>
          <w:rtl w:val="true"/>
          <w:lang w:bidi="ar-SA"/>
        </w:rPr>
        <w:t xml:space="preserve">تعييناً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كفاية الآخر في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هذا الجامع العرفي المطبق أدلة الباب على كفايته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والراجع ما عداه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مع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متعلق الإرادة والداعي الباعث لها طوليان ليس أحدهما في رتبة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صالحاً لأن يتركب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من كيفياته وحالاته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وقوعهما تحت إرادة واحدة فاعلية بشيء من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يتعلق بهما إرادة واحدة آمرية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ويتكفلهما بعث واحد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متعلق الإرادة الآمرية إلا عين ما تتعلق به الإرادة الفاعلية بتوسيطها دون نفسها كي يمكن تقييدها بالمنبعثة عن داعٍ كذائي وإلا لزم أن تكون بإرادة أخرى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فكما لا يعقل أن يتعلق إرادة الفاعل بما</w:t>
      </w:r>
      <w:r>
        <w:rPr>
          <w:rStyle w:val="FootnoteAnchor"/>
          <w:rtl w:val="true"/>
        </w:rPr>
        <w:footnoteReference w:id="755"/>
      </w:r>
      <w:r>
        <w:rPr>
          <w:rFonts w:ascii="Amiri" w:hAnsi="Amiri" w:eastAsia="Amiri" w:cs="Amiri"/>
          <w:color w:val="111111"/>
          <w:sz w:val="28"/>
          <w:sz w:val="28"/>
          <w:szCs w:val="28"/>
          <w:rtl w:val="true"/>
          <w:lang w:bidi="ar-SA"/>
        </w:rPr>
        <w:t>تنبعث عنه تلك الإرادة بأي أنحاء التعلق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ما يجري منها مجرى العلة معلولا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فكذا لا يعقل أن يتوجه بعث الآمر أيضا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محيص عن الالتزام بخروج الداعي المتوقف عليه عبادية العمل عن متعلق التكليف وامتناع أخذه فيه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المحاذير المخصوص بعضها بتقيدية قصد الامتثال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والمطرد بعضها الآخر لقيدية قصد الجهة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والمشترك أخيرها بين جميع الدواعي كما عرفت</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2684383_2870459653"/>
      <w:bookmarkStart w:id="401" w:name="_Toc142"/>
      <w:bookmarkEnd w:id="400"/>
      <w:r>
        <w:rPr>
          <w:rtl w:val="true"/>
        </w:rPr>
        <w:t>الأمر الرابع</w:t>
      </w:r>
      <w:bookmarkEnd w:id="40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بعد أن تبيّن امتناع التقييد بالداعي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أن التقابل بين التقييد والإطلاق ليس من تقابل السلب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مجرد 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لامتناعه باعتبار انتفاء موضوعه الذي هو الانقسام إلى النوعين في رتبة عروض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أخرى عن الإطلاق و اللابشرطية</w:t>
      </w:r>
      <w:r>
        <w:rPr>
          <w:rFonts w:eastAsia="Amiri" w:cs="Amiri" w:ascii="Amiri" w:hAnsi="Amiri"/>
          <w:color w:val="111111"/>
          <w:sz w:val="28"/>
          <w:szCs w:val="28"/>
          <w:rtl w:val="true"/>
          <w:lang w:bidi="ar-SA"/>
        </w:rPr>
        <w:t xml:space="preserve">. </w:t>
      </w:r>
      <w:bookmarkStart w:id="402" w:name="pg9087_85393"/>
    </w:p>
    <w:p>
      <w:pPr>
        <w:pStyle w:val="BookText"/>
        <w:rPr/>
      </w:pPr>
      <w:bookmarkEnd w:id="402"/>
      <w:r>
        <w:rPr>
          <w:rFonts w:ascii="Amiri" w:hAnsi="Amiri" w:eastAsia="Amiri" w:cs="Amiri"/>
          <w:color w:val="111111"/>
          <w:sz w:val="28"/>
          <w:sz w:val="28"/>
          <w:szCs w:val="28"/>
          <w:rtl w:val="true"/>
          <w:lang w:bidi="ar-SA"/>
        </w:rPr>
        <w:t xml:space="preserve">كيف وبعد أن كان مرجع امتناع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المحاذير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عدم انقسام ما يعرضه الحكم في مرتبة عروضه له إلى</w:t>
      </w:r>
      <w:r>
        <w:rPr>
          <w:rStyle w:val="FootnoteAnchor"/>
          <w:rtl w:val="true"/>
        </w:rPr>
        <w:footnoteReference w:id="756"/>
      </w:r>
      <w:r>
        <w:rPr>
          <w:rFonts w:ascii="Amiri" w:hAnsi="Amiri" w:eastAsia="Amiri" w:cs="Amiri"/>
          <w:color w:val="111111"/>
          <w:sz w:val="28"/>
          <w:sz w:val="28"/>
          <w:szCs w:val="28"/>
          <w:rtl w:val="true"/>
          <w:lang w:bidi="ar-SA"/>
        </w:rPr>
        <w:t>واجد الخصوصية وفاقدها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يكون ما لا ينقسم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رتبة عدم انقسامه التي هي رتبة عروض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القدر المشترك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الخلف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يرجع التقابل بينهما إما إلى باب العدم والملكة بناء على ما هو التحقيق من دخل عدم التقييد في موضوع الإطلاق واللابشرطية النفس الأمرية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تقابل الضدين بناء على عدم دخله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مبنى الخلاف في الحاجة إلى مقدمات الحكمة أو الغناء عنها في إحرازها على ما حرر في محله</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كل منهما فلا خفاء في أنه إذا امتنع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لانتفاء موضوعه الذي هو الانقسام إلى النوعين كما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امتنع الاطلاق أيضاً بعين امتناعه وكان معروض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متعلقه كان أو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ما يمكن أخذه فيه مما يحتمل دخله وعدم دخله في الغرض مهملاً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سبيل حينئذ إلى دعوى أصالة التوصلية مثلاً أو أصالة الاشتراك في التكاليف بامتناع أخذ الدواعي القربية</w:t>
      </w:r>
      <w:r>
        <w:rPr>
          <w:rStyle w:val="FootnoteAnchor"/>
          <w:rtl w:val="true"/>
        </w:rPr>
        <w:footnoteReference w:id="758"/>
      </w:r>
      <w:r>
        <w:rPr>
          <w:rFonts w:ascii="Amiri" w:hAnsi="Amiri" w:eastAsia="Amiri" w:cs="Amiri"/>
          <w:color w:val="111111"/>
          <w:sz w:val="28"/>
          <w:sz w:val="28"/>
          <w:szCs w:val="28"/>
          <w:rtl w:val="true"/>
          <w:lang w:bidi="ar-SA"/>
        </w:rPr>
        <w:t>في متعلق الحكم أو ما يقوم مقامه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في تشخيص المدخلية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وإحراز نتيجة النتيجة</w:t>
      </w:r>
      <w:r>
        <w:rPr>
          <w:rStyle w:val="FootnoteAnchor"/>
          <w:rtl w:val="true"/>
        </w:rPr>
        <w:footnoteReference w:id="759"/>
      </w:r>
      <w:r>
        <w:rPr>
          <w:rFonts w:ascii="Amiri" w:hAnsi="Amiri" w:eastAsia="Amiri" w:cs="Amiri"/>
          <w:color w:val="111111"/>
          <w:sz w:val="28"/>
          <w:sz w:val="28"/>
          <w:szCs w:val="28"/>
          <w:rtl w:val="true"/>
          <w:lang w:bidi="ar-SA"/>
        </w:rPr>
        <w:t xml:space="preserve">التقييد أو الإطلاق من الرجوع إلى المرجع الآتي تحقيقه إن شاء الله </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2684385_2870459653"/>
      <w:bookmarkStart w:id="404" w:name="_Toc143"/>
      <w:bookmarkEnd w:id="403"/>
      <w:r>
        <w:rPr>
          <w:rtl w:val="true"/>
        </w:rPr>
        <w:t>الأمر الخامس</w:t>
      </w:r>
      <w:bookmarkEnd w:id="40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بعد أن كان امتناع التقييد هو بعينه عبارة عن امتناع الإطلاق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مجال لأن يجعل امتناع أحدهما موجباً لتعيين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ويؤخذ بنتيجة </w:t>
      </w:r>
    </w:p>
    <w:p>
      <w:pPr>
        <w:pStyle w:val="BookText"/>
        <w:rPr/>
      </w:pPr>
      <w:r>
        <w:rPr>
          <w:rFonts w:ascii="Amiri" w:hAnsi="Amiri" w:eastAsia="Amiri" w:cs="Amiri"/>
          <w:color w:val="111111"/>
          <w:sz w:val="28"/>
          <w:sz w:val="28"/>
          <w:szCs w:val="28"/>
          <w:rtl w:val="true"/>
          <w:lang w:bidi="ar-SA"/>
        </w:rPr>
        <w:t xml:space="preserve">الإطلاق مع عدم إحرازها ويبنى على أصالة التوصلية مثلاً أو أصالة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لا سبيل أيضاً إلى دعوى الغناء عن إحرازها والبناء على كفاية عدم التقيدية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لامتناعها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الاجتزاء بمتعلق الأمر وترتيب الإجزاء العقلي على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وكما أن سقوط الطلب بحصول متعلقه وامتناع بقائه بعده من الضروريات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الوجدانيات الأولية الغنية عن إقامة البرهان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حرّر في محله</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إناطة موضوعه الذي يدور الحكم العقلي المذكور مداره بالإتيان به بما له دخل في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بحيث يمكن لحاظ القيدية فيه في عرض ما عداه أو كان طولياً يمتنع فيه ذلك كنفس ذلك الحكم في الضرورة والبداهة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الإهمال الناشئ عن امتناع التقييد إلا كالإهمال الناشئ عن انتفاء المقتضي لإسقاط</w:t>
      </w:r>
      <w:r>
        <w:rPr>
          <w:rStyle w:val="FootnoteAnchor"/>
          <w:rtl w:val="true"/>
        </w:rPr>
        <w:footnoteReference w:id="761"/>
      </w:r>
      <w:r>
        <w:rPr>
          <w:rFonts w:ascii="Amiri" w:hAnsi="Amiri" w:eastAsia="Amiri" w:cs="Amiri"/>
          <w:color w:val="111111"/>
          <w:sz w:val="28"/>
          <w:sz w:val="28"/>
          <w:szCs w:val="28"/>
          <w:rtl w:val="true"/>
          <w:lang w:bidi="ar-SA"/>
        </w:rPr>
        <w:t>القيود كما في الخطابات الواردة في أصل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لا سبيل إلى دعوى ترتب الإجزاء العقلي على محض الانطباق على متعلقات تلك الخطابات لإهمالها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الحال إذا كان الإهمال من جهة المانع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مفروض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فالإجزاء من اللوازم المترتبة على تحقق الطبيعة المأمور بها بعد كونها في قوة الكلية بإطلاقها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أن يترتب على المهملة التي في قوة الجزئية إلا ما هو من لوازم تلك الجزئية التي هي القدر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هو من لوازم كليتها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قد تمهد هذه المقدمات فينبغي أن نحرر مباحث التعبدية والتوصلية في طي مسائل</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المسألة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ولا خلاف في أن التعبدية من الخصوصيات القصدية المتوقفة على القصد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هل هي كالظهرية والعصرية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وكذلك القضاء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Style w:val="FootnoteAnchor"/>
          <w:rtl w:val="true"/>
        </w:rPr>
        <w:footnoteReference w:id="762"/>
      </w:r>
      <w:r>
        <w:rPr>
          <w:rFonts w:ascii="Amiri" w:hAnsi="Amiri" w:eastAsia="Amiri" w:cs="Amiri"/>
          <w:color w:val="111111"/>
          <w:sz w:val="28"/>
          <w:sz w:val="28"/>
          <w:szCs w:val="28"/>
          <w:rtl w:val="true"/>
          <w:lang w:bidi="ar-SA"/>
        </w:rPr>
        <w:t>الكفارة ونحو ذلك؟ مأخوذة عنواناً للعمل والدواعي القربية</w:t>
      </w:r>
      <w:r>
        <w:rPr>
          <w:rStyle w:val="FootnoteAnchor"/>
          <w:rtl w:val="true"/>
        </w:rPr>
        <w:footnoteReference w:id="763"/>
      </w:r>
      <w:r>
        <w:rPr>
          <w:rFonts w:ascii="Amiri" w:hAnsi="Amiri" w:eastAsia="Amiri" w:cs="Amiri"/>
          <w:color w:val="111111"/>
          <w:sz w:val="28"/>
          <w:sz w:val="28"/>
          <w:szCs w:val="28"/>
          <w:rtl w:val="true"/>
          <w:lang w:bidi="ar-SA"/>
        </w:rPr>
        <w:t>إنما اعتبرت لكونها محصلة لذلك العنوان بلا دخل لها من حيث أنفسها</w:t>
      </w:r>
    </w:p>
    <w:p>
      <w:pPr>
        <w:pStyle w:val="BookText"/>
        <w:rPr/>
      </w:pPr>
      <w:r>
        <w:rPr>
          <w:rFonts w:ascii="Amiri" w:hAnsi="Amiri" w:eastAsia="Amiri" w:cs="Amiri"/>
          <w:color w:val="111111"/>
          <w:sz w:val="28"/>
          <w:sz w:val="28"/>
          <w:szCs w:val="28"/>
          <w:rtl w:val="true"/>
          <w:lang w:bidi="ar-SA"/>
        </w:rPr>
        <w:t>وإذ قد عرفت ذلك فالكلام في مباحث التعبدية والتوصلية يقع في طي مسائل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إنه بعد الاتفاق على اعتبار نية التقرب في العباديات وكونها في الجملة من الضروريات اختلفت كلماتهم فيما يوجب تحققها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كل من عدّ داعي الامتثال في عداد غيره من الدواعي والغايات القربية</w:t>
      </w:r>
      <w:r>
        <w:rPr>
          <w:rStyle w:val="FootnoteAnchor"/>
          <w:rtl w:val="true"/>
        </w:rPr>
        <w:footnoteReference w:id="764"/>
      </w:r>
      <w:r>
        <w:rPr>
          <w:rFonts w:ascii="Amiri" w:hAnsi="Amiri" w:eastAsia="Amiri" w:cs="Amiri"/>
          <w:color w:val="111111"/>
          <w:sz w:val="28"/>
          <w:sz w:val="28"/>
          <w:szCs w:val="28"/>
          <w:rtl w:val="true"/>
          <w:lang w:bidi="ar-SA"/>
        </w:rPr>
        <w:t>هو صلاحية الجميع في عرض واحد للبعث على نفس العمل بلا توسط في البين ولا ترتب لبعضها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الجواهر جعل بقية الغايات في طول داعي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البطلان عند عدم توسيطه حتى إذا كان الداعي إلى العمل هو أهلية المعبود عزّ اسمه للعبادة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سائر ما ذكروه من الغايات</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 يرجع ما يحكى عن إفادات شيخنا استاد الأساتيد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في مجلس الدرس من أن نية القربى في العبادة عبارة عن الإتيان بالمأمور به على وجه يكون الداعي إليه هو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في شرح طهارة الإرشاد بنى على كفاية أحد الأمرين من قصد الطاعة أو الجهة إذا كانت تتعلق بأمور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صرّح بأن الأخير هو المقرب والأول ملتزم له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وظاهر أن مرجع هذا الخلاف إنما هو إلى الخلاف فيما يوجب تحقق الخصوصية التي قام الدليل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وتدور عبادية العمل</w:t>
      </w:r>
      <w:r>
        <w:rPr>
          <w:rStyle w:val="FootnoteAnchor"/>
          <w:rtl w:val="true"/>
        </w:rPr>
        <w:footnoteReference w:id="768"/>
      </w:r>
      <w:r>
        <w:rPr>
          <w:rFonts w:ascii="Amiri" w:hAnsi="Amiri" w:eastAsia="Amiri" w:cs="Amiri"/>
          <w:color w:val="111111"/>
          <w:sz w:val="28"/>
          <w:sz w:val="28"/>
          <w:szCs w:val="28"/>
          <w:rtl w:val="true"/>
          <w:lang w:bidi="ar-SA"/>
        </w:rPr>
        <w:t>مدارها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الخلاف في نفس تلك الخصوصية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وبعد أن لا عين ولا أثر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ذلك في</w:t>
      </w:r>
      <w:r>
        <w:rPr>
          <w:rStyle w:val="FootnoteAnchor"/>
          <w:rtl w:val="true"/>
        </w:rPr>
        <w:footnoteReference w:id="770"/>
      </w:r>
      <w:r>
        <w:rPr>
          <w:rFonts w:ascii="Amiri" w:hAnsi="Amiri" w:eastAsia="Amiri" w:cs="Amiri"/>
          <w:color w:val="111111"/>
          <w:sz w:val="28"/>
          <w:sz w:val="28"/>
          <w:szCs w:val="28"/>
          <w:rtl w:val="true"/>
          <w:lang w:bidi="ar-SA"/>
        </w:rPr>
        <w:t>عناوين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هي مطبقة على دوران العبادية والخروج عن العهدة مدار كون العمل له تعالى أو لوجهه الأعلى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يليق بالبحث عنه والخلاف فيه هو أنه بماذا يتحقق هذه الإضافة المساوقة للعبادية؟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خفي أن العمل الخارجي الصادر عن المكلف إنما يكون له تعالى إذا انتهت الإرادة الباعثة على فعله</w:t>
      </w:r>
      <w:r>
        <w:rPr>
          <w:rStyle w:val="FootnoteAnchor"/>
          <w:rtl w:val="true"/>
        </w:rPr>
        <w:footnoteReference w:id="771"/>
      </w:r>
      <w:r>
        <w:rPr>
          <w:rFonts w:ascii="Amiri" w:hAnsi="Amiri" w:eastAsia="Amiri" w:cs="Amiri"/>
          <w:color w:val="111111"/>
          <w:sz w:val="28"/>
          <w:sz w:val="28"/>
          <w:szCs w:val="28"/>
          <w:rtl w:val="true"/>
          <w:lang w:bidi="ar-SA"/>
        </w:rPr>
        <w:t>عزّ اسمه</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والشيخ في أحد قوليه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7/296</w:t>
      </w:r>
      <w:r>
        <w:rPr>
          <w:rFonts w:ascii="IRNazanin" w:hAnsi="IRNazanin" w:eastAsia="IRNazanin"/>
          <w:b w:val="false"/>
          <w:b w:val="false"/>
          <w:bCs w:val="false"/>
          <w:i w:val="false"/>
          <w:i w:val="false"/>
          <w:iCs w:val="false"/>
          <w:color w:val="333333"/>
          <w:sz w:val="20"/>
          <w:sz w:val="20"/>
          <w:szCs w:val="20"/>
          <w:rtl w:val="true"/>
        </w:rPr>
        <w:t>، والشيخ المفيد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وابن إدريس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ascii="IRNazanin" w:hAnsi="IRNazanin" w:eastAsia="IRNazanin"/>
          <w:b w:val="false"/>
          <w:b w:val="false"/>
          <w:bCs w:val="false"/>
          <w:i w:val="false"/>
          <w:i w:val="false"/>
          <w:iCs w:val="false"/>
          <w:color w:val="333333"/>
          <w:sz w:val="20"/>
          <w:sz w:val="20"/>
          <w:szCs w:val="20"/>
          <w:rtl w:val="true"/>
        </w:rPr>
        <w:t>، وذكر أنه مشهور السيد في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السيد في الرياض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أشهرهما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وحكاه عن والد الصدوق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وهو الموجود في 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الرابع من أسباب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أبواب الوضوء،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إضافة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الملائكة لزوار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زيارات الحسين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في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صفات القاضي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الرقم </w:t>
      </w:r>
      <w:r>
        <w:rPr>
          <w:rFonts w:eastAsia="IRNazanin" w:cs="IRNazanin"/>
          <w:b w:val="false"/>
          <w:bCs w:val="false"/>
          <w:i w:val="false"/>
          <w:iCs w:val="false"/>
          <w:color w:val="333333"/>
          <w:sz w:val="20"/>
          <w:szCs w:val="20"/>
        </w:rPr>
        <w:t>11854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الزنا 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10/144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العدد 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العاقلة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الديات أبواب العاقلة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نكاح العبيد والإماء ب</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أبواب موانع الإرث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الزنا 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الأول آية القصاص في القتل،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الثاني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القصاص في النفس 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الرياض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يجوز للمسلمة التزويج بالكافر مطلقاً نصاً وإجماعاً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الكفر ونحوه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الرضا 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بالكفر ونحوه 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حدّ الزنا ب</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صاحب الجواهر، الجواهر </w:t>
      </w:r>
      <w:r>
        <w:rPr>
          <w:rFonts w:eastAsia="IRNazanin" w:cs="IRNazanin"/>
          <w:b w:val="false"/>
          <w:bCs w:val="false"/>
          <w:i w:val="false"/>
          <w:iCs w:val="false"/>
          <w:color w:val="333333"/>
          <w:sz w:val="20"/>
          <w:szCs w:val="20"/>
        </w:rPr>
        <w:t>29/361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ما يحرم بالمصاهرة ب</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8/272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العقوبات القسم الخاص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تكملة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قانون العقوبات العراقي 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في النفس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 في بيان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التشريع الجنائي الإسلامي مقارناً بالقانون الوضعي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العقوبات 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لسنة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وتعديلاته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الهداية في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المحاضرات للسيد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الحلقة الثالثة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نتائج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الأصول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نهاية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محاضرات السيد محمد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المحكم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الأصول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تعارض الأدلة واختلاف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نهاية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السيد الداماد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حاول توجيه كلام الكفاية بما لا حاجة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يخلو من تكلف ونظر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حكاه عن المطارح في تعليقة القوجاني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الهداية في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أصول الفقه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حرره عن المحقق النائيني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الاستنباط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نقلاً عن 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تحريرات في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 مصابيح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محاضرات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إلى 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الأصول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مصباح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 عن بعض أعاظم العصر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تقرير بحثه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 الأدلة واختلاف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المحكمة في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المدرسين،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الانظار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حاشية المشكيني على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تعليقة القوجاني على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حاشية المشكيني على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حاشية المشكيني على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اللعمات النيرة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حاشية المكاسب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تبصرة المتعلمين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سابق</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مناسك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الطريقة لو تمت لكانت أعم نفعاً من الثانية؛ لأنها تجري في كل مورد عبّر فيه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لذلك قدّمناها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المدارك أن في بعض النسخ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بثبوت مدلولها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موافق لما حكاه عنه الوحيد في الفوائد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وعلّق عليه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وفى تعليله تأمل فتأمل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أراد أن الثبوت عند الراوي ليس حجة علينا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مضافاً إلى عقم الإشعار عن النفع</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30/149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السيد حسن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الكتب الإسلامية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على أكبر الغفاري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مكتبة الصدوق</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المراد أنه حجّة وإن لم يوجب الاطمئنان الفعلي، حتى يقال لم يقم دليل على حجية القطع النوعي، فضلاً عن الاطمئنان النوعي</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إدراك وهيب بن حفص للطبقة السادسة، وبقاؤه إلى زمن يمكن لمن كان من الطبقة السابعة الرواية عنه وذلك لأمرين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في 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مؤسسة آل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لإحياء التراث</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أنه لم يذكر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أصحاب أبي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ورد في ماحكاه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ترتيب الكشي للقهبائي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التحرير الطاووسي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السيد الخوئي عن الميرزا في رجاليه الكبير والوسيط أنه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مهران واقفي وليس بالحسن بن محمد بن سماعة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محمد بن سماعة، أبو محمد الكندي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يعاند في الوقف ويتعصب، وليس محمد بن سماعة أبوه، من ولد سماعة من مهران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الحسن ابن محمد بن سماعة ليلة الخميس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إبراهيم الكلباسي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وتقدَّم أن المراد به الحسن بن محمد بن سماعة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إلى ملاحظة الراوي والمروي عنه والسند السابق لأنه مشترك</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يحتاج إلى ملاحظة الراوي والمروي عنه والسند السابق لأنه مشترك</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سماعة عن صالح في موارد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الصيرفي عنه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الصدوق إلى أبان في المشيخة ينتهي إلى محمد بن أبي عمير وصفوان بن يحيى</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طريقي النجاشي وبعض طرق الشيخ الطوسي إلى مصنفات أبان تنتهي إليه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الثامنة من خاتمة الخلاصة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رمي أبان بأنه فطحي، أو 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من العلامة كما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يركن إليه لعدم وجوده عند من تقدَّم على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ولاختلاف كلام العلامة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إنه فطحي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تقدَّم عن موضعين من المنتهى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وحكي أنه نسبه في المختلف للناووسية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المعجم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مواضع عديدة من المحاسن منها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وأحمد بن أبي عبد الله رويا كتابه في طريق الشيخ في الفهرست</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في من أدرك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ومرَّة في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في من أدرك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ومرَّة في من أدركه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أصحاب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العنوان بحاجة إلى ملاحظة الراوي والمروي عنه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التمهيد مأخوذ بتصرف من كتاب أساسيات الاحتمالات إعداد الأستاذ الدكتور خالد زهدي خواجه مدير عام المعهد العربي للتدريب والبحوث الإحصائية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ذكرته عن حميد بن زياد فقد رويته بهذه الأسانيد عن محمد بن يعقوب عن حميد بن زياد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وأراد بهذه الأسانيد طرقه إلى محمد بن يعقوب ومنها المفيد عن ابن قولويه عنه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ذكرته في هذا الكتاب عن الحسن بن محمد بن سماعة فقد أخبرني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وأخبرني أيضاً الشيخ أبو عبد الله والحسين بن عبيد الله وأحمد ابن عبدون كلّهم عن أبي عبد الله الحسين بن سفيان البزوفري عن حميد بن زياد عن الحسن بن محمد بن سماعة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سماحة السيد محمد رضا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افاضاته</w:t>
      </w:r>
      <w:r>
        <w:rPr>
          <w:rFonts w:eastAsia="IRNazanin" w:cs="IRNazanin"/>
          <w:b w:val="false"/>
          <w:bCs w:val="false"/>
          <w:i w:val="false"/>
          <w:iCs w:val="false"/>
          <w:color w:val="333333"/>
          <w:sz w:val="20"/>
          <w:szCs w:val="20"/>
          <w:rtl w:val="true"/>
        </w:rPr>
        <w:t>)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بعدم الفرق لو كان الأساس الذي اعتمده المستدل هو تحمل الثقة مسؤولية الرواية من حيث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الاحتمالية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وتوليد جو روائي قد لا يطابق الواقع ونحو ذلك، فإن الكثرة كما تفيد في حساب الاحتمال تفيد في تقريب اعتماد الثقة على من يكثر الرواية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يتم القول بالفرق لو كان الأساس عدم عقلائية تضييع الوقت بالاختلاف إلى من لا يعتد برواياته فتأمل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رضا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افاضاته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على ما ظهر لي من حديث بعد الدرس </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مناسك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السيستاني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الرياضيات للصف الخامس العلمي، وكتاب الرياضيات للصف السادس العلمي وفق منهج وزارة التربية في جمهورية العراق لسنة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الرياضيات للصف السادس الأدبي وفق منهج وزارة التربية في جمهورية العراق لسنة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ننبّه على أمور مهمة في فهم دراسة المشايخ</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ننبه على أنه سوف نذكر ملحقاً فيه مواضع روايات ابن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نذكرها في الهامش لكثرتها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معنى لعدّ رواياته في البحث عن الواسطة بينه وبين ابن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وردت روايته عنه في كتب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لا شبهة في سقوط الواسطة، فإنه في أكثر من مائة مورد وجدت الواسطة إلا في موردين أحدهما بهذا العنوان، والآخر بعنوان أبان بن عثمان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رواية ابن سماعة عن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بنفسها بعيدة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رواية ابن سماعة عن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والمعهود روايات إسحاق بن عمار 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كثيرة كما في المحاسن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والبصائر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وثوق برواية ابن سماعة عن إسحاق بن عمار بالمباشرة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ترد إلا في مورد واحد مع أنه روى عنه بالواسطة الكثير من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بعضها بواسطتين 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سماعة عن صفوان عن ابن مسكان عن 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في أكثر من رواية كان أبان أحد واسطتين طوليتين بين ابن سماعة وإسحاق بن عمار 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سماعة عمّن ذكره عن أبان عن 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سماعة عن غير واحد عن أبان عن إسحاق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تعد روايته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عنه في الكلام حول كون الحسن بن محمد الصيرفي عنواناً لابن سماعة</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رواية في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عنه علي ابن الحسن بن فضال وهو الموافق للوافي والوسائل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طريقه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سقوط الواسطة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البعيد جداً رواية ابن سماعة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المتوفي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عمّن أدرك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يشهد لذلك أن الشيخ ذكر الطريق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نهيك والحسن بن سماعة جميعاً عن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طريقه ابن أبي عمير متوسطاً بين ابن نهيك وبين برد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كمال الدين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وردت الرواية في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ثابت الصباغ بدل ثابت الصائغ ونقلها في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ثابت بن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في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به ثابت بن شريح الصائغ الأنباري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ثبوت روايته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وردت رواية بن سماعة عنه في موارد كثيرة بتوسط عبيس أو صالح بن خالد أو بتوسطهما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فالظاهر سقوط الواسطة في هذا المورد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أن عبيس وصالح رويا كتاب ثابت في طريقي الشيخ والنجاشي لكتابه في ترجمته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هو الذي يروي عنه الحسن بن محمد بن سماعة كثيراً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الكلام في اتحاده مع جعفر بن محمد بن سماعة وعدمه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يتم دليل على الاتحاد وتفصيله في الملحق الثاني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لرواية صفوان عنه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يحتمل ابن سماعة ويحتمل الصيقل فهو مشترك</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مشترك بين الثقة وغيره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الصحيح جعفر عن محمد بن عباس بقرينة باقي الروايات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جعفر بن سماعة المتقدم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سماعة الذي هو من السابعة عن جميل الذي هو من الخامسة مستبعدة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مصحف الحسين بن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ابن سماعة يروي كتاب الحسين بن أيوب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يروي كتاب الحسن بن أيوب، وإنما يرويه أحمد ابن ميثم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وإذا قلنا إنه هو ابن أبي عقيلة فيرويه أيضا أحمد بن علي الحموي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من جهة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جهة أخرى لم ترد في التهذيبين رواية للحسين بن أيوب، فإذا لم يكن ما هنا تصحيفاً يكون الحسين بن أيوب ممن ذكر في الفهرست ولم يذكر له رواية في التهذيبين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الطبقة لا تأبى ذلك</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اتحاده مع الحسن بن حماد بن عديس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بن عديس ليس بالبعيد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تقريب ذلك بخطوتين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روايتين في واقعهما رواية واحدة بطريقين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الراوي المباشر في الأولى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الثانية الحسن الصيقل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سقط الأخير عن الاستبصار ولكن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عنه علي بن الحسن بن فضال وهو الموافق للوافي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طبعة آل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الغيبة للنعماني رواية لابن سماعة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بن محمد الميثمي فلم تثبت روايته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عدت للحسين بن هاشم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بصير وروى عنه ابن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الكافي</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يعقوب بن شعيب، وروى عنه الحسن بن محمد 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هاشم، بقرينة سائر الروايات فلم يعهد في هذه الطبقة راوٍ</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الحسن بن حماد بن عديس المتقدّم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سماعة عنه بالمباشرة إلا أن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واسطة وهو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وعليه لم تثبت رواية ابن سماعة عنه بالمباشرة</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عن الحسن بن محمد ابن سماعة عن حماد عن أبان بن تغلب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المصدر الحسن بن محمد فقط من غير ابن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ابن علان فقد روى محمد بن أحمد عن الحسن بن محمد بن علان في 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الحسن بن محمد بن سماعة في تهذيب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لا تساعد على رواية ابن سماعة عنه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لرواية صفوان عنه 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عمير كما في أمالي الصدوق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سماعة لكتاب حميد بالمباشرة إلا أنه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 النجاشي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نفس الطريق بتوسط عبد الله بن جبلة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وثقه النجاشي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وضعفه ابن الغضاري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في الخلاصة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متروك على مسلك من يقبل تضعيفات ابن الغضائري التي في كتابه، أو التي نقلها العلامة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كلام في تعيينه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هو سيف بن سليمان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سيف بن المغيرة التمار؟ وقد احتمل الوحيد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تعليقته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اتحادهما، وحكم به المحدث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سيف بن سليمان نسبة إلى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يقم عليه شاهد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وذهب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سيف بن سليمان قال في المعجم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سيف بن سليمان فإنه المعروف والمشهور الذي له كتاب، وأما سيف بن المغيرة التمار فهو غير معروف، ولا نعرف له ولا رواية واحدة، على أن اقتصار النجاشي على ترجمة سيف ابن سليمان التمار، واقتصار الشيخ على ترجمة سيف التمار، يشهد بالاتحاد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لا تساعد على رواية ابن سماعة عنه بالمباشرة مع ورود رواية ابن سماعة عنه بالواسطة كما في العلل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أنه لم نعثر على رواية مَن هم من السابعة عن سيف التمار إلا بالواسطة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رواية لمحمد بن خالد ولعله البرقي، لكن تقدّم أن له سبقاً في الطبقة لو سلم أنه من السابعة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أيضاً أن راويي كتابه في طريقي النجاشي من السادسة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لثبوت رواية ابن أبي عمير عنه كما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صفوان 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لا تساعد على رواية ابن سماعة عنه ولم نعثر على رواية لمن هم من السابعة عنه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 هو الذي روى عنه في كل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أكثر 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في مورد واحد يأتي روى فيه عن عبد الله القاسم</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بملاحظة الروايات أنه عبد الله بن القاسم وهو مشترك بين جماعة بعضهم ضعاف كذابين، وبعضهم غير موثقين، ولذا لا تنفع رواية ابن أبي عمير عنه لاحتمال كونه من المضعّفين فيتعارض التوثيق والتضعيف فلا تكفي رواية ابن أبي عمير للإطمئنان بأنه من غير الموثقين حتى يوثق بروايته عنه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له كتاباً وذكر ابن سماعة في طريقه إليه، لكن النجاشي في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تعريضاً بالشيخ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والكتاب الذي ينسب إليه لعبد</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لكنها بعيدة فهو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الطاطري معلم بن سماعة مذهبه وشريكه في المشايخ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كتاب عقبة بن محرز بواسطة ابن أبي عمير في طريق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ابن أبي عمير في طريق النجاشي لكتابه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ابن نوح،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علي بن سفيان،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بن غالب،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الطاطري، عن محمد بن أبي عمير، عن عقبة ابن محرز، بكتابه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 الطريق من يمكن أن يناقش به إلا محمد بن عبد الله بن غالب ولاتحاده مع محمد بن عبد الله بن غالب أبو عبد الله الذي وثقه النجاشي كما احتمله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يتعين لأن المسمّين بعلي من مشايخ ابن سماعة كثيرون كما يظهر مما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 الثقات وغير الثقات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المثال ما رواه ابن سماعة عن علي في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علي فيها عن محمد بن سكين وإذا رجعنا إلى مشايخ ابن سماعة وجدنا اثنين من المسمّين علياً منهما يروون عن محمد بن 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بن الحسن بن حماد يروي عن ابن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المراد به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بن الحسن بن رباط أيضا يروي عن محمد بن مسكين 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لاشتراكه بين كثيرين منهم موثقون كعلي بن الحسن بن رباط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غير موثقين كعلي ابن الحسن بن حماد</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فيه ما تقدَّم في عنوان علي فأمره دائر بين ابن حماد غير الموثق، وابن رباط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تعد رواياته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الكليني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حميد عن ابن سماعة عن الطاطري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الذي أجمع عليه في الطلاق كذا وكذا، وذكر حديثه مع محمد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النجاشي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علي بن الحسن بن محمد الطائي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الطاطري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ابن سماعة لا يروي عن الطاطري وإن تعلّم منه المذهب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لا تعد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ذلك إنكاراً لما ذكره الكليني من نقل للفتوى المجمع عليها، وإنما قول النجاشي يضعف احتمال أن تكون الرواية الواردة في الجوامع عن الطاطري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لكنها محل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فالمناسب رواية علي بن الحسن بن فضال عن ابن سماعة لا العكس كما في طريق الشيخ الثاني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لكتب الحسن بن محمد بن سماعة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أقول إنها بعيدة جداً لأنهما من طبقة واحدة وهي السابعة ورواية مَن في طبقة عن أقرانه شائعة ولو من جهة التقدم الرتبي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فالأحداث يروون عن الكبار، بل المتساويان قد يروي بعضهما عن بعض، ولكن هنا الأمر بالعكس لما أشرنا إليه سابقا من أن علي بن الحسن بن فضال يمكن أن يعدّ من أحداث السابعة فكيف يروي عنه ابن سماعة وهو من كبارها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وستأتي رواية ابن سماعة عن ابن فضال ورجّحنا هناك أنه الحسن بن علي بن فضال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فالأرجح أن ما ههنا تصحيف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الحسن بن علي ابن فضال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فتعد هذه الرواية لابن فضال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رواية ابن سماعة عنه في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أوردها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علي بن خالد وكذا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الموافق للوسائل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الأظهر في هذه الموارد ولا نقول بإلغاء عنوان علي بن رباط من الرواة لكن لم يخرج لنا منه شيء أو لا أقل الراوي عن ابن سماعة هو علي بن الحسن بن رباط</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اتحاده مع علي بن 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والملاحَظ أن علي ابن سكن روى عن عبد الله بن وضاح وعلي بن سكين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مشعل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وثوق بالاتحاد وإن كان الاحتمال قائماً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لم يوثق فلا ثمرة على الصحيح من مراعاة عدد الروايات لا عدد المشايخ</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مشترك بين 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أعثر على علي بن محمد مشخص قد روى عن ابن سماعة، أو روى عن محمد بن سكين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هذه الرواية رواها علي بن محمد عن محمد بن مسكين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موضعين الأول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في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الأولى وردت في 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علي عن محمد بن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وردت في التهذيب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علي بن محمد عن محمد بن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والأخيرين أقرب لأنه لا وجود لعلي بن محمد بن مسكين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مسكين راوٍ معروف</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روايتاه لو كانتا تعدان لعدتا لعنوان علي بن محمد السابق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سماعة لكتاب بن ميمون بالمباشرة ولكن هذا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فالشيخ والبرقي قد ذكراه في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له رواية عن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كانت روايته عن السجاد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بعيدة ولم أعثر له على رواية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وغالب رواياته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بالمباشرة وبعضها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بواسطة ابن أبي يعفور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فرواية ابن سماعة عنه بالمباشرة 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أن النجاشي روى كتابه عن طريق عبيس بن هشام الذي هو من الطبقة السادسة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سماعة لكتابه بالمباشرة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بعيد فهو</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تساعد على ذلك بقية الروايات والطبقة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 من الخامسة على الأقل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ابن سماعة لكتابه بالمباشرة إلا أن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بتوسط الحسن بن حماد بن عديس</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عمرو بن حريث أبو أحمد الصيرفي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الطبقة لا تساعد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أن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كتابه عن طريق صفوان الذي هو من السادسة</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لروية ابن أبي عمير عنه في كتاب من لا يحضره الفقيه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الكلام في هذا في عنوان ابن أبي عمير</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يتعيّن</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ابن عامر الجمال الثقة؛ لأن الذي ذكره النجاشي في ترجمته يشير إلى عدم</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رواية بن سماعة لكتابه بالمباشرة لكنها بعيدة لعد الشيخ والبرقي إياه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لم يقبل هذا فلم أعثر على رواية له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كثير من رواياته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إنه قد روى ابن سماعة عنه بثلاث وسائط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ومما يؤيد عدم رواية ابن سماعه عن ابن شريح بالمباشرة أن الشيخ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لكتاب جعفر بن محمد بن شريح طريقاً فيه واسطتان بين حميد وجعفر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سماعة كراوٍ مباشر لكتاب الذهلي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وفاته سنة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فتبعد رواية بن سماعة المتوفى سنة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لرواية صفوان عنه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أيضاً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والوارد فيها وإن كان محمد بن مروان بلا توصيف بالذهلي، لكنه المراد بقرينة روايته فيها عن الفضيل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وردت روايته عنه في موارد منها التوحيد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ممن ترجم له عند الجمهور فهو المشهور كما أفاده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افاضاته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المناسك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لكتابه بالمباشرة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روايته له بواسطة أبو إسماعيل السرّاج</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روايته لكتابه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واسطة هو أحمد بن المفضل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أكيل النميري</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الشيخ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ابن سماعة لكتابه بالمباشرة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واسطة هو ابن رباط</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بملاحظة الطبقة يبعد رواية ابن سماعة عنه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يشكك بصحة رواية ابن سماعة عنه بالمباشرة بمقتضى الطبقة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الظاهر بقاء وهيب إلى زمن بحيث يتمكن من كان من الطبقة السابعة من الرواية عنه بالمباشرة؛ لأن روايات الطبقة السابعة عن وهيب 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ورواة كتبه في الفهارس هم من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عنه في المطلب الأول من الأمر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وتفصيله في الملحق الثالث</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للنعماني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جعفر بن محمد 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حدثني الحسن بن محمد الصيرفي، قال حدثني يحيى بن المثنى العطار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ذكرالشيخ رواية ابن سماعة لكتابه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عدّه إياه من أصحاب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يبعد رواية ابن سماعة عنه ويؤيد ذلك ملاحظة الروايات والطبقة</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كلام في تعيين محمد بن زياد الذي يروي عنه الحسن بن محمد بن سماعة فهل هو محمد بن أبي عمير زياد بن عيسى الأزدي بياع السابري، أو محمد بن الحسن بن زياد العطار؟ والصحيح هو أن المراد به محمد بن أبي عمير وتفصيله في الملحق الأول</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النجاشي في ترجمته أنه عمّر عمراً طويلاً فلا تمنع روايته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رواية ابن سماعة عنه</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فهو من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وعبد الله من الخامسة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كلام طويل الذيل ذكره يخرج عن المقصود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من السادسة وعلي بن الحسن وأخويه من السابعة، بل علي بن الحسن بن فضال هو أحد رواة كتب ابن سماعة في الفهرست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محمداً مغمور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رواية ابن سماعة عنه بعيدة بملاحظة سائر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فمع كثرتها بالواسطة لم ترد بالمباشرة إلا في موردين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أنه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وإن وردت روايته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اتفاق الشيخ والنجاشي على أن ابن سماعة روى عنه بالمباشرة في طريقيهما إلى كتاب محمد بن يحيى بن سليمان يكفي للوثوق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أن أصل روايته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فإنها لم ترد إلا في مورد واحد وفي الباقي بواسطة أو بواسطتين أو بثلاث كما في 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بن أبي بشر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مولى، يكنى أبا جعفر، ثقة في الحديث</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إن كان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فحتماً يوجد سقط؛ فقد مات سنة مائة وخمسين فكيف يروى عنه من مات سنة مائتين وثلاث وستين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يحرز أنه غيره حتى يعد عنواناً مستقلاً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مجموعة ممن يكنّون بأبي خالد ويلقبون بالقماط</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البعيد رواية ابن سماعة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ممن رووا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شاهد على طول بقائه، فلم ترو عنه السابعة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بن خالد الآتي الذي يروي عنه ابن سماعة يحتمل أنه المحاملي؛ لأن ابن سماعة روى عن أبي شعيب والمراد به أبو شعيب المحاملي وهو متحد مع صالح بن خالد المحاملي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المكّنى بأبي شعيب فقد عنونه النجاشي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بن خالد المحاملي، أبي شعيب الكناسي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ويؤكده أن الراوي لكتابيهما هو العباس بن 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ما صنعه النجاشي من ذكره 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باسمه، وأخرى بكنيته، لما ورد في الروايات من ذكره باسمه تارة، وبكنيته تارة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وتنبيهاً على ما فات الشيخ من ذكره باسمه واقتصاره على ذكره بكنيته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وثقه النجاشي فهو المحاملي</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السيد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أنه متحد مع زكريا أبو يحيى الدعاء، ولكنه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رجال الشيخ والبرقي فكيف يروي عنه ابن سماعة بالمباشرة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والدعاء أيضا لم يوثق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كان فيمكن الاعتماد على ما نقله النجاشي من رواية ابن سماعة عنه بالمباشرة وإن كان هو الدعاء</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يقال هو مثنى بن راشد الآتي؛ لأن ابن سماعة هو راوي كتاب مثنى بن راشد في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يروِ ابن سماعة عن مثنى غيره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به الميثمي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الأستاذ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افاضاته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نسبة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توجب الاطمئنان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يقبل ذلك الشيخ المحسني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افاضاته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توجب الاطمئنان عند العقلاء</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توقيف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تنويع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تفاصيل أكثر عن التقسيم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في أقسام الحديث، والرواشح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الراشحة الأولى، والموقظة في علم مصطلح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وتدريب الراوي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انقسام الحديث</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13/394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ج</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في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في ذكر القرائن التي تدل على صحة أخبار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الاحكام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الأخبار التي دلت على اعتبار أخبار الآحاد</w:t>
      </w:r>
      <w:r>
        <w:rPr>
          <w:rFonts w:eastAsia="IRNazanin" w:cs="IRNazanin"/>
          <w:b w:val="false"/>
          <w:bCs w:val="false"/>
          <w:i w:val="false"/>
          <w:iCs w:val="false"/>
          <w:color w:val="333333"/>
          <w:sz w:val="20"/>
          <w:szCs w:val="20"/>
          <w:rtl w:val="true"/>
        </w:rPr>
        <w:t>)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 في علم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الحقل الثاني في الحسن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وصفه الشيخ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الإفصاح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الخبر الثابت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والمؤطا لمالك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جعل الإمام ليؤتم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إئتمام المأموم بالإمام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المشتري من الفضولي ولم أعثر على متن الحديث بصيغته المشهورة في كتب العامة الروائية، لكن قريب منه ما في كتاب 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والنذور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حنث ناسياً في الأيمان ص</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الأشربة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آنية الفضة ص</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 للحاكم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على رواية بهذه الصيغة في كتب الفريقين الروائية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والمصنف لعبد الرزاق الصنعاني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العصير العنبي</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14/163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والراشحة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حجري ونهاية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ومقياس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14/186/187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مخطوطة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علمي الرجال والدراية في مكتبة السيد الحكيم العامة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مقباس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7/255</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12/168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8/467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11/325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83/199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الخمس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421/1127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368/999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92/131</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332/894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Pr>
        <w:t>182/482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350/492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52/117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107/204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246/647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364/675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612/1140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 بن جناح</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128/1641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296/4326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336/5001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357/5284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612/1140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55/172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علماً أن ابن داود استعمل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فيمن ورد فيه توثيق، كما في آدم بن المتوكل حيث نص النجاشي على توثيقه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167/1940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412/5972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364/5403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مجلة دراسات علمية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النسخة المصححة التي كانت عند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بتصحيح صاحب الوسائل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 أضاف إليها بعض الحواشي وهي غير موجودة فيما هو المطبوع آنذاك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أشار إلى ذلك في الهامش مُخرج أحاديث المستمسك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مخطوطة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مكتبة الإمام الحكيم العامة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6/452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8/177</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11/390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مخطوطة له حول علمي الرجال والدراية في مكتبة الإمام الحكيم العامة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 نقل السيد الحكيم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المقولة عن غيره إلا أنه لم يلتزم بها ولذا نجده في البحث الثالث الآتي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يجعل من رواية الكليني بصيغة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إرسالاً منه موهناً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 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تعرض السيد البروجردي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نقد مثل هذه الدعوى في مقدمة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ترتيب أسانيد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وهذه كلها دعاوى عارية عن الدليل، غير خارجة عن حدود الخرص والتخمين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فيالتها كانت مقرونة بشاهد ومثبتة بدليل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نستريح إليها عن كثير من المشاق والمتاعب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يتحقق بعدُ لنا أنه كان ببغداد أيام تصنيفه للكتاب، بل الظاهر من كلام النجاشي 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أصحابنا في وقته بالري ووجههم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أنه كان بالري طوال حياته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وخصوصاً أيام تكامله في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الزمان الذي يمكن دعوى كونه شيخ أصحابنا ووجههم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كان في مدة تصنيفه التي زعم أنها عشرون سنة ببغداد، لم يبق من زمان تكامله شيء يصلح لئن يكون فيه شيخ أصحابنا بالري ووجههم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ينافي ذلك موته ببغداد ودفنه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يمكن أن يكون سافر إليها في أواخر عمره عابراً أو مقيماً، فأدركه أجله بها</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مخطوطة له حول علمي الرجال والدراية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11/275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رواية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أعادها مسندة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ولم نعثر على عبارة صريحة للمجلسي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روضة المتقين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نسبه للمجلسي حفيده الوحيد في مصابيح الظلام في شرح مفاتيح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كتاب الطهارة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له في علمي الرجال والدراية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 أن العيص بن القاسم ابتدأ بذكر اسمه في موضع من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طريقه إليه في المشيخة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10/390</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ومشيخة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له في علمي الرجال والدراية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القاسم المفسر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الديباجي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 الاجتهاد والتقليد للسيد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العدالة في المرجع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بن القاسم الاسترابادي</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الفائدة الخامسة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الفقاهة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وأنظر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خاتمة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مخطوطة له</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8/374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Pr>
        <w:t>9/900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14/183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للخوئي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الاستقبال في الصلاة وتوابعها و</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محاذاة الرجل للمرأة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222/623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المستمسك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وأعيان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البحوث الأصولية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تقرير أبحاث سماحة السيد السيستاني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لنجله السيد محمد رضا سلمه الله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أعلام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مقدمة الفتاوى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لحفيد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ولادته كانت في يوم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القعدة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وأكمل فيها المقدمات وقد حضر في الفقه على الشيخ محمد باقر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الأصول على الميرزا أبي المعالي الكلباسي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الحكمة والكلام على الشيخ جهانكير خان القشقائي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مقدمة الفتاوى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معظم تلمذته وتعويله –كما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كان على المحقق الوحيد والحبر الفريد الشيخ محمد حسين الأصفهاني سبط المحقق التقي صاحب التعليقة الكبرى على المعالم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مجلة الكرخ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الخاص بتأبين حجة الإسلام الشيخ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الصادر في بغداد الثلاثاء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محمد حسين كاشف الغطاء في كلمته التأبينية عن المترجم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عرفت الميرزا النائيني في سامراء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يومئذ مطمح الأنظار ومسرح الأفكار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وموضع إشارة الأنامل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له المنزلة التي يغبط عليها عند السيد 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كان يعدّه من ذوي الرأي والمشورة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ويحضره في المهمات التي يحضرها أهل الحل والعقد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أحواله وأعماله وعلومه تدل على نفس كبيرة ذات قدسية كريمة قليلة النظير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معدومة المثيل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السيد المجدد الشيرازي</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مقدمة الفتاوى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لحفيد المترجَم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أثناء ملازمته لأبحاث أستاذه المجدد الشيرازي يحضر –تلبية لطلب الأستاذ في أخريات حياته من شباب تلامذته أن يحضروا أبحاث الكبار المتقدمين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بعض أعيان العصر كالعَلمين السيد محمد الفشاركي والسيد إسماعيل الصدر حضور بحثٍ ومذاكرة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حضور تلمّذٍ واستفادة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مقدمة الفتاوى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صحب السيد إسماعيل الصدر إلى كربلاء وبقي ملازماً له</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صار من أعضاء مجلس الفتيا الذي كان يعقد في داره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دار صاحب الكفاية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بعض خواص أصحابه للمذاكرة في المسائل المشكلة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يحضر معهد درسه العام لأنه كان غنياً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وشأنه ارفع من حضاره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الصحيح ما أثبتناه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مقدمة الفتاوى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محاضراته فقد ألقى في الأصول ابتداءً من سنة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 ثلاث دورات كاملة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استغرقت كل دورة سبع 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الفقه ألقى محاضراته حول مكاسب شيخنا الأعظم الأنصاري في دورتين توسطهما محاضراته حول كتاب الصلاة</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بغداد يوم السبت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وحمل جثمانه إلى النجف فكان يوماً مشهوداً وتولى تغسيله علم العلم والتقى الشيخ علي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وصلى عليه الحجة الأكبر السيد أبو الحسن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ودفن في مقبرة أستاذه السيد محمد الفشاركي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 الخامسة على يسار الداخل إلى الصحن الحيدري الشريف من باب السوق الكبير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الشيخ عبد الحسين الحلي نقلناها بطولها بتصرف طفيف من العدد الخاص بتأبين حجة الإسلام الإمام النائيني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الكرخ الصادرة في بغداد الثلاثاء 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الثانية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ﻫ الموافق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قوله المتعين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عدم تبين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سقطت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فإنها خصوصية زائدة يمكن أن يدّعى أن إطلاق متعلق الأمر يدفع التقيد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قد أفيد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وستعرف ما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زعماً برجوعه إلى تقييد المادة بها</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مسألة اجتماع الأمر والنهي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انها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يقتضيه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وعدم وجودها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الخروج عن عهدته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بقيام الغير به بلا استنابة من من المكلَّف ولا استناد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بفعل الغير بلا استناد إلى المكلَّف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على الوجه الأول فيجتمع السقوط بفعل النائب مع تعبدية الواجب أيضاً إذا كان مما يدخله النيابة كما ستعرفه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ظاهر الخطاب هو اعتبارها في مقابل السقوط بفعل الغير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دون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لكونها عنواناً اختيارياً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حيث إنها عنوان اختياري</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ثبت الاجتزاء بها في عرض المباشرة كان ذلك كشفا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فيرجع كفايتها في عرض المباشرة إلى</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لامحالة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الاطلاق الظاهر في اعتبار المباشرة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الدليل الظاهر في خصوص المباشرة</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لكن لا سبيل لأن يدعى كاشفية ذلك الذيل عن كون الواجب هو القدر المشترك بين النوعين في مقابل الانصراف إلى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وليس بين نفس قضاء الولي عن الميت مثلاً واستنابته له جامع قريب عرفي يمكن الطلب به؟ ولامجال أيضاً لإبقاء المطلوب الذي هو قضاء الولي في المثال بحاله وإرجاع التعميم إلى النسبة التي وضعت هيئة الأمر لإيقاعها على المكلف 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محالة وحينئذ فإن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يخفى</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كأداء الدين ونحوه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وفعل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وغيره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بتبرع الغير بأدائه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يكشف عن ارتفاع موضوعه أو ملاكه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ويكون دليلاً على عدم اشتراطه في البقاء بعدم قيام الغير به ورافعا للاطلاق الثاني لهذا الاشتراط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وموضوعيته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الغير به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فالدليل الكاشف عن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فالسقوط</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يكشف عن كون الواجب تخييريا وأنها أحد فردي التخيير ويرتفع الإطلاق الدال على كونه تعينياً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الكاشف عن السقوط مع عدمها فإنما يكشف عن اشتراط وجوبه في مرحلة البقاء بعدم ذلك المسقط في مقابل إطلاقه المقتضي بقاء الواجب على وجوبه على كل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وبينهما من البون البعيد ما لا يخفى فهما وإن اشتركا في عدم جواز القناعة في الخروج عن عهدة التكليف المعلوم باحتمال سقوطه على كل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اختلاف الطريق يسري إلى المقام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مرجع الشك في السقوط بالاستنابة إنما هو إلى الشك في ثبوت البدل لما علم وجوبه والخروج عن عهدة التكليف المعلوم بذلك البدل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فيندرج في مجاري قاعدة الاشتغال كما هو الشأن في جميع موارد الشك في التعيين والتخيير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السقوط بدونها فمرجع الشك فيه وإن كان إلى الشك في ثبوت التكليف عند قيام الغير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هذا الشك من مجاري أصالة البراءة دون الاشتغال كما في القسم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لما كانت الشبهة راجعة إلى مرحلة بقاء التكليف بعد العلم بحدوثه فمقتضى الاستصحاب بقاؤه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لاتصل النوبة إلى إجراء أصالة البراءة فيما كان من هذا القبيل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لو كان الشك في سقوطه بفعل الغير مسبباً عن ارتفاع موضوعه في الخارج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لو فرض الشك في فراغ الذمة عن الدين بتبرع الغير بالأداء فاستصحاب بقائه في الذمة يستتبع التكليف بأدائه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لاتصل النوبة حينئذ حتى إلى استصحاب نفس التكليف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في البين موضوع خارجي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الشك بالسقوط بفعل الغير ناشئا عن الشك في اشتماله على مناط الحكم وملاكه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هذه الصورة يستصحب نفس التكليف ولا تصل النوبة إلى أصالة البراءة على كل 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يرجع إلى الخروج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المعنوي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الأفعال المتعدية واللازمة بأنواعها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 المتعدي واللازم بأنواعه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بمعروضاتها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مبدأ الاشتقاق بفاعله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المبدأ بفاعله بغير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شمولها</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أقصى ما يسعنا تسليمه دعوى الانصراف عن غير الإختياري هو انصراف الفعل بالمعنى الأخص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كان كالأكل والشرب ونحوهما صدورياً عمّا وقع بالقهر على من قام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إذا أوجر قهراً عليه في حلقه ونحو ذلك لكون النسبة إليه وقوعية حينئذ لا صدورية دون ما إذا صدر منه مستقلاً ولكنه بغير إرداته واختياره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حال النوم ونحوه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لا مجال لأن يدعى الانصراف حينئذ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من جهة الهيئة لما عرفت من أنها بالنسبة إلى أنحاء قيام المبدأ بفاعله من المتواطىء ولا مجال لدعوى الإنصراف في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من جهة نفس المادة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لو كانت هي بنفسها كالتعظيم والتأديب ونحوهما من العناوين القصدية فلا معنى لدعوى الانصراف وإلا فلا سبيل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هنا تسالموا على شمول أدلة الضمانات ونحوها للإرادي وما يصدر عن النائم ونحوه بجامع واحد بلا حاجة إلى قيام دليل آخر على التعميم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يمتاز باب التكليف عن غيرها مضافاً إلى خلو غير الإختياري عن جهة الحسن والقبح الفاعلي الذي يدور عليه رحى التكليف بعدم صلاحيته في حد نفسه لتعلق الطلب به ولو بالقدر المشترك بينه وبين الاختياري بما أنه كذلك ولو مع الغض عن الحسن والقبح أيضاً وحتى على أصول الأشاعرة وقضية ذلك هي تقييد المتعلقات بورود التكاليف بالاختيارية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وخروج ما يصدر عن النائم والساهي ونحوهما عن الانطباق على المطلوب بما أنه كذلك وإن كان منطبقاً عليه من حيث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القدر المسلم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الاستنابة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جميع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تلازم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زائدة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ويؤيده خلو بقية النسخ منها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لكونها متعلقة لأحكامها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لاتصافها بأحكامها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الأخير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نفس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صفحة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فلو تعلَّق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مرحلة التحقق والفعلية أيضاً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خاصته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لحكم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بقيديته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بتقييده خ 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النتيجة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لاستيفاء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لإسقاط</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بقية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القريبة</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بقية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القريبة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الثواب والخوف من العقاب</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الشيخ الأعظم مرتضى الأنصاري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عبادية العمل</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والصحيح أن مكان هذا الهامش هو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ستأتي في الهامش اللاحق</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إلى هنا وصل قلمه الشريف في هذه المسألة والحمد لله أولاً وآخراً قد تم استنساخا على يد أحقر الورى وأكثرهم زللاً وأقلهم عملاً تراب أقدام المؤمنين راجي عفو رب العالمين محمد صادق بن حسن بن إبراهيم بن الحسين بن الرضا ابن العلامة بحر العلوم السيد محمد مهدي الطباطبائي الحسني الحسيني البروجردي قدس الله نفسه وطيب رمسه بمحمد وآله الطاهرين في شهر ذي الحجة الحرام 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كتب في هامش الصفحة الأيمن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مقابلة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3.jpeg"/><Relationship Id="rId352" Type="http://schemas.openxmlformats.org/officeDocument/2006/relationships/image" Target="media/image3.jpeg"/><Relationship Id="rId353" Type="http://schemas.openxmlformats.org/officeDocument/2006/relationships/footer" Target="footer346.xml"/><Relationship Id="rId354" Type="http://schemas.openxmlformats.org/officeDocument/2006/relationships/image" Target="media/image4.jpeg"/><Relationship Id="rId355" Type="http://schemas.openxmlformats.org/officeDocument/2006/relationships/image" Target="media/image4.jpeg"/><Relationship Id="rId356" Type="http://schemas.openxmlformats.org/officeDocument/2006/relationships/footer" Target="footer347.xml"/><Relationship Id="rId357" Type="http://schemas.openxmlformats.org/officeDocument/2006/relationships/image" Target="media/image5.jpeg"/><Relationship Id="rId358" Type="http://schemas.openxmlformats.org/officeDocument/2006/relationships/image" Target="media/image5.jpeg"/><Relationship Id="rId359" Type="http://schemas.openxmlformats.org/officeDocument/2006/relationships/footer" Target="footer348.xml"/><Relationship Id="rId360" Type="http://schemas.openxmlformats.org/officeDocument/2006/relationships/image" Target="media/image6.jpeg"/><Relationship Id="rId361" Type="http://schemas.openxmlformats.org/officeDocument/2006/relationships/image" Target="media/image6.jpeg"/><Relationship Id="rId362" Type="http://schemas.openxmlformats.org/officeDocument/2006/relationships/footer" Target="footer349.xml"/><Relationship Id="rId363" Type="http://schemas.openxmlformats.org/officeDocument/2006/relationships/image" Target="media/image7.jpeg"/><Relationship Id="rId364" Type="http://schemas.openxmlformats.org/officeDocument/2006/relationships/image" Target="media/image7.jpeg"/><Relationship Id="rId365" Type="http://schemas.openxmlformats.org/officeDocument/2006/relationships/footer" Target="footer350.xml"/><Relationship Id="rId366" Type="http://schemas.openxmlformats.org/officeDocument/2006/relationships/image" Target="media/image8.jpeg"/><Relationship Id="rId367" Type="http://schemas.openxmlformats.org/officeDocument/2006/relationships/image" Target="media/image8.jpeg"/><Relationship Id="rId368" Type="http://schemas.openxmlformats.org/officeDocument/2006/relationships/footer" Target="footer351.xml"/><Relationship Id="rId369" Type="http://schemas.openxmlformats.org/officeDocument/2006/relationships/image" Target="media/image9.jpeg"/><Relationship Id="rId370" Type="http://schemas.openxmlformats.org/officeDocument/2006/relationships/image" Target="media/image9.jpeg"/><Relationship Id="rId371" Type="http://schemas.openxmlformats.org/officeDocument/2006/relationships/footer" Target="footer352.xml"/><Relationship Id="rId372" Type="http://schemas.openxmlformats.org/officeDocument/2006/relationships/footer" Target="footer353.xml"/><Relationship Id="rId373" Type="http://schemas.openxmlformats.org/officeDocument/2006/relationships/footer" Target="footer354.xml"/><Relationship Id="rId374" Type="http://schemas.openxmlformats.org/officeDocument/2006/relationships/footer" Target="footer355.xml"/><Relationship Id="rId375" Type="http://schemas.openxmlformats.org/officeDocument/2006/relationships/footer" Target="footer356.xml"/><Relationship Id="rId376" Type="http://schemas.openxmlformats.org/officeDocument/2006/relationships/footer" Target="footer357.xml"/><Relationship Id="rId377" Type="http://schemas.openxmlformats.org/officeDocument/2006/relationships/footer" Target="footer358.xml"/><Relationship Id="rId378" Type="http://schemas.openxmlformats.org/officeDocument/2006/relationships/footer" Target="footer359.xml"/><Relationship Id="rId379" Type="http://schemas.openxmlformats.org/officeDocument/2006/relationships/footer" Target="footer360.xml"/><Relationship Id="rId380" Type="http://schemas.openxmlformats.org/officeDocument/2006/relationships/footer" Target="footer361.xml"/><Relationship Id="rId381" Type="http://schemas.openxmlformats.org/officeDocument/2006/relationships/footer" Target="footer362.xml"/><Relationship Id="rId382" Type="http://schemas.openxmlformats.org/officeDocument/2006/relationships/footer" Target="footer363.xml"/><Relationship Id="rId383" Type="http://schemas.openxmlformats.org/officeDocument/2006/relationships/footer" Target="footer364.xml"/><Relationship Id="rId384" Type="http://schemas.openxmlformats.org/officeDocument/2006/relationships/footer" Target="footer365.xml"/><Relationship Id="rId385" Type="http://schemas.openxmlformats.org/officeDocument/2006/relationships/footer" Target="footer366.xml"/><Relationship Id="rId386" Type="http://schemas.openxmlformats.org/officeDocument/2006/relationships/footer" Target="footer367.xml"/><Relationship Id="rId387" Type="http://schemas.openxmlformats.org/officeDocument/2006/relationships/footer" Target="footer368.xml"/><Relationship Id="rId388" Type="http://schemas.openxmlformats.org/officeDocument/2006/relationships/footer" Target="footer369.xml"/><Relationship Id="rId389" Type="http://schemas.openxmlformats.org/officeDocument/2006/relationships/footer" Target="footer370.xml"/><Relationship Id="rId390" Type="http://schemas.openxmlformats.org/officeDocument/2006/relationships/footer" Target="footer371.xml"/><Relationship Id="rId391" Type="http://schemas.openxmlformats.org/officeDocument/2006/relationships/footer" Target="footer372.xml"/><Relationship Id="rId392" Type="http://schemas.openxmlformats.org/officeDocument/2006/relationships/footer" Target="footer373.xml"/><Relationship Id="rId393" Type="http://schemas.openxmlformats.org/officeDocument/2006/relationships/footer" Target="footer374.xml"/><Relationship Id="rId394" Type="http://schemas.openxmlformats.org/officeDocument/2006/relationships/footer" Target="footer375.xml"/><Relationship Id="rId395" Type="http://schemas.openxmlformats.org/officeDocument/2006/relationships/footer" Target="footer376.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77.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385</Pages>
  <Words>70666</Words>
  <Characters>318643</Characters>
  <CharactersWithSpaces>386470</CharactersWithSpaces>
  <Paragraphs>3186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2026-08-20T09:08:19Z</dcterms:created>
  <dc:creator>ghaemiyeh.com</dc:creator>
  <dc:description/>
  <dc:language>en-US</dc:language>
  <cp:lastModifiedBy/>
  <dcterms:modified xsi:type="dcterms:W3CDTF">2026-08-20T12:38:33Z</dcterms:modified>
  <cp:revision>1</cp:revision>
  <dc:subject/>
  <dc:title>دراسات علمیة - 5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