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2</w:t>
      </w:r>
      <w:r>
        <w:rPr>
          <w:rtl w:val="true"/>
        </w:rPr>
        <w:t xml:space="preserve"> </w:t>
      </w:r>
      <w:r>
        <w:rPr>
          <w:rtl w:val="true"/>
        </w:rPr>
        <w:t xml:space="preserve">و </w:t>
      </w:r>
      <w:r>
        <w:rPr/>
        <w:t>3</w:t>
      </w:r>
      <w:r>
        <w:rPr>
          <w:rtl w:val="true"/>
        </w:rPr>
        <w:t xml:space="preserve"> </w:t>
      </w:r>
      <w:r>
        <w:rPr>
          <w:rtl w:val="true"/>
        </w:rPr>
        <w:t>مجلة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4858_2870459653">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464860_2870459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464862_2870459653">
            <w:r>
              <w:rPr>
                <w:webHidden/>
                <w:rStyle w:val="IndexLink"/>
                <w:rtl w:val="true"/>
              </w:rPr>
              <w:t>الأسس المعتمدة للنشر</w:t>
            </w:r>
            <w:r>
              <w:rPr>
                <w:rStyle w:val="IndexLink"/>
                <w:rtl w:val="true"/>
              </w:rPr>
              <w:tab/>
            </w:r>
            <w:r>
              <w:rPr>
                <w:rStyle w:val="IndexLink"/>
              </w:rPr>
              <w:t>13</w:t>
            </w:r>
          </w:hyperlink>
        </w:p>
        <w:p>
          <w:pPr>
            <w:pStyle w:val="Contents2"/>
            <w:tabs>
              <w:tab w:val="clear" w:pos="8743"/>
              <w:tab w:val="right" w:pos="9026" w:leader="dot"/>
            </w:tabs>
            <w:rPr/>
          </w:pPr>
          <w:hyperlink w:anchor="__RefHeading___Toc2464864_2870459653">
            <w:r>
              <w:rPr>
                <w:webHidden/>
                <w:rStyle w:val="IndexLink"/>
                <w:rtl w:val="true"/>
              </w:rPr>
              <w:t>مقدِّمة الطَّبعة الثَّانية</w:t>
            </w:r>
            <w:r>
              <w:rPr>
                <w:rStyle w:val="IndexLink"/>
                <w:rtl w:val="true"/>
              </w:rPr>
              <w:tab/>
            </w:r>
            <w:r>
              <w:rPr>
                <w:rStyle w:val="IndexLink"/>
              </w:rPr>
              <w:t>14</w:t>
            </w:r>
          </w:hyperlink>
        </w:p>
        <w:p>
          <w:pPr>
            <w:pStyle w:val="Contents2"/>
            <w:tabs>
              <w:tab w:val="clear" w:pos="8743"/>
              <w:tab w:val="right" w:pos="9026" w:leader="dot"/>
            </w:tabs>
            <w:rPr/>
          </w:pPr>
          <w:hyperlink w:anchor="__RefHeading___Toc2464866_2870459653">
            <w:r>
              <w:rPr>
                <w:webHidden/>
                <w:rStyle w:val="IndexLink"/>
                <w:rtl w:val="true"/>
              </w:rPr>
              <w:t>محتويات العدد</w:t>
            </w:r>
            <w:r>
              <w:rPr>
                <w:rStyle w:val="IndexLink"/>
                <w:rtl w:val="true"/>
              </w:rPr>
              <w:tab/>
            </w:r>
            <w:r>
              <w:rPr>
                <w:rStyle w:val="IndexLink"/>
              </w:rPr>
              <w:t>15</w:t>
            </w:r>
          </w:hyperlink>
        </w:p>
        <w:p>
          <w:pPr>
            <w:pStyle w:val="Contents2"/>
            <w:tabs>
              <w:tab w:val="clear" w:pos="8743"/>
              <w:tab w:val="right" w:pos="9026" w:leader="dot"/>
            </w:tabs>
            <w:rPr/>
          </w:pPr>
          <w:hyperlink w:anchor="__RefHeading___Toc2464868_2870459653">
            <w:r>
              <w:rPr>
                <w:webHidden/>
                <w:rStyle w:val="IndexLink"/>
                <w:rtl w:val="true"/>
              </w:rPr>
              <w:t>افتتاحية العدد</w:t>
            </w:r>
            <w:r>
              <w:rPr>
                <w:rStyle w:val="IndexLink"/>
                <w:rtl w:val="true"/>
              </w:rPr>
              <w:tab/>
            </w:r>
            <w:r>
              <w:rPr>
                <w:rStyle w:val="IndexLink"/>
              </w:rPr>
              <w:t>16</w:t>
            </w:r>
          </w:hyperlink>
        </w:p>
        <w:p>
          <w:pPr>
            <w:pStyle w:val="Contents2"/>
            <w:tabs>
              <w:tab w:val="clear" w:pos="8743"/>
              <w:tab w:val="right" w:pos="9026" w:leader="dot"/>
            </w:tabs>
            <w:rPr/>
          </w:pPr>
          <w:hyperlink w:anchor="__RefHeading___Toc2464870_2870459653">
            <w:r>
              <w:rPr>
                <w:webHidden/>
                <w:rStyle w:val="IndexLink"/>
                <w:rtl w:val="true"/>
              </w:rPr>
              <w:t xml:space="preserve">مشروعية البرلمانات في ظل الأنظمة السياسية المعاصرة </w:t>
            </w:r>
            <w:r>
              <w:rPr>
                <w:rStyle w:val="IndexLink"/>
                <w:rtl w:val="true"/>
              </w:rPr>
              <w:t xml:space="preserve">- </w:t>
            </w:r>
            <w:r>
              <w:rPr>
                <w:rStyle w:val="IndexLink"/>
                <w:rtl w:val="true"/>
              </w:rPr>
              <w:t xml:space="preserve">الشيخ حيدر السهلاني </w:t>
            </w:r>
            <w:r>
              <w:rPr>
                <w:rStyle w:val="IndexLink"/>
                <w:rtl w:val="true"/>
              </w:rPr>
              <w:t>(</w:t>
            </w:r>
            <w:r>
              <w:rPr>
                <w:rStyle w:val="IndexLink"/>
                <w:rtl w:val="true"/>
              </w:rPr>
              <w:t>دام عزه</w:t>
            </w:r>
            <w:r>
              <w:rPr>
                <w:rStyle w:val="IndexLink"/>
                <w:rtl w:val="true"/>
              </w:rPr>
              <w:t>)</w:t>
              <w:tab/>
            </w:r>
            <w:r>
              <w:rPr>
                <w:rStyle w:val="IndexLink"/>
              </w:rPr>
              <w:t>20</w:t>
            </w:r>
          </w:hyperlink>
        </w:p>
        <w:p>
          <w:pPr>
            <w:pStyle w:val="Contents3"/>
            <w:tabs>
              <w:tab w:val="clear" w:pos="8459"/>
              <w:tab w:val="right" w:pos="9026" w:leader="dot"/>
            </w:tabs>
            <w:rPr/>
          </w:pPr>
          <w:hyperlink w:anchor="__RefHeading___Toc2464872_2870459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464874_2870459653">
            <w:r>
              <w:rPr>
                <w:webHidden/>
                <w:rStyle w:val="IndexLink"/>
                <w:rtl w:val="true"/>
              </w:rPr>
              <w:t>المبحث الأول</w:t>
            </w:r>
            <w:r>
              <w:rPr>
                <w:rStyle w:val="IndexLink"/>
                <w:rtl w:val="true"/>
              </w:rPr>
              <w:tab/>
            </w:r>
            <w:r>
              <w:rPr>
                <w:rStyle w:val="IndexLink"/>
              </w:rPr>
              <w:t>22</w:t>
            </w:r>
          </w:hyperlink>
        </w:p>
        <w:p>
          <w:pPr>
            <w:pStyle w:val="Contents3"/>
            <w:tabs>
              <w:tab w:val="clear" w:pos="8459"/>
              <w:tab w:val="right" w:pos="9026" w:leader="dot"/>
            </w:tabs>
            <w:rPr/>
          </w:pPr>
          <w:hyperlink w:anchor="__RefHeading___Toc2464876_2870459653">
            <w:r>
              <w:rPr>
                <w:webHidden/>
                <w:rStyle w:val="IndexLink"/>
                <w:rtl w:val="true"/>
              </w:rPr>
              <w:t>المبحث الثاني</w:t>
            </w:r>
            <w:r>
              <w:rPr>
                <w:rStyle w:val="IndexLink"/>
                <w:rtl w:val="true"/>
              </w:rPr>
              <w:tab/>
            </w:r>
            <w:r>
              <w:rPr>
                <w:rStyle w:val="IndexLink"/>
              </w:rPr>
              <w:t>41</w:t>
            </w:r>
          </w:hyperlink>
        </w:p>
        <w:p>
          <w:pPr>
            <w:pStyle w:val="Contents3"/>
            <w:tabs>
              <w:tab w:val="clear" w:pos="8459"/>
              <w:tab w:val="right" w:pos="9026" w:leader="dot"/>
            </w:tabs>
            <w:rPr/>
          </w:pPr>
          <w:hyperlink w:anchor="__RefHeading___Toc2464878_2870459653">
            <w:r>
              <w:rPr>
                <w:webHidden/>
                <w:rStyle w:val="IndexLink"/>
                <w:rtl w:val="true"/>
              </w:rPr>
              <w:t>المصادر</w:t>
            </w:r>
            <w:r>
              <w:rPr>
                <w:rStyle w:val="IndexLink"/>
                <w:rtl w:val="true"/>
              </w:rPr>
              <w:tab/>
            </w:r>
            <w:r>
              <w:rPr>
                <w:rStyle w:val="IndexLink"/>
              </w:rPr>
              <w:t>60</w:t>
            </w:r>
          </w:hyperlink>
        </w:p>
        <w:p>
          <w:pPr>
            <w:pStyle w:val="Contents2"/>
            <w:tabs>
              <w:tab w:val="clear" w:pos="8743"/>
              <w:tab w:val="right" w:pos="9026" w:leader="dot"/>
            </w:tabs>
            <w:rPr/>
          </w:pPr>
          <w:hyperlink w:anchor="__RefHeading___Toc2464880_2870459653">
            <w:r>
              <w:rPr>
                <w:webHidden/>
                <w:rStyle w:val="IndexLink"/>
                <w:rtl w:val="true"/>
              </w:rPr>
              <w:t>القتل العمد بين الفقه الإسلامي وقانون العقوبات العراقي</w:t>
            </w:r>
            <w:r>
              <w:rPr>
                <w:rStyle w:val="IndexLink"/>
                <w:rtl w:val="true"/>
              </w:rPr>
              <w:t>(</w:t>
            </w:r>
            <w:r>
              <w:rPr>
                <w:rStyle w:val="IndexLink"/>
                <w:rtl w:val="true"/>
              </w:rPr>
              <w:t>الحلقة الأولى</w:t>
            </w:r>
            <w:r>
              <w:rPr>
                <w:rStyle w:val="IndexLink"/>
                <w:rtl w:val="true"/>
              </w:rPr>
              <w:t xml:space="preserve">) - </w:t>
            </w:r>
            <w:r>
              <w:rPr>
                <w:rStyle w:val="IndexLink"/>
                <w:rtl w:val="true"/>
              </w:rPr>
              <w:t>الشيخ يحيى السعداوي</w:t>
            </w:r>
            <w:r>
              <w:rPr>
                <w:rStyle w:val="IndexLink"/>
                <w:rtl w:val="true"/>
              </w:rPr>
              <w:tab/>
            </w:r>
            <w:r>
              <w:rPr>
                <w:rStyle w:val="IndexLink"/>
              </w:rPr>
              <w:t>66</w:t>
            </w:r>
          </w:hyperlink>
        </w:p>
        <w:p>
          <w:pPr>
            <w:pStyle w:val="Contents3"/>
            <w:tabs>
              <w:tab w:val="clear" w:pos="8459"/>
              <w:tab w:val="right" w:pos="9026" w:leader="dot"/>
            </w:tabs>
            <w:rPr/>
          </w:pPr>
          <w:hyperlink w:anchor="__RefHeading___Toc2464882_2870459653">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2464884_2870459653">
            <w:r>
              <w:rPr>
                <w:webHidden/>
                <w:rStyle w:val="IndexLink"/>
                <w:rtl w:val="true"/>
              </w:rPr>
              <w:t>المقدمة</w:t>
            </w:r>
            <w:r>
              <w:rPr>
                <w:rStyle w:val="IndexLink"/>
                <w:rtl w:val="true"/>
              </w:rPr>
              <w:tab/>
            </w:r>
            <w:r>
              <w:rPr>
                <w:rStyle w:val="IndexLink"/>
              </w:rPr>
              <w:t>68</w:t>
            </w:r>
          </w:hyperlink>
        </w:p>
        <w:p>
          <w:pPr>
            <w:pStyle w:val="Contents3"/>
            <w:tabs>
              <w:tab w:val="clear" w:pos="8459"/>
              <w:tab w:val="right" w:pos="9026" w:leader="dot"/>
            </w:tabs>
            <w:rPr/>
          </w:pPr>
          <w:hyperlink w:anchor="__RefHeading___Toc2464886_2870459653">
            <w:r>
              <w:rPr>
                <w:webHidden/>
                <w:rStyle w:val="IndexLink"/>
                <w:rtl w:val="true"/>
              </w:rPr>
              <w:t>التمهيد</w:t>
            </w:r>
            <w:r>
              <w:rPr>
                <w:rStyle w:val="IndexLink"/>
                <w:rtl w:val="true"/>
              </w:rPr>
              <w:tab/>
            </w:r>
            <w:r>
              <w:rPr>
                <w:rStyle w:val="IndexLink"/>
              </w:rPr>
              <w:t>71</w:t>
            </w:r>
          </w:hyperlink>
        </w:p>
        <w:p>
          <w:pPr>
            <w:pStyle w:val="Contents4"/>
            <w:tabs>
              <w:tab w:val="clear" w:pos="8176"/>
              <w:tab w:val="right" w:pos="9026" w:leader="dot"/>
            </w:tabs>
            <w:rPr/>
          </w:pPr>
          <w:hyperlink w:anchor="__RefHeading___Toc2464888_2870459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464890_2870459653">
            <w:r>
              <w:rPr>
                <w:webHidden/>
                <w:rStyle w:val="IndexLink"/>
                <w:rtl w:val="true"/>
              </w:rPr>
              <w:t>أولاً</w:t>
            </w:r>
            <w:r>
              <w:rPr>
                <w:rStyle w:val="IndexLink"/>
                <w:rtl w:val="true"/>
              </w:rPr>
              <w:t>: (</w:t>
            </w:r>
            <w:r>
              <w:rPr>
                <w:rStyle w:val="IndexLink"/>
                <w:rtl w:val="true"/>
              </w:rPr>
              <w:t>القتل</w:t>
            </w:r>
            <w:r>
              <w:rPr>
                <w:rStyle w:val="IndexLink"/>
                <w:rtl w:val="true"/>
              </w:rPr>
              <w:t xml:space="preserve">) </w:t>
            </w:r>
            <w:r>
              <w:rPr>
                <w:rStyle w:val="IndexLink"/>
                <w:rtl w:val="true"/>
              </w:rPr>
              <w:t>لغة واصطلاحاً</w:t>
            </w:r>
            <w:r>
              <w:rPr>
                <w:rStyle w:val="IndexLink"/>
                <w:rtl w:val="true"/>
              </w:rPr>
              <w:tab/>
            </w:r>
            <w:r>
              <w:rPr>
                <w:rStyle w:val="IndexLink"/>
              </w:rPr>
              <w:t>71</w:t>
            </w:r>
          </w:hyperlink>
        </w:p>
        <w:p>
          <w:pPr>
            <w:pStyle w:val="Contents5"/>
            <w:tabs>
              <w:tab w:val="clear" w:pos="7892"/>
              <w:tab w:val="right" w:pos="9026" w:leader="dot"/>
            </w:tabs>
            <w:rPr/>
          </w:pPr>
          <w:hyperlink w:anchor="__RefHeading___Toc2464892_2870459653">
            <w:r>
              <w:rPr>
                <w:webHidden/>
                <w:rStyle w:val="IndexLink"/>
              </w:rPr>
              <w:t>1</w:t>
            </w:r>
            <w:r>
              <w:rPr>
                <w:rStyle w:val="IndexLink"/>
                <w:rtl w:val="true"/>
              </w:rPr>
              <w:t xml:space="preserve">- </w:t>
            </w:r>
            <w:r>
              <w:rPr>
                <w:rStyle w:val="IndexLink"/>
                <w:rtl w:val="true"/>
              </w:rPr>
              <w:t xml:space="preserve">القتل </w:t>
            </w:r>
            <w:r>
              <w:rPr>
                <w:rStyle w:val="IndexLink"/>
                <w:rtl w:val="true"/>
              </w:rPr>
              <w:t>(</w:t>
            </w:r>
            <w:r>
              <w:rPr>
                <w:rStyle w:val="IndexLink"/>
                <w:rtl w:val="true"/>
              </w:rPr>
              <w:t>لغة</w:t>
            </w:r>
            <w:r>
              <w:rPr>
                <w:rStyle w:val="IndexLink"/>
                <w:rtl w:val="true"/>
              </w:rPr>
              <w:t>)</w:t>
              <w:tab/>
            </w:r>
            <w:r>
              <w:rPr>
                <w:rStyle w:val="IndexLink"/>
              </w:rPr>
              <w:t>71</w:t>
            </w:r>
          </w:hyperlink>
        </w:p>
        <w:p>
          <w:pPr>
            <w:pStyle w:val="Contents5"/>
            <w:tabs>
              <w:tab w:val="clear" w:pos="7892"/>
              <w:tab w:val="right" w:pos="9026" w:leader="dot"/>
            </w:tabs>
            <w:rPr/>
          </w:pPr>
          <w:hyperlink w:anchor="__RefHeading___Toc2464894_2870459653">
            <w:r>
              <w:rPr>
                <w:webHidden/>
                <w:rStyle w:val="IndexLink"/>
              </w:rPr>
              <w:t>2</w:t>
            </w:r>
            <w:r>
              <w:rPr>
                <w:rStyle w:val="IndexLink"/>
                <w:rtl w:val="true"/>
              </w:rPr>
              <w:t xml:space="preserve">- </w:t>
            </w:r>
            <w:r>
              <w:rPr>
                <w:rStyle w:val="IndexLink"/>
                <w:rtl w:val="true"/>
              </w:rPr>
              <w:t xml:space="preserve">القتل </w:t>
            </w:r>
            <w:r>
              <w:rPr>
                <w:rStyle w:val="IndexLink"/>
                <w:rtl w:val="true"/>
              </w:rPr>
              <w:t>(</w:t>
            </w:r>
            <w:r>
              <w:rPr>
                <w:rStyle w:val="IndexLink"/>
                <w:rtl w:val="true"/>
              </w:rPr>
              <w:t>اصطلاحاً</w:t>
            </w:r>
            <w:r>
              <w:rPr>
                <w:rStyle w:val="IndexLink"/>
                <w:rtl w:val="true"/>
              </w:rPr>
              <w:t>)</w:t>
              <w:tab/>
            </w:r>
            <w:r>
              <w:rPr>
                <w:rStyle w:val="IndexLink"/>
              </w:rPr>
              <w:t>72</w:t>
            </w:r>
          </w:hyperlink>
        </w:p>
        <w:p>
          <w:pPr>
            <w:pStyle w:val="Contents4"/>
            <w:tabs>
              <w:tab w:val="clear" w:pos="8176"/>
              <w:tab w:val="right" w:pos="9026" w:leader="dot"/>
            </w:tabs>
            <w:rPr/>
          </w:pPr>
          <w:hyperlink w:anchor="__RefHeading___Toc2464896_2870459653">
            <w:r>
              <w:rPr>
                <w:webHidden/>
                <w:rStyle w:val="IndexLink"/>
                <w:rtl w:val="true"/>
              </w:rPr>
              <w:t>ثانياً</w:t>
            </w:r>
            <w:r>
              <w:rPr>
                <w:rStyle w:val="IndexLink"/>
                <w:rtl w:val="true"/>
              </w:rPr>
              <w:t>: (</w:t>
            </w:r>
            <w:r>
              <w:rPr>
                <w:rStyle w:val="IndexLink"/>
                <w:rtl w:val="true"/>
              </w:rPr>
              <w:t>العمد</w:t>
            </w:r>
            <w:r>
              <w:rPr>
                <w:rStyle w:val="IndexLink"/>
                <w:rtl w:val="true"/>
              </w:rPr>
              <w:t xml:space="preserve">) </w:t>
            </w:r>
            <w:r>
              <w:rPr>
                <w:rStyle w:val="IndexLink"/>
                <w:rtl w:val="true"/>
              </w:rPr>
              <w:t>لغة واصطلاحاً</w:t>
            </w:r>
            <w:r>
              <w:rPr>
                <w:rStyle w:val="IndexLink"/>
                <w:rtl w:val="true"/>
              </w:rPr>
              <w:tab/>
            </w:r>
            <w:r>
              <w:rPr>
                <w:rStyle w:val="IndexLink"/>
              </w:rPr>
              <w:t>75</w:t>
            </w:r>
          </w:hyperlink>
        </w:p>
        <w:p>
          <w:pPr>
            <w:pStyle w:val="Contents5"/>
            <w:tabs>
              <w:tab w:val="clear" w:pos="7892"/>
              <w:tab w:val="right" w:pos="9026" w:leader="dot"/>
            </w:tabs>
            <w:rPr/>
          </w:pPr>
          <w:hyperlink w:anchor="__RefHeading___Toc2464898_2870459653">
            <w:r>
              <w:rPr>
                <w:webHidden/>
                <w:rStyle w:val="IndexLink"/>
              </w:rPr>
              <w:t>1</w:t>
            </w:r>
            <w:r>
              <w:rPr>
                <w:rStyle w:val="IndexLink"/>
                <w:rtl w:val="true"/>
              </w:rPr>
              <w:t xml:space="preserve">- </w:t>
            </w:r>
            <w:r>
              <w:rPr>
                <w:rStyle w:val="IndexLink"/>
                <w:rtl w:val="true"/>
              </w:rPr>
              <w:t xml:space="preserve">العمد </w:t>
            </w:r>
            <w:r>
              <w:rPr>
                <w:rStyle w:val="IndexLink"/>
                <w:rtl w:val="true"/>
              </w:rPr>
              <w:t>(</w:t>
            </w:r>
            <w:r>
              <w:rPr>
                <w:rStyle w:val="IndexLink"/>
                <w:rtl w:val="true"/>
              </w:rPr>
              <w:t>لغة</w:t>
            </w:r>
            <w:r>
              <w:rPr>
                <w:rStyle w:val="IndexLink"/>
                <w:rtl w:val="true"/>
              </w:rPr>
              <w:t>)</w:t>
              <w:tab/>
            </w:r>
            <w:r>
              <w:rPr>
                <w:rStyle w:val="IndexLink"/>
              </w:rPr>
              <w:t>75</w:t>
            </w:r>
          </w:hyperlink>
        </w:p>
        <w:p>
          <w:pPr>
            <w:pStyle w:val="Contents5"/>
            <w:tabs>
              <w:tab w:val="clear" w:pos="7892"/>
              <w:tab w:val="right" w:pos="9026" w:leader="dot"/>
            </w:tabs>
            <w:rPr/>
          </w:pPr>
          <w:hyperlink w:anchor="__RefHeading___Toc2464900_2870459653">
            <w:r>
              <w:rPr>
                <w:webHidden/>
                <w:rStyle w:val="IndexLink"/>
              </w:rPr>
              <w:t>2</w:t>
            </w:r>
            <w:r>
              <w:rPr>
                <w:rStyle w:val="IndexLink"/>
                <w:rtl w:val="true"/>
              </w:rPr>
              <w:t xml:space="preserve">- </w:t>
            </w:r>
            <w:r>
              <w:rPr>
                <w:rStyle w:val="IndexLink"/>
                <w:rtl w:val="true"/>
              </w:rPr>
              <w:t xml:space="preserve">العمد </w:t>
            </w:r>
            <w:r>
              <w:rPr>
                <w:rStyle w:val="IndexLink"/>
                <w:rtl w:val="true"/>
              </w:rPr>
              <w:t>(</w:t>
            </w:r>
            <w:r>
              <w:rPr>
                <w:rStyle w:val="IndexLink"/>
                <w:rtl w:val="true"/>
              </w:rPr>
              <w:t>اصطلاحاً</w:t>
            </w:r>
            <w:r>
              <w:rPr>
                <w:rStyle w:val="IndexLink"/>
                <w:rtl w:val="true"/>
              </w:rPr>
              <w:t>)</w:t>
              <w:tab/>
            </w:r>
            <w:r>
              <w:rPr>
                <w:rStyle w:val="IndexLink"/>
              </w:rPr>
              <w:t>75</w:t>
            </w:r>
          </w:hyperlink>
        </w:p>
        <w:p>
          <w:pPr>
            <w:pStyle w:val="Contents6"/>
            <w:tabs>
              <w:tab w:val="clear" w:pos="7609"/>
              <w:tab w:val="right" w:pos="9026" w:leader="dot"/>
            </w:tabs>
            <w:rPr/>
          </w:pPr>
          <w:hyperlink w:anchor="__RefHeading___Toc2464902_2870459653">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2464904_2870459653">
            <w:r>
              <w:rPr>
                <w:webHidden/>
                <w:rStyle w:val="IndexLink"/>
                <w:rtl w:val="true"/>
              </w:rPr>
              <w:t>أ</w:t>
            </w:r>
            <w:r>
              <w:rPr>
                <w:rStyle w:val="IndexLink"/>
                <w:rtl w:val="true"/>
              </w:rPr>
              <w:t xml:space="preserve">- </w:t>
            </w:r>
            <w:r>
              <w:rPr>
                <w:rStyle w:val="IndexLink"/>
                <w:rtl w:val="true"/>
              </w:rPr>
              <w:t>العمد في المصطلح الفقهي</w:t>
            </w:r>
            <w:r>
              <w:rPr>
                <w:rStyle w:val="IndexLink"/>
                <w:rtl w:val="true"/>
              </w:rPr>
              <w:tab/>
            </w:r>
            <w:r>
              <w:rPr>
                <w:rStyle w:val="IndexLink"/>
              </w:rPr>
              <w:t>75</w:t>
            </w:r>
          </w:hyperlink>
        </w:p>
        <w:p>
          <w:pPr>
            <w:pStyle w:val="Contents6"/>
            <w:tabs>
              <w:tab w:val="clear" w:pos="7609"/>
              <w:tab w:val="right" w:pos="9026" w:leader="dot"/>
            </w:tabs>
            <w:rPr/>
          </w:pPr>
          <w:hyperlink w:anchor="__RefHeading___Toc2464906_2870459653">
            <w:r>
              <w:rPr>
                <w:webHidden/>
                <w:rStyle w:val="IndexLink"/>
                <w:rtl w:val="true"/>
              </w:rPr>
              <w:t>ب</w:t>
            </w:r>
            <w:r>
              <w:rPr>
                <w:rStyle w:val="IndexLink"/>
                <w:rtl w:val="true"/>
              </w:rPr>
              <w:t xml:space="preserve">- </w:t>
            </w:r>
            <w:r>
              <w:rPr>
                <w:rStyle w:val="IndexLink"/>
                <w:rtl w:val="true"/>
              </w:rPr>
              <w:t>العمد في المصطلح القانوني</w:t>
            </w:r>
            <w:r>
              <w:rPr>
                <w:rStyle w:val="IndexLink"/>
                <w:rtl w:val="true"/>
              </w:rPr>
              <w:tab/>
            </w:r>
            <w:r>
              <w:rPr>
                <w:rStyle w:val="IndexLink"/>
              </w:rPr>
              <w:t>77</w:t>
            </w:r>
          </w:hyperlink>
        </w:p>
        <w:p>
          <w:pPr>
            <w:pStyle w:val="Contents4"/>
            <w:tabs>
              <w:tab w:val="clear" w:pos="8176"/>
              <w:tab w:val="right" w:pos="9026" w:leader="dot"/>
            </w:tabs>
            <w:rPr/>
          </w:pPr>
          <w:hyperlink w:anchor="__RefHeading___Toc2464908_2870459653">
            <w:r>
              <w:rPr>
                <w:webHidden/>
                <w:rStyle w:val="IndexLink"/>
                <w:rtl w:val="true"/>
              </w:rPr>
              <w:t>ثالثاً</w:t>
            </w:r>
            <w:r>
              <w:rPr>
                <w:rStyle w:val="IndexLink"/>
                <w:rtl w:val="true"/>
              </w:rPr>
              <w:t>: (</w:t>
            </w:r>
            <w:r>
              <w:rPr>
                <w:rStyle w:val="IndexLink"/>
                <w:rtl w:val="true"/>
              </w:rPr>
              <w:t>القتل العمد</w:t>
            </w:r>
            <w:r>
              <w:rPr>
                <w:rStyle w:val="IndexLink"/>
                <w:rtl w:val="true"/>
              </w:rPr>
              <w:t xml:space="preserve">) </w:t>
            </w:r>
            <w:r>
              <w:rPr>
                <w:rStyle w:val="IndexLink"/>
                <w:rtl w:val="true"/>
              </w:rPr>
              <w:t>لغة واصطلاحاً</w:t>
            </w:r>
            <w:r>
              <w:rPr>
                <w:rStyle w:val="IndexLink"/>
                <w:rtl w:val="true"/>
              </w:rPr>
              <w:tab/>
            </w:r>
            <w:r>
              <w:rPr>
                <w:rStyle w:val="IndexLink"/>
              </w:rPr>
              <w:t>79</w:t>
            </w:r>
          </w:hyperlink>
        </w:p>
        <w:p>
          <w:pPr>
            <w:pStyle w:val="Contents5"/>
            <w:tabs>
              <w:tab w:val="clear" w:pos="7892"/>
              <w:tab w:val="right" w:pos="9026" w:leader="dot"/>
            </w:tabs>
            <w:rPr/>
          </w:pPr>
          <w:hyperlink w:anchor="__RefHeading___Toc2464910_2870459653">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2464912_2870459653">
            <w:r>
              <w:rPr>
                <w:webHidden/>
                <w:rStyle w:val="IndexLink"/>
              </w:rPr>
              <w:t>1</w:t>
            </w:r>
            <w:r>
              <w:rPr>
                <w:rStyle w:val="IndexLink"/>
                <w:rtl w:val="true"/>
              </w:rPr>
              <w:t>- (</w:t>
            </w:r>
            <w:r>
              <w:rPr>
                <w:rStyle w:val="IndexLink"/>
                <w:rtl w:val="true"/>
              </w:rPr>
              <w:t>القتل العمد</w:t>
            </w:r>
            <w:r>
              <w:rPr>
                <w:rStyle w:val="IndexLink"/>
                <w:rtl w:val="true"/>
              </w:rPr>
              <w:t xml:space="preserve">) </w:t>
            </w:r>
            <w:r>
              <w:rPr>
                <w:rStyle w:val="IndexLink"/>
                <w:rtl w:val="true"/>
              </w:rPr>
              <w:t>في اللغة</w:t>
            </w:r>
            <w:r>
              <w:rPr>
                <w:rStyle w:val="IndexLink"/>
                <w:rtl w:val="true"/>
              </w:rPr>
              <w:tab/>
            </w:r>
            <w:r>
              <w:rPr>
                <w:rStyle w:val="IndexLink"/>
              </w:rPr>
              <w:t>80</w:t>
            </w:r>
          </w:hyperlink>
        </w:p>
        <w:p>
          <w:pPr>
            <w:pStyle w:val="Contents5"/>
            <w:tabs>
              <w:tab w:val="clear" w:pos="7892"/>
              <w:tab w:val="right" w:pos="9026" w:leader="dot"/>
            </w:tabs>
            <w:rPr/>
          </w:pPr>
          <w:hyperlink w:anchor="__RefHeading___Toc2464914_2870459653">
            <w:r>
              <w:rPr>
                <w:webHidden/>
                <w:rStyle w:val="IndexLink"/>
              </w:rPr>
              <w:t>2</w:t>
            </w:r>
            <w:r>
              <w:rPr>
                <w:rStyle w:val="IndexLink"/>
                <w:rtl w:val="true"/>
              </w:rPr>
              <w:t>- (</w:t>
            </w:r>
            <w:r>
              <w:rPr>
                <w:rStyle w:val="IndexLink"/>
                <w:rtl w:val="true"/>
              </w:rPr>
              <w:t>القتل العمد</w:t>
            </w:r>
            <w:r>
              <w:rPr>
                <w:rStyle w:val="IndexLink"/>
                <w:rtl w:val="true"/>
              </w:rPr>
              <w:t xml:space="preserve">) </w:t>
            </w:r>
            <w:r>
              <w:rPr>
                <w:rStyle w:val="IndexLink"/>
                <w:rtl w:val="true"/>
              </w:rPr>
              <w:t>في الاصطلاح الفقهي</w:t>
            </w:r>
            <w:r>
              <w:rPr>
                <w:rStyle w:val="IndexLink"/>
                <w:rtl w:val="true"/>
              </w:rPr>
              <w:tab/>
            </w:r>
            <w:r>
              <w:rPr>
                <w:rStyle w:val="IndexLink"/>
              </w:rPr>
              <w:t>80</w:t>
            </w:r>
          </w:hyperlink>
        </w:p>
        <w:p>
          <w:pPr>
            <w:pStyle w:val="Contents6"/>
            <w:tabs>
              <w:tab w:val="clear" w:pos="7609"/>
              <w:tab w:val="right" w:pos="9026" w:leader="dot"/>
            </w:tabs>
            <w:rPr/>
          </w:pPr>
          <w:hyperlink w:anchor="__RefHeading___Toc2464916_2870459653">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2464918_2870459653">
            <w:r>
              <w:rPr>
                <w:webHidden/>
                <w:rStyle w:val="IndexLink"/>
                <w:rtl w:val="true"/>
              </w:rPr>
              <w:t>أ</w:t>
            </w:r>
            <w:r>
              <w:rPr>
                <w:rStyle w:val="IndexLink"/>
                <w:rtl w:val="true"/>
              </w:rPr>
              <w:t xml:space="preserve">- </w:t>
            </w:r>
            <w:r>
              <w:rPr>
                <w:rStyle w:val="IndexLink"/>
                <w:rtl w:val="true"/>
              </w:rPr>
              <w:t>ما عند الإمامية</w:t>
            </w:r>
            <w:r>
              <w:rPr>
                <w:rStyle w:val="IndexLink"/>
                <w:rtl w:val="true"/>
              </w:rPr>
              <w:tab/>
            </w:r>
            <w:r>
              <w:rPr>
                <w:rStyle w:val="IndexLink"/>
              </w:rPr>
              <w:t>81</w:t>
            </w:r>
          </w:hyperlink>
        </w:p>
        <w:p>
          <w:pPr>
            <w:pStyle w:val="Contents6"/>
            <w:tabs>
              <w:tab w:val="clear" w:pos="7609"/>
              <w:tab w:val="right" w:pos="9026" w:leader="dot"/>
            </w:tabs>
            <w:rPr/>
          </w:pPr>
          <w:hyperlink w:anchor="__RefHeading___Toc2464920_2870459653">
            <w:r>
              <w:rPr>
                <w:webHidden/>
                <w:rStyle w:val="IndexLink"/>
                <w:rtl w:val="true"/>
              </w:rPr>
              <w:t>ب</w:t>
            </w:r>
            <w:r>
              <w:rPr>
                <w:rStyle w:val="IndexLink"/>
                <w:rtl w:val="true"/>
              </w:rPr>
              <w:t xml:space="preserve">- </w:t>
            </w:r>
            <w:r>
              <w:rPr>
                <w:rStyle w:val="IndexLink"/>
                <w:rtl w:val="true"/>
              </w:rPr>
              <w:t>ما عند المذاهب الأخرى</w:t>
            </w:r>
            <w:r>
              <w:rPr>
                <w:rStyle w:val="IndexLink"/>
                <w:rtl w:val="true"/>
              </w:rPr>
              <w:tab/>
            </w:r>
            <w:r>
              <w:rPr>
                <w:rStyle w:val="IndexLink"/>
              </w:rPr>
              <w:t>82</w:t>
            </w:r>
          </w:hyperlink>
        </w:p>
        <w:p>
          <w:pPr>
            <w:pStyle w:val="Contents5"/>
            <w:tabs>
              <w:tab w:val="clear" w:pos="7892"/>
              <w:tab w:val="right" w:pos="9026" w:leader="dot"/>
            </w:tabs>
            <w:rPr/>
          </w:pPr>
          <w:hyperlink w:anchor="__RefHeading___Toc2464922_2870459653">
            <w:r>
              <w:rPr>
                <w:webHidden/>
                <w:rStyle w:val="IndexLink"/>
              </w:rPr>
              <w:t>3</w:t>
            </w:r>
            <w:r>
              <w:rPr>
                <w:rStyle w:val="IndexLink"/>
                <w:rtl w:val="true"/>
              </w:rPr>
              <w:t xml:space="preserve">- </w:t>
            </w:r>
            <w:r>
              <w:rPr>
                <w:rStyle w:val="IndexLink"/>
                <w:rtl w:val="true"/>
              </w:rPr>
              <w:t>القتل العمد في الاصطلاح القانوني</w:t>
            </w:r>
            <w:r>
              <w:rPr>
                <w:rStyle w:val="IndexLink"/>
                <w:rtl w:val="true"/>
              </w:rPr>
              <w:tab/>
            </w:r>
            <w:r>
              <w:rPr>
                <w:rStyle w:val="IndexLink"/>
              </w:rPr>
              <w:t>83</w:t>
            </w:r>
          </w:hyperlink>
        </w:p>
        <w:p>
          <w:pPr>
            <w:pStyle w:val="Contents3"/>
            <w:tabs>
              <w:tab w:val="clear" w:pos="8459"/>
              <w:tab w:val="right" w:pos="9026" w:leader="dot"/>
            </w:tabs>
            <w:rPr/>
          </w:pPr>
          <w:hyperlink w:anchor="__RefHeading___Toc2464924_2870459653">
            <w:r>
              <w:rPr>
                <w:webHidden/>
                <w:rStyle w:val="IndexLink"/>
                <w:rtl w:val="true"/>
              </w:rPr>
              <w:t>الفصل الأول</w:t>
            </w:r>
            <w:r>
              <w:rPr>
                <w:rStyle w:val="IndexLink"/>
                <w:rtl w:val="true"/>
              </w:rPr>
              <w:t xml:space="preserve">: </w:t>
            </w:r>
            <w:r>
              <w:rPr>
                <w:rStyle w:val="IndexLink"/>
                <w:rtl w:val="true"/>
              </w:rPr>
              <w:t>القتل العمد وعقوبته في المذاهب الفقهية الإسلامية</w:t>
            </w:r>
            <w:r>
              <w:rPr>
                <w:rStyle w:val="IndexLink"/>
                <w:rtl w:val="true"/>
              </w:rPr>
              <w:tab/>
            </w:r>
            <w:r>
              <w:rPr>
                <w:rStyle w:val="IndexLink"/>
              </w:rPr>
              <w:t>85</w:t>
            </w:r>
          </w:hyperlink>
        </w:p>
        <w:p>
          <w:pPr>
            <w:pStyle w:val="Contents4"/>
            <w:tabs>
              <w:tab w:val="clear" w:pos="8176"/>
              <w:tab w:val="right" w:pos="9026" w:leader="dot"/>
            </w:tabs>
            <w:rPr/>
          </w:pPr>
          <w:hyperlink w:anchor="__RefHeading___Toc2464926_2870459653">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2464928_2870459653">
            <w:r>
              <w:rPr>
                <w:webHidden/>
                <w:rStyle w:val="IndexLink"/>
                <w:rtl w:val="true"/>
              </w:rPr>
              <w:t>المبحث الأول</w:t>
            </w:r>
            <w:r>
              <w:rPr>
                <w:rStyle w:val="IndexLink"/>
                <w:rtl w:val="true"/>
              </w:rPr>
              <w:tab/>
            </w:r>
            <w:r>
              <w:rPr>
                <w:rStyle w:val="IndexLink"/>
              </w:rPr>
              <w:t>86</w:t>
            </w:r>
          </w:hyperlink>
        </w:p>
        <w:p>
          <w:pPr>
            <w:pStyle w:val="Contents5"/>
            <w:tabs>
              <w:tab w:val="clear" w:pos="7892"/>
              <w:tab w:val="right" w:pos="9026" w:leader="dot"/>
            </w:tabs>
            <w:rPr/>
          </w:pPr>
          <w:hyperlink w:anchor="__RefHeading___Toc2464930_2870459653">
            <w:r>
              <w:rPr>
                <w:webHidden/>
                <w:rStyle w:val="IndexLink"/>
                <w:rtl w:val="true"/>
              </w:rPr>
              <w:t>أولاً</w:t>
            </w:r>
            <w:r>
              <w:rPr>
                <w:rStyle w:val="IndexLink"/>
                <w:rtl w:val="true"/>
              </w:rPr>
              <w:t xml:space="preserve">: </w:t>
            </w:r>
            <w:r>
              <w:rPr>
                <w:rStyle w:val="IndexLink"/>
                <w:rtl w:val="true"/>
              </w:rPr>
              <w:t>أنواع القتل عند المذاهب الإسلامية</w:t>
            </w:r>
            <w:r>
              <w:rPr>
                <w:rStyle w:val="IndexLink"/>
                <w:rtl w:val="true"/>
              </w:rPr>
              <w:tab/>
            </w:r>
            <w:r>
              <w:rPr>
                <w:rStyle w:val="IndexLink"/>
              </w:rPr>
              <w:t>86</w:t>
            </w:r>
          </w:hyperlink>
        </w:p>
        <w:p>
          <w:pPr>
            <w:pStyle w:val="Contents5"/>
            <w:tabs>
              <w:tab w:val="clear" w:pos="7892"/>
              <w:tab w:val="right" w:pos="9026" w:leader="dot"/>
            </w:tabs>
            <w:rPr/>
          </w:pPr>
          <w:hyperlink w:anchor="__RefHeading___Toc2464932_2870459653">
            <w:r>
              <w:rPr>
                <w:webHidden/>
                <w:rStyle w:val="IndexLink"/>
                <w:rtl w:val="true"/>
              </w:rPr>
              <w:t>ثانياً</w:t>
            </w:r>
            <w:r>
              <w:rPr>
                <w:rStyle w:val="IndexLink"/>
                <w:rtl w:val="true"/>
              </w:rPr>
              <w:t xml:space="preserve">: </w:t>
            </w:r>
            <w:r>
              <w:rPr>
                <w:rStyle w:val="IndexLink"/>
                <w:rtl w:val="true"/>
              </w:rPr>
              <w:t>تقسيمات القتل المحرم وهو القتل بغير حق</w:t>
            </w:r>
            <w:r>
              <w:rPr>
                <w:rStyle w:val="IndexLink"/>
                <w:rtl w:val="true"/>
              </w:rPr>
              <w:tab/>
            </w:r>
            <w:r>
              <w:rPr>
                <w:rStyle w:val="IndexLink"/>
              </w:rPr>
              <w:t>87</w:t>
            </w:r>
          </w:hyperlink>
        </w:p>
        <w:p>
          <w:pPr>
            <w:pStyle w:val="Contents5"/>
            <w:tabs>
              <w:tab w:val="clear" w:pos="7892"/>
              <w:tab w:val="right" w:pos="9026" w:leader="dot"/>
            </w:tabs>
            <w:rPr/>
          </w:pPr>
          <w:hyperlink w:anchor="__RefHeading___Toc2464934_2870459653">
            <w:r>
              <w:rPr>
                <w:webHidden/>
                <w:rStyle w:val="IndexLink"/>
                <w:rtl w:val="true"/>
              </w:rPr>
              <w:t>ثالثاً</w:t>
            </w:r>
            <w:r>
              <w:rPr>
                <w:rStyle w:val="IndexLink"/>
                <w:rtl w:val="true"/>
              </w:rPr>
              <w:t xml:space="preserve">: </w:t>
            </w:r>
            <w:r>
              <w:rPr>
                <w:rStyle w:val="IndexLink"/>
                <w:rtl w:val="true"/>
              </w:rPr>
              <w:t>توضيح تعريف القتل العمد عند المذاهب الفقهية الإسلامية</w:t>
            </w:r>
            <w:r>
              <w:rPr>
                <w:rStyle w:val="IndexLink"/>
                <w:rtl w:val="true"/>
              </w:rPr>
              <w:tab/>
            </w:r>
            <w:r>
              <w:rPr>
                <w:rStyle w:val="IndexLink"/>
              </w:rPr>
              <w:t>88</w:t>
            </w:r>
          </w:hyperlink>
        </w:p>
        <w:p>
          <w:pPr>
            <w:pStyle w:val="Contents4"/>
            <w:tabs>
              <w:tab w:val="clear" w:pos="8176"/>
              <w:tab w:val="right" w:pos="9026" w:leader="dot"/>
            </w:tabs>
            <w:rPr/>
          </w:pPr>
          <w:hyperlink w:anchor="__RefHeading___Toc2464936_2870459653">
            <w:r>
              <w:rPr>
                <w:webHidden/>
                <w:rStyle w:val="IndexLink"/>
                <w:rtl w:val="true"/>
              </w:rPr>
              <w:t>المبحث الثاني</w:t>
            </w:r>
            <w:r>
              <w:rPr>
                <w:rStyle w:val="IndexLink"/>
                <w:rtl w:val="true"/>
              </w:rPr>
              <w:tab/>
            </w:r>
            <w:r>
              <w:rPr>
                <w:rStyle w:val="IndexLink"/>
              </w:rPr>
              <w:t>112</w:t>
            </w:r>
          </w:hyperlink>
        </w:p>
        <w:p>
          <w:pPr>
            <w:pStyle w:val="Contents5"/>
            <w:tabs>
              <w:tab w:val="clear" w:pos="7892"/>
              <w:tab w:val="right" w:pos="9026" w:leader="dot"/>
            </w:tabs>
            <w:rPr/>
          </w:pPr>
          <w:hyperlink w:anchor="__RefHeading___Toc2464938_2870459653">
            <w:r>
              <w:rPr>
                <w:webHidden/>
                <w:rStyle w:val="IndexLink"/>
                <w:rtl w:val="true"/>
              </w:rPr>
              <w:t>أولاً</w:t>
            </w:r>
            <w:r>
              <w:rPr>
                <w:rStyle w:val="IndexLink"/>
                <w:rtl w:val="true"/>
              </w:rPr>
              <w:t xml:space="preserve">: </w:t>
            </w:r>
            <w:r>
              <w:rPr>
                <w:rStyle w:val="IndexLink"/>
                <w:rtl w:val="true"/>
              </w:rPr>
              <w:t>أركان القتل العمد عند المذاهب الإسلامية</w:t>
            </w:r>
            <w:r>
              <w:rPr>
                <w:rStyle w:val="IndexLink"/>
                <w:rtl w:val="true"/>
              </w:rPr>
              <w:tab/>
            </w:r>
            <w:r>
              <w:rPr>
                <w:rStyle w:val="IndexLink"/>
              </w:rPr>
              <w:t>112</w:t>
            </w:r>
          </w:hyperlink>
        </w:p>
        <w:p>
          <w:pPr>
            <w:pStyle w:val="Contents5"/>
            <w:tabs>
              <w:tab w:val="clear" w:pos="7892"/>
              <w:tab w:val="right" w:pos="9026" w:leader="dot"/>
            </w:tabs>
            <w:rPr/>
          </w:pPr>
          <w:hyperlink w:anchor="__RefHeading___Toc2464940_2870459653">
            <w:r>
              <w:rPr>
                <w:webHidden/>
                <w:rStyle w:val="IndexLink"/>
                <w:rtl w:val="true"/>
              </w:rPr>
              <w:t>ثانياً</w:t>
            </w:r>
            <w:r>
              <w:rPr>
                <w:rStyle w:val="IndexLink"/>
                <w:rtl w:val="true"/>
              </w:rPr>
              <w:t xml:space="preserve">: </w:t>
            </w:r>
            <w:r>
              <w:rPr>
                <w:rStyle w:val="IndexLink"/>
                <w:rtl w:val="true"/>
              </w:rPr>
              <w:t>مصاديق القتل وتطبيقاته عند المذاهب الإسلامية</w:t>
            </w:r>
            <w:r>
              <w:rPr>
                <w:rStyle w:val="IndexLink"/>
                <w:rtl w:val="true"/>
              </w:rPr>
              <w:tab/>
            </w:r>
            <w:r>
              <w:rPr>
                <w:rStyle w:val="IndexLink"/>
              </w:rPr>
              <w:t>113</w:t>
            </w:r>
          </w:hyperlink>
        </w:p>
        <w:p>
          <w:pPr>
            <w:pStyle w:val="Contents6"/>
            <w:tabs>
              <w:tab w:val="clear" w:pos="7609"/>
              <w:tab w:val="right" w:pos="9026" w:leader="dot"/>
            </w:tabs>
            <w:rPr/>
          </w:pPr>
          <w:hyperlink w:anchor="__RefHeading___Toc2464942_2870459653">
            <w:r>
              <w:rPr>
                <w:webHidden/>
                <w:rStyle w:val="IndexLink"/>
              </w:rPr>
              <w:t>1</w:t>
            </w:r>
            <w:r>
              <w:rPr>
                <w:rStyle w:val="IndexLink"/>
                <w:rtl w:val="true"/>
              </w:rPr>
              <w:t xml:space="preserve">- </w:t>
            </w:r>
            <w:r>
              <w:rPr>
                <w:rStyle w:val="IndexLink"/>
                <w:rtl w:val="true"/>
              </w:rPr>
              <w:t>القتل بالمحدد والمحدد</w:t>
            </w:r>
            <w:r>
              <w:rPr>
                <w:rStyle w:val="IndexLink"/>
                <w:rtl w:val="true"/>
              </w:rPr>
              <w:tab/>
            </w:r>
            <w:r>
              <w:rPr>
                <w:rStyle w:val="IndexLink"/>
              </w:rPr>
              <w:t>113</w:t>
            </w:r>
          </w:hyperlink>
        </w:p>
        <w:p>
          <w:pPr>
            <w:pStyle w:val="Contents6"/>
            <w:tabs>
              <w:tab w:val="clear" w:pos="7609"/>
              <w:tab w:val="right" w:pos="9026" w:leader="dot"/>
            </w:tabs>
            <w:rPr/>
          </w:pPr>
          <w:hyperlink w:anchor="__RefHeading___Toc2464944_2870459653">
            <w:r>
              <w:rPr>
                <w:webHidden/>
                <w:rStyle w:val="IndexLink"/>
              </w:rPr>
              <w:t>2</w:t>
            </w:r>
            <w:r>
              <w:rPr>
                <w:rStyle w:val="IndexLink"/>
                <w:rtl w:val="true"/>
              </w:rPr>
              <w:t xml:space="preserve">- </w:t>
            </w:r>
            <w:r>
              <w:rPr>
                <w:rStyle w:val="IndexLink"/>
                <w:rtl w:val="true"/>
              </w:rPr>
              <w:t>القتل بالمثقل</w:t>
            </w:r>
            <w:r>
              <w:rPr>
                <w:rStyle w:val="IndexLink"/>
                <w:rtl w:val="true"/>
              </w:rPr>
              <w:tab/>
            </w:r>
            <w:r>
              <w:rPr>
                <w:rStyle w:val="IndexLink"/>
              </w:rPr>
              <w:t>114</w:t>
            </w:r>
          </w:hyperlink>
        </w:p>
        <w:p>
          <w:pPr>
            <w:pStyle w:val="Contents6"/>
            <w:tabs>
              <w:tab w:val="clear" w:pos="7609"/>
              <w:tab w:val="right" w:pos="9026" w:leader="dot"/>
            </w:tabs>
            <w:rPr/>
          </w:pPr>
          <w:hyperlink w:anchor="__RefHeading___Toc2464946_2870459653">
            <w:r>
              <w:rPr>
                <w:webHidden/>
                <w:rStyle w:val="IndexLink"/>
              </w:rPr>
              <w:t>3</w:t>
            </w:r>
            <w:r>
              <w:rPr>
                <w:rStyle w:val="IndexLink"/>
                <w:rtl w:val="true"/>
              </w:rPr>
              <w:t xml:space="preserve">- </w:t>
            </w:r>
            <w:r>
              <w:rPr>
                <w:rStyle w:val="IndexLink"/>
                <w:rtl w:val="true"/>
              </w:rPr>
              <w:t>الإلقاء في مهلكة</w:t>
            </w:r>
            <w:r>
              <w:rPr>
                <w:rStyle w:val="IndexLink"/>
                <w:rtl w:val="true"/>
              </w:rPr>
              <w:tab/>
            </w:r>
            <w:r>
              <w:rPr>
                <w:rStyle w:val="IndexLink"/>
              </w:rPr>
              <w:t>114</w:t>
            </w:r>
          </w:hyperlink>
        </w:p>
        <w:p>
          <w:pPr>
            <w:pStyle w:val="Contents6"/>
            <w:tabs>
              <w:tab w:val="clear" w:pos="7609"/>
              <w:tab w:val="right" w:pos="9026" w:leader="dot"/>
            </w:tabs>
            <w:rPr/>
          </w:pPr>
          <w:hyperlink w:anchor="__RefHeading___Toc2464948_2870459653">
            <w:r>
              <w:rPr>
                <w:webHidden/>
                <w:rStyle w:val="IndexLink"/>
              </w:rPr>
              <w:t>4</w:t>
            </w:r>
            <w:r>
              <w:rPr>
                <w:rStyle w:val="IndexLink"/>
                <w:rtl w:val="true"/>
              </w:rPr>
              <w:t xml:space="preserve">- </w:t>
            </w:r>
            <w:r>
              <w:rPr>
                <w:rStyle w:val="IndexLink"/>
                <w:rtl w:val="true"/>
              </w:rPr>
              <w:t>الإغراق والإحراق</w:t>
            </w:r>
            <w:r>
              <w:rPr>
                <w:rStyle w:val="IndexLink"/>
                <w:rtl w:val="true"/>
              </w:rPr>
              <w:tab/>
            </w:r>
            <w:r>
              <w:rPr>
                <w:rStyle w:val="IndexLink"/>
              </w:rPr>
              <w:t>115</w:t>
            </w:r>
          </w:hyperlink>
        </w:p>
        <w:p>
          <w:pPr>
            <w:pStyle w:val="Contents6"/>
            <w:tabs>
              <w:tab w:val="clear" w:pos="7609"/>
              <w:tab w:val="right" w:pos="9026" w:leader="dot"/>
            </w:tabs>
            <w:rPr/>
          </w:pPr>
          <w:hyperlink w:anchor="__RefHeading___Toc2464950_2870459653">
            <w:r>
              <w:rPr>
                <w:webHidden/>
                <w:rStyle w:val="IndexLink"/>
              </w:rPr>
              <w:t>5</w:t>
            </w:r>
            <w:r>
              <w:rPr>
                <w:rStyle w:val="IndexLink"/>
                <w:rtl w:val="true"/>
              </w:rPr>
              <w:t xml:space="preserve">- </w:t>
            </w:r>
            <w:r>
              <w:rPr>
                <w:rStyle w:val="IndexLink"/>
                <w:rtl w:val="true"/>
              </w:rPr>
              <w:t>الخنق</w:t>
            </w:r>
            <w:r>
              <w:rPr>
                <w:rStyle w:val="IndexLink"/>
                <w:rtl w:val="true"/>
              </w:rPr>
              <w:tab/>
            </w:r>
            <w:r>
              <w:rPr>
                <w:rStyle w:val="IndexLink"/>
              </w:rPr>
              <w:t>116</w:t>
            </w:r>
          </w:hyperlink>
        </w:p>
        <w:p>
          <w:pPr>
            <w:pStyle w:val="Contents6"/>
            <w:tabs>
              <w:tab w:val="clear" w:pos="7609"/>
              <w:tab w:val="right" w:pos="9026" w:leader="dot"/>
            </w:tabs>
            <w:rPr/>
          </w:pPr>
          <w:hyperlink w:anchor="__RefHeading___Toc2464952_2870459653">
            <w:r>
              <w:rPr>
                <w:webHidden/>
                <w:rStyle w:val="IndexLink"/>
              </w:rPr>
              <w:t>6</w:t>
            </w:r>
            <w:r>
              <w:rPr>
                <w:rStyle w:val="IndexLink"/>
                <w:rtl w:val="true"/>
              </w:rPr>
              <w:t xml:space="preserve">- </w:t>
            </w:r>
            <w:r>
              <w:rPr>
                <w:rStyle w:val="IndexLink"/>
                <w:rtl w:val="true"/>
              </w:rPr>
              <w:t>الحبس ومنع الطعام والشراب</w:t>
            </w:r>
            <w:r>
              <w:rPr>
                <w:rStyle w:val="IndexLink"/>
                <w:rtl w:val="true"/>
              </w:rPr>
              <w:tab/>
            </w:r>
            <w:r>
              <w:rPr>
                <w:rStyle w:val="IndexLink"/>
              </w:rPr>
              <w:t>117</w:t>
            </w:r>
          </w:hyperlink>
        </w:p>
        <w:p>
          <w:pPr>
            <w:pStyle w:val="Contents6"/>
            <w:tabs>
              <w:tab w:val="clear" w:pos="7609"/>
              <w:tab w:val="right" w:pos="9026" w:leader="dot"/>
            </w:tabs>
            <w:rPr/>
          </w:pPr>
          <w:hyperlink w:anchor="__RefHeading___Toc2464954_2870459653">
            <w:r>
              <w:rPr>
                <w:webHidden/>
                <w:rStyle w:val="IndexLink"/>
              </w:rPr>
              <w:t>7</w:t>
            </w:r>
            <w:r>
              <w:rPr>
                <w:rStyle w:val="IndexLink"/>
                <w:rtl w:val="true"/>
              </w:rPr>
              <w:t xml:space="preserve">- </w:t>
            </w:r>
            <w:r>
              <w:rPr>
                <w:rStyle w:val="IndexLink"/>
                <w:rtl w:val="true"/>
              </w:rPr>
              <w:t>التسميم</w:t>
            </w:r>
            <w:r>
              <w:rPr>
                <w:rStyle w:val="IndexLink"/>
                <w:rtl w:val="true"/>
              </w:rPr>
              <w:tab/>
            </w:r>
            <w:r>
              <w:rPr>
                <w:rStyle w:val="IndexLink"/>
              </w:rPr>
              <w:t>118</w:t>
            </w:r>
          </w:hyperlink>
        </w:p>
        <w:p>
          <w:pPr>
            <w:pStyle w:val="Contents6"/>
            <w:tabs>
              <w:tab w:val="clear" w:pos="7609"/>
              <w:tab w:val="right" w:pos="9026" w:leader="dot"/>
            </w:tabs>
            <w:rPr/>
          </w:pPr>
          <w:hyperlink w:anchor="__RefHeading___Toc2464956_2870459653">
            <w:r>
              <w:rPr>
                <w:webHidden/>
                <w:rStyle w:val="IndexLink"/>
              </w:rPr>
              <w:t>8</w:t>
            </w:r>
            <w:r>
              <w:rPr>
                <w:rStyle w:val="IndexLink"/>
                <w:rtl w:val="true"/>
              </w:rPr>
              <w:t xml:space="preserve">- </w:t>
            </w:r>
            <w:r>
              <w:rPr>
                <w:rStyle w:val="IndexLink"/>
                <w:rtl w:val="true"/>
              </w:rPr>
              <w:t>القتل بوسيلة معنوية</w:t>
            </w:r>
            <w:r>
              <w:rPr>
                <w:rStyle w:val="IndexLink"/>
                <w:rtl w:val="true"/>
              </w:rPr>
              <w:tab/>
            </w:r>
            <w:r>
              <w:rPr>
                <w:rStyle w:val="IndexLink"/>
              </w:rPr>
              <w:t>119</w:t>
            </w:r>
          </w:hyperlink>
        </w:p>
        <w:p>
          <w:pPr>
            <w:pStyle w:val="Contents6"/>
            <w:tabs>
              <w:tab w:val="clear" w:pos="7609"/>
              <w:tab w:val="right" w:pos="9026" w:leader="dot"/>
            </w:tabs>
            <w:rPr/>
          </w:pPr>
          <w:hyperlink w:anchor="__RefHeading___Toc2464958_2870459653">
            <w:r>
              <w:rPr>
                <w:webHidden/>
                <w:rStyle w:val="IndexLink"/>
              </w:rPr>
              <w:t>9</w:t>
            </w:r>
            <w:r>
              <w:rPr>
                <w:rStyle w:val="IndexLink"/>
                <w:rtl w:val="true"/>
              </w:rPr>
              <w:t xml:space="preserve">- </w:t>
            </w:r>
            <w:r>
              <w:rPr>
                <w:rStyle w:val="IndexLink"/>
                <w:rtl w:val="true"/>
              </w:rPr>
              <w:t>القتل بسبب شرعي</w:t>
            </w:r>
            <w:r>
              <w:rPr>
                <w:rStyle w:val="IndexLink"/>
                <w:rtl w:val="true"/>
              </w:rPr>
              <w:tab/>
            </w:r>
            <w:r>
              <w:rPr>
                <w:rStyle w:val="IndexLink"/>
              </w:rPr>
              <w:t>119</w:t>
            </w:r>
          </w:hyperlink>
        </w:p>
        <w:p>
          <w:pPr>
            <w:pStyle w:val="Contents6"/>
            <w:tabs>
              <w:tab w:val="clear" w:pos="7609"/>
              <w:tab w:val="right" w:pos="9026" w:leader="dot"/>
            </w:tabs>
            <w:rPr/>
          </w:pPr>
          <w:hyperlink w:anchor="__RefHeading___Toc2464960_2870459653">
            <w:r>
              <w:rPr>
                <w:webHidden/>
                <w:rStyle w:val="IndexLink"/>
              </w:rPr>
              <w:t>10</w:t>
            </w:r>
            <w:r>
              <w:rPr>
                <w:rStyle w:val="IndexLink"/>
                <w:rtl w:val="true"/>
              </w:rPr>
              <w:t xml:space="preserve">- </w:t>
            </w:r>
            <w:r>
              <w:rPr>
                <w:rStyle w:val="IndexLink"/>
                <w:rtl w:val="true"/>
              </w:rPr>
              <w:t>رضا المجني عليه بالقتل</w:t>
            </w:r>
            <w:r>
              <w:rPr>
                <w:rStyle w:val="IndexLink"/>
                <w:rtl w:val="true"/>
              </w:rPr>
              <w:tab/>
            </w:r>
            <w:r>
              <w:rPr>
                <w:rStyle w:val="IndexLink"/>
              </w:rPr>
              <w:t>120</w:t>
            </w:r>
          </w:hyperlink>
        </w:p>
        <w:p>
          <w:pPr>
            <w:pStyle w:val="Contents6"/>
            <w:tabs>
              <w:tab w:val="clear" w:pos="7609"/>
              <w:tab w:val="right" w:pos="9026" w:leader="dot"/>
            </w:tabs>
            <w:rPr/>
          </w:pPr>
          <w:hyperlink w:anchor="__RefHeading___Toc2464962_2870459653">
            <w:r>
              <w:rPr>
                <w:webHidden/>
                <w:rStyle w:val="IndexLink"/>
              </w:rPr>
              <w:t>11</w:t>
            </w:r>
            <w:r>
              <w:rPr>
                <w:rStyle w:val="IndexLink"/>
                <w:rtl w:val="true"/>
              </w:rPr>
              <w:t xml:space="preserve">- </w:t>
            </w:r>
            <w:r>
              <w:rPr>
                <w:rStyle w:val="IndexLink"/>
                <w:rtl w:val="true"/>
              </w:rPr>
              <w:t>الشراكة في القتل</w:t>
            </w:r>
            <w:r>
              <w:rPr>
                <w:rStyle w:val="IndexLink"/>
                <w:rtl w:val="true"/>
              </w:rPr>
              <w:tab/>
            </w:r>
            <w:r>
              <w:rPr>
                <w:rStyle w:val="IndexLink"/>
              </w:rPr>
              <w:t>122</w:t>
            </w:r>
          </w:hyperlink>
        </w:p>
        <w:p>
          <w:pPr>
            <w:pStyle w:val="Contents3"/>
            <w:tabs>
              <w:tab w:val="clear" w:pos="8459"/>
              <w:tab w:val="right" w:pos="9026" w:leader="dot"/>
            </w:tabs>
            <w:rPr/>
          </w:pPr>
          <w:hyperlink w:anchor="__RefHeading___Toc2464964_2870459653">
            <w:r>
              <w:rPr>
                <w:webHidden/>
                <w:rStyle w:val="IndexLink"/>
                <w:rtl w:val="true"/>
              </w:rPr>
              <w:t>المصادر والمراجع</w:t>
            </w:r>
            <w:r>
              <w:rPr>
                <w:rStyle w:val="IndexLink"/>
                <w:rtl w:val="true"/>
              </w:rPr>
              <w:tab/>
            </w:r>
            <w:r>
              <w:rPr>
                <w:rStyle w:val="IndexLink"/>
              </w:rPr>
              <w:t>126</w:t>
            </w:r>
          </w:hyperlink>
        </w:p>
        <w:p>
          <w:pPr>
            <w:pStyle w:val="Contents2"/>
            <w:tabs>
              <w:tab w:val="clear" w:pos="8743"/>
              <w:tab w:val="right" w:pos="9026" w:leader="dot"/>
            </w:tabs>
            <w:rPr/>
          </w:pPr>
          <w:hyperlink w:anchor="__RefHeading___Toc2464966_2870459653">
            <w:r>
              <w:rPr>
                <w:webHidden/>
                <w:rStyle w:val="IndexLink"/>
                <w:rtl w:val="true"/>
              </w:rPr>
              <w:t xml:space="preserve">سقوط الأذان عند الجمع بين الفريضتين </w:t>
            </w:r>
            <w:r>
              <w:rPr>
                <w:rStyle w:val="IndexLink"/>
                <w:rtl w:val="true"/>
              </w:rPr>
              <w:t xml:space="preserve">- </w:t>
            </w:r>
            <w:r>
              <w:rPr>
                <w:rStyle w:val="IndexLink"/>
                <w:rtl w:val="true"/>
              </w:rPr>
              <w:t>الشيخ جاسم الفهدي</w:t>
            </w:r>
            <w:r>
              <w:rPr>
                <w:rStyle w:val="IndexLink"/>
                <w:rtl w:val="true"/>
              </w:rPr>
              <w:tab/>
            </w:r>
            <w:r>
              <w:rPr>
                <w:rStyle w:val="IndexLink"/>
              </w:rPr>
              <w:t>130</w:t>
            </w:r>
          </w:hyperlink>
        </w:p>
        <w:p>
          <w:pPr>
            <w:pStyle w:val="Contents3"/>
            <w:tabs>
              <w:tab w:val="clear" w:pos="8459"/>
              <w:tab w:val="right" w:pos="9026" w:leader="dot"/>
            </w:tabs>
            <w:rPr/>
          </w:pPr>
          <w:hyperlink w:anchor="__RefHeading___Toc2464968_2870459653">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2464970_2870459653">
            <w:r>
              <w:rPr>
                <w:webHidden/>
                <w:rStyle w:val="IndexLink"/>
                <w:rtl w:val="true"/>
              </w:rPr>
              <w:t>المقام الأول</w:t>
            </w:r>
            <w:r>
              <w:rPr>
                <w:rStyle w:val="IndexLink"/>
                <w:rtl w:val="true"/>
              </w:rPr>
              <w:tab/>
            </w:r>
            <w:r>
              <w:rPr>
                <w:rStyle w:val="IndexLink"/>
              </w:rPr>
              <w:t>132</w:t>
            </w:r>
          </w:hyperlink>
        </w:p>
        <w:p>
          <w:pPr>
            <w:pStyle w:val="Contents4"/>
            <w:tabs>
              <w:tab w:val="clear" w:pos="8176"/>
              <w:tab w:val="right" w:pos="9026" w:leader="dot"/>
            </w:tabs>
            <w:rPr/>
          </w:pPr>
          <w:hyperlink w:anchor="__RefHeading___Toc2464972_2870459653">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2464974_2870459653">
            <w:r>
              <w:rPr>
                <w:webHidden/>
                <w:rStyle w:val="IndexLink"/>
                <w:rtl w:val="true"/>
              </w:rPr>
              <w:t>المحور الأَول</w:t>
            </w:r>
            <w:r>
              <w:rPr>
                <w:rStyle w:val="IndexLink"/>
                <w:rtl w:val="true"/>
              </w:rPr>
              <w:t xml:space="preserve">: </w:t>
            </w:r>
            <w:r>
              <w:rPr>
                <w:rStyle w:val="IndexLink"/>
                <w:rtl w:val="true"/>
              </w:rPr>
              <w:t xml:space="preserve">عبارات الأَعلام </w:t>
            </w:r>
            <w:r>
              <w:rPr>
                <w:rStyle w:val="IndexLink"/>
                <w:rtl w:val="true"/>
              </w:rPr>
              <w:t>(</w:t>
            </w:r>
            <w:r>
              <w:rPr>
                <w:rStyle w:val="IndexLink"/>
                <w:rtl w:val="true"/>
              </w:rPr>
              <w:t>رحم الله الماضين منهم وحفظ الباقين</w:t>
            </w:r>
            <w:r>
              <w:rPr>
                <w:rStyle w:val="IndexLink"/>
                <w:rtl w:val="true"/>
              </w:rPr>
              <w:t>)</w:t>
              <w:tab/>
            </w:r>
            <w:r>
              <w:rPr>
                <w:rStyle w:val="IndexLink"/>
              </w:rPr>
              <w:t>132</w:t>
            </w:r>
          </w:hyperlink>
        </w:p>
        <w:p>
          <w:pPr>
            <w:pStyle w:val="Contents5"/>
            <w:tabs>
              <w:tab w:val="clear" w:pos="7892"/>
              <w:tab w:val="right" w:pos="9026" w:leader="dot"/>
            </w:tabs>
            <w:rPr/>
          </w:pPr>
          <w:hyperlink w:anchor="__RefHeading___Toc2464976_2870459653">
            <w:r>
              <w:rPr>
                <w:webHidden/>
                <w:rStyle w:val="IndexLink"/>
                <w:rtl w:val="true"/>
              </w:rPr>
              <w:t>القول الأول</w:t>
            </w:r>
            <w:r>
              <w:rPr>
                <w:rStyle w:val="IndexLink"/>
                <w:rtl w:val="true"/>
              </w:rPr>
              <w:tab/>
            </w:r>
            <w:r>
              <w:rPr>
                <w:rStyle w:val="IndexLink"/>
              </w:rPr>
              <w:t>132</w:t>
            </w:r>
          </w:hyperlink>
        </w:p>
        <w:p>
          <w:pPr>
            <w:pStyle w:val="Contents5"/>
            <w:tabs>
              <w:tab w:val="clear" w:pos="7892"/>
              <w:tab w:val="right" w:pos="9026" w:leader="dot"/>
            </w:tabs>
            <w:rPr/>
          </w:pPr>
          <w:hyperlink w:anchor="__RefHeading___Toc2464978_2870459653">
            <w:r>
              <w:rPr>
                <w:webHidden/>
                <w:rStyle w:val="IndexLink"/>
                <w:rtl w:val="true"/>
              </w:rPr>
              <w:t>القول الثاني</w:t>
            </w:r>
            <w:r>
              <w:rPr>
                <w:rStyle w:val="IndexLink"/>
                <w:rtl w:val="true"/>
              </w:rPr>
              <w:t xml:space="preserve">: </w:t>
            </w:r>
            <w:r>
              <w:rPr>
                <w:rStyle w:val="IndexLink"/>
                <w:rtl w:val="true"/>
              </w:rPr>
              <w:t>عدم سقوط الأذان الثاني عند الجمع</w:t>
            </w:r>
            <w:r>
              <w:rPr>
                <w:rStyle w:val="IndexLink"/>
                <w:rtl w:val="true"/>
              </w:rPr>
              <w:tab/>
            </w:r>
            <w:r>
              <w:rPr>
                <w:rStyle w:val="IndexLink"/>
              </w:rPr>
              <w:t>136</w:t>
            </w:r>
          </w:hyperlink>
        </w:p>
        <w:p>
          <w:pPr>
            <w:pStyle w:val="Contents4"/>
            <w:tabs>
              <w:tab w:val="clear" w:pos="8176"/>
              <w:tab w:val="right" w:pos="9026" w:leader="dot"/>
            </w:tabs>
            <w:rPr/>
          </w:pPr>
          <w:hyperlink w:anchor="__RefHeading___Toc2464980_2870459653">
            <w:r>
              <w:rPr>
                <w:webHidden/>
                <w:rStyle w:val="IndexLink"/>
                <w:rtl w:val="true"/>
              </w:rPr>
              <w:t>المحور الثاني</w:t>
            </w:r>
            <w:r>
              <w:rPr>
                <w:rStyle w:val="IndexLink"/>
                <w:rtl w:val="true"/>
              </w:rPr>
              <w:t xml:space="preserve">: </w:t>
            </w:r>
            <w:r>
              <w:rPr>
                <w:rStyle w:val="IndexLink"/>
                <w:rtl w:val="true"/>
              </w:rPr>
              <w:t>مقتضى القاعدة</w:t>
            </w:r>
            <w:r>
              <w:rPr>
                <w:rStyle w:val="IndexLink"/>
                <w:rtl w:val="true"/>
              </w:rPr>
              <w:tab/>
            </w:r>
            <w:r>
              <w:rPr>
                <w:rStyle w:val="IndexLink"/>
              </w:rPr>
              <w:t>137</w:t>
            </w:r>
          </w:hyperlink>
        </w:p>
        <w:p>
          <w:pPr>
            <w:pStyle w:val="Contents5"/>
            <w:tabs>
              <w:tab w:val="clear" w:pos="7892"/>
              <w:tab w:val="right" w:pos="9026" w:leader="dot"/>
            </w:tabs>
            <w:rPr/>
          </w:pPr>
          <w:hyperlink w:anchor="__RefHeading___Toc2464982_2870459653">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2464984_2870459653">
            <w:r>
              <w:rPr>
                <w:webHidden/>
                <w:rStyle w:val="IndexLink"/>
                <w:rtl w:val="true"/>
              </w:rPr>
              <w:t>الرواية الأولى</w:t>
            </w:r>
            <w:r>
              <w:rPr>
                <w:rStyle w:val="IndexLink"/>
                <w:rtl w:val="true"/>
              </w:rPr>
              <w:t xml:space="preserve">: </w:t>
            </w:r>
            <w:r>
              <w:rPr>
                <w:rStyle w:val="IndexLink"/>
                <w:rtl w:val="true"/>
              </w:rPr>
              <w:t>موثقة سماعة</w:t>
            </w:r>
            <w:r>
              <w:rPr>
                <w:rStyle w:val="IndexLink"/>
                <w:rtl w:val="true"/>
              </w:rPr>
              <w:tab/>
            </w:r>
            <w:r>
              <w:rPr>
                <w:rStyle w:val="IndexLink"/>
              </w:rPr>
              <w:t>137</w:t>
            </w:r>
          </w:hyperlink>
        </w:p>
        <w:p>
          <w:pPr>
            <w:pStyle w:val="Contents5"/>
            <w:tabs>
              <w:tab w:val="clear" w:pos="7892"/>
              <w:tab w:val="right" w:pos="9026" w:leader="dot"/>
            </w:tabs>
            <w:rPr/>
          </w:pPr>
          <w:hyperlink w:anchor="__RefHeading___Toc2464986_2870459653">
            <w:r>
              <w:rPr>
                <w:webHidden/>
                <w:rStyle w:val="IndexLink"/>
                <w:rtl w:val="true"/>
              </w:rPr>
              <w:t>الرواية الثانية</w:t>
            </w:r>
            <w:r>
              <w:rPr>
                <w:rStyle w:val="IndexLink"/>
                <w:rtl w:val="true"/>
              </w:rPr>
              <w:t xml:space="preserve">: </w:t>
            </w:r>
            <w:r>
              <w:rPr>
                <w:rStyle w:val="IndexLink"/>
                <w:rtl w:val="true"/>
              </w:rPr>
              <w:t>موثقة الساباطي</w:t>
            </w:r>
            <w:r>
              <w:rPr>
                <w:rStyle w:val="IndexLink"/>
                <w:rtl w:val="true"/>
              </w:rPr>
              <w:tab/>
            </w:r>
            <w:r>
              <w:rPr>
                <w:rStyle w:val="IndexLink"/>
              </w:rPr>
              <w:t>138</w:t>
            </w:r>
          </w:hyperlink>
        </w:p>
        <w:p>
          <w:pPr>
            <w:pStyle w:val="Contents5"/>
            <w:tabs>
              <w:tab w:val="clear" w:pos="7892"/>
              <w:tab w:val="right" w:pos="9026" w:leader="dot"/>
            </w:tabs>
            <w:rPr/>
          </w:pPr>
          <w:hyperlink w:anchor="__RefHeading___Toc2464988_2870459653">
            <w:r>
              <w:rPr>
                <w:webHidden/>
                <w:rStyle w:val="IndexLink"/>
                <w:rtl w:val="true"/>
              </w:rPr>
              <w:t>الرواية الثالثة</w:t>
            </w:r>
            <w:r>
              <w:rPr>
                <w:rStyle w:val="IndexLink"/>
                <w:rtl w:val="true"/>
              </w:rPr>
              <w:t xml:space="preserve">: </w:t>
            </w:r>
            <w:r>
              <w:rPr>
                <w:rStyle w:val="IndexLink"/>
                <w:rtl w:val="true"/>
              </w:rPr>
              <w:t>موثقة أخرى للساباطي</w:t>
            </w:r>
            <w:r>
              <w:rPr>
                <w:rStyle w:val="IndexLink"/>
                <w:rtl w:val="true"/>
              </w:rPr>
              <w:tab/>
            </w:r>
            <w:r>
              <w:rPr>
                <w:rStyle w:val="IndexLink"/>
              </w:rPr>
              <w:t>138</w:t>
            </w:r>
          </w:hyperlink>
        </w:p>
        <w:p>
          <w:pPr>
            <w:pStyle w:val="Contents5"/>
            <w:tabs>
              <w:tab w:val="clear" w:pos="7892"/>
              <w:tab w:val="right" w:pos="9026" w:leader="dot"/>
            </w:tabs>
            <w:rPr/>
          </w:pPr>
          <w:hyperlink w:anchor="__RefHeading___Toc2464990_2870459653">
            <w:r>
              <w:rPr>
                <w:webHidden/>
                <w:rStyle w:val="IndexLink"/>
                <w:rtl w:val="true"/>
              </w:rPr>
              <w:t>الرواية الرابعة</w:t>
            </w:r>
            <w:r>
              <w:rPr>
                <w:rStyle w:val="IndexLink"/>
                <w:rtl w:val="true"/>
              </w:rPr>
              <w:t xml:space="preserve">: </w:t>
            </w:r>
            <w:r>
              <w:rPr>
                <w:rStyle w:val="IndexLink"/>
                <w:rtl w:val="true"/>
              </w:rPr>
              <w:t>خبر الصباح بن سيابة</w:t>
            </w:r>
            <w:r>
              <w:rPr>
                <w:rStyle w:val="IndexLink"/>
                <w:rtl w:val="true"/>
              </w:rPr>
              <w:tab/>
            </w:r>
            <w:r>
              <w:rPr>
                <w:rStyle w:val="IndexLink"/>
              </w:rPr>
              <w:t>139</w:t>
            </w:r>
          </w:hyperlink>
        </w:p>
        <w:p>
          <w:pPr>
            <w:pStyle w:val="Contents4"/>
            <w:tabs>
              <w:tab w:val="clear" w:pos="8176"/>
              <w:tab w:val="right" w:pos="9026" w:leader="dot"/>
            </w:tabs>
            <w:rPr/>
          </w:pPr>
          <w:hyperlink w:anchor="__RefHeading___Toc2464992_2870459653">
            <w:r>
              <w:rPr>
                <w:webHidden/>
                <w:rStyle w:val="IndexLink"/>
                <w:rtl w:val="true"/>
              </w:rPr>
              <w:t>المحور الثالث</w:t>
            </w:r>
            <w:r>
              <w:rPr>
                <w:rStyle w:val="IndexLink"/>
                <w:rtl w:val="true"/>
              </w:rPr>
              <w:t xml:space="preserve">: </w:t>
            </w:r>
            <w:r>
              <w:rPr>
                <w:rStyle w:val="IndexLink"/>
                <w:rtl w:val="true"/>
              </w:rPr>
              <w:t>الأدلة الخاصة</w:t>
            </w:r>
            <w:r>
              <w:rPr>
                <w:rStyle w:val="IndexLink"/>
                <w:rtl w:val="true"/>
              </w:rPr>
              <w:tab/>
            </w:r>
            <w:r>
              <w:rPr>
                <w:rStyle w:val="IndexLink"/>
              </w:rPr>
              <w:t>139</w:t>
            </w:r>
          </w:hyperlink>
        </w:p>
        <w:p>
          <w:pPr>
            <w:pStyle w:val="Contents5"/>
            <w:tabs>
              <w:tab w:val="clear" w:pos="7892"/>
              <w:tab w:val="right" w:pos="9026" w:leader="dot"/>
            </w:tabs>
            <w:rPr/>
          </w:pPr>
          <w:hyperlink w:anchor="__RefHeading___Toc2464994_2870459653">
            <w:r>
              <w:rPr>
                <w:webHidden/>
                <w:rStyle w:val="IndexLink"/>
                <w:rtl w:val="true"/>
              </w:rPr>
              <w:t>الدليل الأول</w:t>
            </w:r>
            <w:r>
              <w:rPr>
                <w:rStyle w:val="IndexLink"/>
                <w:rtl w:val="true"/>
              </w:rPr>
              <w:t xml:space="preserve">: </w:t>
            </w:r>
            <w:r>
              <w:rPr>
                <w:rStyle w:val="IndexLink"/>
                <w:rtl w:val="true"/>
              </w:rPr>
              <w:t xml:space="preserve">ما ذكره المحقق الحلي </w:t>
            </w:r>
            <w:r>
              <w:rPr>
                <w:rStyle w:val="IndexLink"/>
                <w:rtl w:val="true"/>
              </w:rPr>
              <w:t>(</w:t>
            </w:r>
            <w:r>
              <w:rPr>
                <w:rStyle w:val="IndexLink"/>
                <w:rtl w:val="true"/>
              </w:rPr>
              <w:t>قدس سره</w:t>
            </w:r>
            <w:r>
              <w:rPr>
                <w:rStyle w:val="IndexLink"/>
                <w:rtl w:val="true"/>
              </w:rPr>
              <w:t xml:space="preserve">) </w:t>
            </w:r>
            <w:r>
              <w:rPr>
                <w:rStyle w:val="IndexLink"/>
                <w:rtl w:val="true"/>
              </w:rPr>
              <w:t>وتبعه فيه غيره</w:t>
            </w:r>
            <w:r>
              <w:rPr>
                <w:rStyle w:val="IndexLink"/>
                <w:rtl w:val="true"/>
              </w:rPr>
              <w:tab/>
            </w:r>
            <w:r>
              <w:rPr>
                <w:rStyle w:val="IndexLink"/>
              </w:rPr>
              <w:t>139</w:t>
            </w:r>
          </w:hyperlink>
        </w:p>
        <w:p>
          <w:pPr>
            <w:pStyle w:val="Contents5"/>
            <w:tabs>
              <w:tab w:val="clear" w:pos="7892"/>
              <w:tab w:val="right" w:pos="9026" w:leader="dot"/>
            </w:tabs>
            <w:rPr/>
          </w:pPr>
          <w:hyperlink w:anchor="__RefHeading___Toc2464996_2870459653">
            <w:r>
              <w:rPr>
                <w:webHidden/>
                <w:rStyle w:val="IndexLink"/>
                <w:rtl w:val="true"/>
              </w:rPr>
              <w:t>الدليل الثاني</w:t>
            </w:r>
            <w:r>
              <w:rPr>
                <w:rStyle w:val="IndexLink"/>
                <w:rtl w:val="true"/>
              </w:rPr>
              <w:t xml:space="preserve">: </w:t>
            </w:r>
            <w:r>
              <w:rPr>
                <w:rStyle w:val="IndexLink"/>
                <w:rtl w:val="true"/>
              </w:rPr>
              <w:t>صحيحة الرهط</w:t>
            </w:r>
            <w:r>
              <w:rPr>
                <w:rStyle w:val="IndexLink"/>
                <w:rtl w:val="true"/>
              </w:rPr>
              <w:tab/>
            </w:r>
            <w:r>
              <w:rPr>
                <w:rStyle w:val="IndexLink"/>
              </w:rPr>
              <w:t>141</w:t>
            </w:r>
          </w:hyperlink>
        </w:p>
        <w:p>
          <w:pPr>
            <w:pStyle w:val="Contents5"/>
            <w:tabs>
              <w:tab w:val="clear" w:pos="7892"/>
              <w:tab w:val="right" w:pos="9026" w:leader="dot"/>
            </w:tabs>
            <w:rPr/>
          </w:pPr>
          <w:hyperlink w:anchor="__RefHeading___Toc2464998_2870459653">
            <w:r>
              <w:rPr>
                <w:webHidden/>
                <w:rStyle w:val="IndexLink"/>
                <w:rtl w:val="true"/>
              </w:rPr>
              <w:t>الدليل الثالث</w:t>
            </w:r>
            <w:r>
              <w:rPr>
                <w:rStyle w:val="IndexLink"/>
                <w:rtl w:val="true"/>
              </w:rPr>
              <w:t xml:space="preserve">: </w:t>
            </w:r>
            <w:r>
              <w:rPr>
                <w:rStyle w:val="IndexLink"/>
                <w:rtl w:val="true"/>
              </w:rPr>
              <w:t xml:space="preserve">ما رواه الصدوق </w:t>
            </w:r>
            <w:r>
              <w:rPr>
                <w:rStyle w:val="IndexLink"/>
                <w:rtl w:val="true"/>
              </w:rPr>
              <w:t>(</w:t>
            </w:r>
            <w:r>
              <w:rPr>
                <w:rStyle w:val="IndexLink"/>
                <w:rtl w:val="true"/>
              </w:rPr>
              <w:t>قدس سره</w:t>
            </w:r>
            <w:r>
              <w:rPr>
                <w:rStyle w:val="IndexLink"/>
                <w:rtl w:val="true"/>
              </w:rPr>
              <w:t xml:space="preserve">) </w:t>
            </w:r>
            <w:r>
              <w:rPr>
                <w:rStyle w:val="IndexLink"/>
                <w:rtl w:val="true"/>
              </w:rPr>
              <w:t>في الفقيه</w:t>
            </w:r>
            <w:r>
              <w:rPr>
                <w:rStyle w:val="IndexLink"/>
                <w:rtl w:val="true"/>
              </w:rPr>
              <w:tab/>
            </w:r>
            <w:r>
              <w:rPr>
                <w:rStyle w:val="IndexLink"/>
              </w:rPr>
              <w:t>143</w:t>
            </w:r>
          </w:hyperlink>
        </w:p>
        <w:p>
          <w:pPr>
            <w:pStyle w:val="Contents3"/>
            <w:tabs>
              <w:tab w:val="clear" w:pos="8459"/>
              <w:tab w:val="right" w:pos="9026" w:leader="dot"/>
            </w:tabs>
            <w:rPr/>
          </w:pPr>
          <w:hyperlink w:anchor="__RefHeading___Toc2465000_2870459653">
            <w:r>
              <w:rPr>
                <w:webHidden/>
                <w:rStyle w:val="IndexLink"/>
                <w:rtl w:val="true"/>
              </w:rPr>
              <w:t>المقام الثاني</w:t>
            </w:r>
            <w:r>
              <w:rPr>
                <w:rStyle w:val="IndexLink"/>
                <w:rtl w:val="true"/>
              </w:rPr>
              <w:tab/>
            </w:r>
            <w:r>
              <w:rPr>
                <w:rStyle w:val="IndexLink"/>
              </w:rPr>
              <w:t>149</w:t>
            </w:r>
          </w:hyperlink>
        </w:p>
        <w:p>
          <w:pPr>
            <w:pStyle w:val="Contents4"/>
            <w:tabs>
              <w:tab w:val="clear" w:pos="8176"/>
              <w:tab w:val="right" w:pos="9026" w:leader="dot"/>
            </w:tabs>
            <w:rPr/>
          </w:pPr>
          <w:hyperlink w:anchor="__RefHeading___Toc2465002_287045965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465004_2870459653">
            <w:r>
              <w:rPr>
                <w:webHidden/>
                <w:rStyle w:val="IndexLink"/>
                <w:rtl w:val="true"/>
              </w:rPr>
              <w:t>الجهة الأولى</w:t>
            </w:r>
            <w:r>
              <w:rPr>
                <w:rStyle w:val="IndexLink"/>
                <w:rtl w:val="true"/>
              </w:rPr>
              <w:t xml:space="preserve">: </w:t>
            </w:r>
            <w:r>
              <w:rPr>
                <w:rStyle w:val="IndexLink"/>
                <w:rtl w:val="true"/>
              </w:rPr>
              <w:t>كلمات الأصحاب، رضوان الله عليهم</w:t>
            </w:r>
            <w:r>
              <w:rPr>
                <w:rStyle w:val="IndexLink"/>
                <w:rtl w:val="true"/>
              </w:rPr>
              <w:tab/>
            </w:r>
            <w:r>
              <w:rPr>
                <w:rStyle w:val="IndexLink"/>
              </w:rPr>
              <w:t>149</w:t>
            </w:r>
          </w:hyperlink>
        </w:p>
        <w:p>
          <w:pPr>
            <w:pStyle w:val="Contents5"/>
            <w:tabs>
              <w:tab w:val="clear" w:pos="7892"/>
              <w:tab w:val="right" w:pos="9026" w:leader="dot"/>
            </w:tabs>
            <w:rPr/>
          </w:pPr>
          <w:hyperlink w:anchor="__RefHeading___Toc2465006_2870459653">
            <w:r>
              <w:rPr>
                <w:webHidden/>
                <w:rStyle w:val="IndexLink"/>
                <w:rtl w:val="true"/>
              </w:rPr>
              <w:t>القول الأول</w:t>
            </w:r>
            <w:r>
              <w:rPr>
                <w:rStyle w:val="IndexLink"/>
                <w:rtl w:val="true"/>
              </w:rPr>
              <w:t xml:space="preserve">: </w:t>
            </w:r>
            <w:r>
              <w:rPr>
                <w:rStyle w:val="IndexLink"/>
                <w:rtl w:val="true"/>
              </w:rPr>
              <w:t>الحرمة</w:t>
            </w:r>
            <w:r>
              <w:rPr>
                <w:rStyle w:val="IndexLink"/>
                <w:rtl w:val="true"/>
              </w:rPr>
              <w:tab/>
            </w:r>
            <w:r>
              <w:rPr>
                <w:rStyle w:val="IndexLink"/>
              </w:rPr>
              <w:t>149</w:t>
            </w:r>
          </w:hyperlink>
        </w:p>
        <w:p>
          <w:pPr>
            <w:pStyle w:val="Contents5"/>
            <w:tabs>
              <w:tab w:val="clear" w:pos="7892"/>
              <w:tab w:val="right" w:pos="9026" w:leader="dot"/>
            </w:tabs>
            <w:rPr/>
          </w:pPr>
          <w:hyperlink w:anchor="__RefHeading___Toc2465008_2870459653">
            <w:r>
              <w:rPr>
                <w:webHidden/>
                <w:rStyle w:val="IndexLink"/>
                <w:rtl w:val="true"/>
              </w:rPr>
              <w:t>القول الثاني</w:t>
            </w:r>
            <w:r>
              <w:rPr>
                <w:rStyle w:val="IndexLink"/>
                <w:rtl w:val="true"/>
              </w:rPr>
              <w:t xml:space="preserve">: </w:t>
            </w:r>
            <w:r>
              <w:rPr>
                <w:rStyle w:val="IndexLink"/>
                <w:rtl w:val="true"/>
              </w:rPr>
              <w:t>الرخصة</w:t>
            </w:r>
            <w:r>
              <w:rPr>
                <w:rStyle w:val="IndexLink"/>
                <w:rtl w:val="true"/>
              </w:rPr>
              <w:tab/>
            </w:r>
            <w:r>
              <w:rPr>
                <w:rStyle w:val="IndexLink"/>
              </w:rPr>
              <w:t>150</w:t>
            </w:r>
          </w:hyperlink>
        </w:p>
        <w:p>
          <w:pPr>
            <w:pStyle w:val="Contents4"/>
            <w:tabs>
              <w:tab w:val="clear" w:pos="8176"/>
              <w:tab w:val="right" w:pos="9026" w:leader="dot"/>
            </w:tabs>
            <w:rPr/>
          </w:pPr>
          <w:hyperlink w:anchor="__RefHeading___Toc2465010_2870459653">
            <w:r>
              <w:rPr>
                <w:webHidden/>
                <w:rStyle w:val="IndexLink"/>
                <w:rtl w:val="true"/>
              </w:rPr>
              <w:t>الجهة الثانية</w:t>
            </w:r>
            <w:r>
              <w:rPr>
                <w:rStyle w:val="IndexLink"/>
                <w:rtl w:val="true"/>
              </w:rPr>
              <w:t xml:space="preserve">: </w:t>
            </w:r>
            <w:r>
              <w:rPr>
                <w:rStyle w:val="IndexLink"/>
                <w:rtl w:val="true"/>
              </w:rPr>
              <w:t>البرهان</w:t>
            </w:r>
            <w:r>
              <w:rPr>
                <w:rStyle w:val="IndexLink"/>
                <w:rtl w:val="true"/>
              </w:rPr>
              <w:tab/>
            </w:r>
            <w:r>
              <w:rPr>
                <w:rStyle w:val="IndexLink"/>
              </w:rPr>
              <w:t>150</w:t>
            </w:r>
          </w:hyperlink>
        </w:p>
        <w:p>
          <w:pPr>
            <w:pStyle w:val="Contents3"/>
            <w:tabs>
              <w:tab w:val="clear" w:pos="8459"/>
              <w:tab w:val="right" w:pos="9026" w:leader="dot"/>
            </w:tabs>
            <w:rPr/>
          </w:pPr>
          <w:hyperlink w:anchor="__RefHeading___Toc2465012_2870459653">
            <w:r>
              <w:rPr>
                <w:webHidden/>
                <w:rStyle w:val="IndexLink"/>
                <w:rtl w:val="true"/>
              </w:rPr>
              <w:t>المقام الثالث</w:t>
            </w:r>
            <w:r>
              <w:rPr>
                <w:rStyle w:val="IndexLink"/>
                <w:rtl w:val="true"/>
              </w:rPr>
              <w:t xml:space="preserve">: </w:t>
            </w:r>
            <w:r>
              <w:rPr>
                <w:rStyle w:val="IndexLink"/>
                <w:rtl w:val="true"/>
              </w:rPr>
              <w:t>بماذا يتحقق التفريق؟</w:t>
            </w:r>
            <w:r>
              <w:rPr>
                <w:rStyle w:val="IndexLink"/>
                <w:rtl w:val="true"/>
              </w:rPr>
              <w:tab/>
            </w:r>
            <w:r>
              <w:rPr>
                <w:rStyle w:val="IndexLink"/>
              </w:rPr>
              <w:t>153</w:t>
            </w:r>
          </w:hyperlink>
        </w:p>
        <w:p>
          <w:pPr>
            <w:pStyle w:val="Contents3"/>
            <w:tabs>
              <w:tab w:val="clear" w:pos="8459"/>
              <w:tab w:val="right" w:pos="9026" w:leader="dot"/>
            </w:tabs>
            <w:rPr/>
          </w:pPr>
          <w:hyperlink w:anchor="__RefHeading___Toc2465014_2870459653">
            <w:r>
              <w:rPr>
                <w:webHidden/>
                <w:rStyle w:val="IndexLink"/>
                <w:rtl w:val="true"/>
              </w:rPr>
              <w:t>المصادر</w:t>
            </w:r>
            <w:r>
              <w:rPr>
                <w:rStyle w:val="IndexLink"/>
                <w:rtl w:val="true"/>
              </w:rPr>
              <w:tab/>
            </w:r>
            <w:r>
              <w:rPr>
                <w:rStyle w:val="IndexLink"/>
              </w:rPr>
              <w:t>161</w:t>
            </w:r>
          </w:hyperlink>
        </w:p>
        <w:p>
          <w:pPr>
            <w:pStyle w:val="Contents2"/>
            <w:tabs>
              <w:tab w:val="clear" w:pos="8743"/>
              <w:tab w:val="right" w:pos="9026" w:leader="dot"/>
            </w:tabs>
            <w:rPr/>
          </w:pPr>
          <w:hyperlink w:anchor="__RefHeading___Toc2465016_2870459653">
            <w:r>
              <w:rPr>
                <w:webHidden/>
                <w:rStyle w:val="IndexLink"/>
                <w:rtl w:val="true"/>
              </w:rPr>
              <w:t>قبح العقاب بلا بيان والاحتياط العقلي مسلك حق الطاعة</w:t>
            </w:r>
            <w:r>
              <w:rPr>
                <w:rStyle w:val="IndexLink"/>
                <w:rtl w:val="true"/>
              </w:rPr>
              <w:t>(</w:t>
            </w:r>
            <w:r>
              <w:rPr>
                <w:rStyle w:val="IndexLink"/>
                <w:rtl w:val="true"/>
              </w:rPr>
              <w:t>الحلقة الثانية</w:t>
            </w:r>
            <w:r>
              <w:rPr>
                <w:rStyle w:val="IndexLink"/>
                <w:rtl w:val="true"/>
              </w:rPr>
              <w:t xml:space="preserve">) - </w:t>
            </w:r>
            <w:r>
              <w:rPr>
                <w:rStyle w:val="IndexLink"/>
                <w:rtl w:val="true"/>
              </w:rPr>
              <w:t xml:space="preserve">السيد علي البعاج </w:t>
            </w:r>
            <w:r>
              <w:rPr>
                <w:rStyle w:val="IndexLink"/>
                <w:rtl w:val="true"/>
              </w:rPr>
              <w:t>(</w:t>
            </w:r>
            <w:r>
              <w:rPr>
                <w:rStyle w:val="IndexLink"/>
                <w:rtl w:val="true"/>
              </w:rPr>
              <w:t>دام عزه</w:t>
            </w:r>
            <w:r>
              <w:rPr>
                <w:rStyle w:val="IndexLink"/>
                <w:rtl w:val="true"/>
              </w:rPr>
              <w:t>)</w:t>
              <w:tab/>
            </w:r>
            <w:r>
              <w:rPr>
                <w:rStyle w:val="IndexLink"/>
              </w:rPr>
              <w:t>164</w:t>
            </w:r>
          </w:hyperlink>
        </w:p>
        <w:p>
          <w:pPr>
            <w:pStyle w:val="Contents3"/>
            <w:tabs>
              <w:tab w:val="clear" w:pos="8459"/>
              <w:tab w:val="right" w:pos="9026" w:leader="dot"/>
            </w:tabs>
            <w:rPr/>
          </w:pPr>
          <w:hyperlink w:anchor="__RefHeading___Toc2465018_287045965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2465020_2870459653">
            <w:r>
              <w:rPr>
                <w:webHidden/>
                <w:rStyle w:val="IndexLink"/>
                <w:rtl w:val="true"/>
              </w:rPr>
              <w:t>الأمر الأول</w:t>
            </w:r>
            <w:r>
              <w:rPr>
                <w:rStyle w:val="IndexLink"/>
                <w:rtl w:val="true"/>
              </w:rPr>
              <w:tab/>
            </w:r>
            <w:r>
              <w:rPr>
                <w:rStyle w:val="IndexLink"/>
              </w:rPr>
              <w:t>166</w:t>
            </w:r>
          </w:hyperlink>
        </w:p>
        <w:p>
          <w:pPr>
            <w:pStyle w:val="Contents3"/>
            <w:tabs>
              <w:tab w:val="clear" w:pos="8459"/>
              <w:tab w:val="right" w:pos="9026" w:leader="dot"/>
            </w:tabs>
            <w:rPr/>
          </w:pPr>
          <w:hyperlink w:anchor="__RefHeading___Toc2465022_2870459653">
            <w:r>
              <w:rPr>
                <w:webHidden/>
                <w:rStyle w:val="IndexLink"/>
                <w:rtl w:val="true"/>
              </w:rPr>
              <w:t>الأمر الثاني</w:t>
            </w:r>
            <w:r>
              <w:rPr>
                <w:rStyle w:val="IndexLink"/>
                <w:rtl w:val="true"/>
              </w:rPr>
              <w:tab/>
            </w:r>
            <w:r>
              <w:rPr>
                <w:rStyle w:val="IndexLink"/>
              </w:rPr>
              <w:t>168</w:t>
            </w:r>
          </w:hyperlink>
        </w:p>
        <w:p>
          <w:pPr>
            <w:pStyle w:val="Contents3"/>
            <w:tabs>
              <w:tab w:val="clear" w:pos="8459"/>
              <w:tab w:val="right" w:pos="9026" w:leader="dot"/>
            </w:tabs>
            <w:rPr/>
          </w:pPr>
          <w:hyperlink w:anchor="__RefHeading___Toc2465024_2870459653">
            <w:r>
              <w:rPr>
                <w:webHidden/>
                <w:rStyle w:val="IndexLink"/>
                <w:rtl w:val="true"/>
              </w:rPr>
              <w:t>الأمر الثالث</w:t>
            </w:r>
            <w:r>
              <w:rPr>
                <w:rStyle w:val="IndexLink"/>
                <w:rtl w:val="true"/>
              </w:rPr>
              <w:tab/>
            </w:r>
            <w:r>
              <w:rPr>
                <w:rStyle w:val="IndexLink"/>
              </w:rPr>
              <w:t>169</w:t>
            </w:r>
          </w:hyperlink>
        </w:p>
        <w:p>
          <w:pPr>
            <w:pStyle w:val="Contents4"/>
            <w:tabs>
              <w:tab w:val="clear" w:pos="8176"/>
              <w:tab w:val="right" w:pos="9026" w:leader="dot"/>
            </w:tabs>
            <w:rPr/>
          </w:pPr>
          <w:hyperlink w:anchor="__RefHeading___Toc2465026_2870459653">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2465028_2870459653">
            <w:r>
              <w:rPr>
                <w:webHidden/>
                <w:rStyle w:val="IndexLink"/>
                <w:rtl w:val="true"/>
              </w:rPr>
              <w:t>القول الأول</w:t>
            </w:r>
            <w:r>
              <w:rPr>
                <w:rStyle w:val="IndexLink"/>
                <w:rtl w:val="true"/>
              </w:rPr>
              <w:tab/>
            </w:r>
            <w:r>
              <w:rPr>
                <w:rStyle w:val="IndexLink"/>
              </w:rPr>
              <w:t>169</w:t>
            </w:r>
          </w:hyperlink>
        </w:p>
        <w:p>
          <w:pPr>
            <w:pStyle w:val="Contents4"/>
            <w:tabs>
              <w:tab w:val="clear" w:pos="8176"/>
              <w:tab w:val="right" w:pos="9026" w:leader="dot"/>
            </w:tabs>
            <w:rPr/>
          </w:pPr>
          <w:hyperlink w:anchor="__RefHeading___Toc2465030_2870459653">
            <w:r>
              <w:rPr>
                <w:webHidden/>
                <w:rStyle w:val="IndexLink"/>
                <w:rtl w:val="true"/>
              </w:rPr>
              <w:t>القول الثاني</w:t>
            </w:r>
            <w:r>
              <w:rPr>
                <w:rStyle w:val="IndexLink"/>
                <w:rtl w:val="true"/>
              </w:rPr>
              <w:tab/>
            </w:r>
            <w:r>
              <w:rPr>
                <w:rStyle w:val="IndexLink"/>
              </w:rPr>
              <w:t>170</w:t>
            </w:r>
          </w:hyperlink>
        </w:p>
        <w:p>
          <w:pPr>
            <w:pStyle w:val="Contents3"/>
            <w:tabs>
              <w:tab w:val="clear" w:pos="8459"/>
              <w:tab w:val="right" w:pos="9026" w:leader="dot"/>
            </w:tabs>
            <w:rPr/>
          </w:pPr>
          <w:hyperlink w:anchor="__RefHeading___Toc2465032_2870459653">
            <w:r>
              <w:rPr>
                <w:webHidden/>
                <w:rStyle w:val="IndexLink"/>
                <w:rtl w:val="true"/>
              </w:rPr>
              <w:t>حجة القائل بمسلك حق الطاعة</w:t>
            </w:r>
            <w:r>
              <w:rPr>
                <w:rStyle w:val="IndexLink"/>
                <w:rtl w:val="true"/>
              </w:rPr>
              <w:tab/>
            </w:r>
            <w:r>
              <w:rPr>
                <w:rStyle w:val="IndexLink"/>
              </w:rPr>
              <w:t>172</w:t>
            </w:r>
          </w:hyperlink>
        </w:p>
        <w:p>
          <w:pPr>
            <w:pStyle w:val="Contents4"/>
            <w:tabs>
              <w:tab w:val="clear" w:pos="8176"/>
              <w:tab w:val="right" w:pos="9026" w:leader="dot"/>
            </w:tabs>
            <w:rPr/>
          </w:pPr>
          <w:hyperlink w:anchor="__RefHeading___Toc2465034_2870459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2465036_2870459653">
            <w:r>
              <w:rPr>
                <w:webHidden/>
                <w:rStyle w:val="IndexLink"/>
                <w:rtl w:val="true"/>
              </w:rPr>
              <w:t>مقدمتين</w:t>
            </w:r>
            <w:r>
              <w:rPr>
                <w:rStyle w:val="IndexLink"/>
                <w:rtl w:val="true"/>
              </w:rPr>
              <w:tab/>
            </w:r>
            <w:r>
              <w:rPr>
                <w:rStyle w:val="IndexLink"/>
              </w:rPr>
              <w:t>173</w:t>
            </w:r>
          </w:hyperlink>
        </w:p>
        <w:p>
          <w:pPr>
            <w:pStyle w:val="Contents5"/>
            <w:tabs>
              <w:tab w:val="clear" w:pos="7892"/>
              <w:tab w:val="right" w:pos="9026" w:leader="dot"/>
            </w:tabs>
            <w:rPr/>
          </w:pPr>
          <w:hyperlink w:anchor="__RefHeading___Toc2465038_2870459653">
            <w:r>
              <w:rPr>
                <w:webHidden/>
                <w:rStyle w:val="IndexLink"/>
                <w:rtl w:val="true"/>
              </w:rPr>
              <w:t>المقدمة الأولى</w:t>
            </w:r>
            <w:r>
              <w:rPr>
                <w:rStyle w:val="IndexLink"/>
                <w:rtl w:val="true"/>
              </w:rPr>
              <w:tab/>
            </w:r>
            <w:r>
              <w:rPr>
                <w:rStyle w:val="IndexLink"/>
              </w:rPr>
              <w:t>173</w:t>
            </w:r>
          </w:hyperlink>
        </w:p>
        <w:p>
          <w:pPr>
            <w:pStyle w:val="Contents5"/>
            <w:tabs>
              <w:tab w:val="clear" w:pos="7892"/>
              <w:tab w:val="right" w:pos="9026" w:leader="dot"/>
            </w:tabs>
            <w:rPr/>
          </w:pPr>
          <w:hyperlink w:anchor="__RefHeading___Toc2465040_2870459653">
            <w:r>
              <w:rPr>
                <w:webHidden/>
                <w:rStyle w:val="IndexLink"/>
                <w:rtl w:val="true"/>
              </w:rPr>
              <w:t>المقدمة الثانية</w:t>
            </w:r>
            <w:r>
              <w:rPr>
                <w:rStyle w:val="IndexLink"/>
                <w:rtl w:val="true"/>
              </w:rPr>
              <w:tab/>
            </w:r>
            <w:r>
              <w:rPr>
                <w:rStyle w:val="IndexLink"/>
              </w:rPr>
              <w:t>173</w:t>
            </w:r>
          </w:hyperlink>
        </w:p>
        <w:p>
          <w:pPr>
            <w:pStyle w:val="Contents4"/>
            <w:tabs>
              <w:tab w:val="clear" w:pos="8176"/>
              <w:tab w:val="right" w:pos="9026" w:leader="dot"/>
            </w:tabs>
            <w:rPr/>
          </w:pPr>
          <w:hyperlink w:anchor="__RefHeading___Toc2465042_2870459653">
            <w:r>
              <w:rPr>
                <w:webHidden/>
                <w:rStyle w:val="IndexLink"/>
                <w:rtl w:val="true"/>
              </w:rPr>
              <w:t>وأمّا الإيرادات البنائية فهي</w:t>
            </w:r>
            <w:r>
              <w:rPr>
                <w:rStyle w:val="IndexLink"/>
                <w:rtl w:val="true"/>
              </w:rPr>
              <w:tab/>
            </w:r>
            <w:r>
              <w:rPr>
                <w:rStyle w:val="IndexLink"/>
              </w:rPr>
              <w:t>175</w:t>
            </w:r>
          </w:hyperlink>
        </w:p>
        <w:p>
          <w:pPr>
            <w:pStyle w:val="Contents5"/>
            <w:tabs>
              <w:tab w:val="clear" w:pos="7892"/>
              <w:tab w:val="right" w:pos="9026" w:leader="dot"/>
            </w:tabs>
            <w:rPr/>
          </w:pPr>
          <w:hyperlink w:anchor="__RefHeading___Toc2465044_2870459653">
            <w:r>
              <w:rPr>
                <w:webHidden/>
                <w:rStyle w:val="IndexLink"/>
                <w:rtl w:val="true"/>
              </w:rPr>
              <w:t>الإيراد الأول</w:t>
            </w:r>
            <w:r>
              <w:rPr>
                <w:rStyle w:val="IndexLink"/>
                <w:rtl w:val="true"/>
              </w:rPr>
              <w:tab/>
            </w:r>
            <w:r>
              <w:rPr>
                <w:rStyle w:val="IndexLink"/>
              </w:rPr>
              <w:t>175</w:t>
            </w:r>
          </w:hyperlink>
        </w:p>
        <w:p>
          <w:pPr>
            <w:pStyle w:val="Contents5"/>
            <w:tabs>
              <w:tab w:val="clear" w:pos="7892"/>
              <w:tab w:val="right" w:pos="9026" w:leader="dot"/>
            </w:tabs>
            <w:rPr/>
          </w:pPr>
          <w:hyperlink w:anchor="__RefHeading___Toc2465046_2870459653">
            <w:r>
              <w:rPr>
                <w:webHidden/>
                <w:rStyle w:val="IndexLink"/>
                <w:rtl w:val="true"/>
              </w:rPr>
              <w:t>الإيراد الثاني</w:t>
            </w:r>
            <w:r>
              <w:rPr>
                <w:rStyle w:val="IndexLink"/>
                <w:rtl w:val="true"/>
              </w:rPr>
              <w:tab/>
            </w:r>
            <w:r>
              <w:rPr>
                <w:rStyle w:val="IndexLink"/>
              </w:rPr>
              <w:t>176</w:t>
            </w:r>
          </w:hyperlink>
        </w:p>
        <w:p>
          <w:pPr>
            <w:pStyle w:val="Contents5"/>
            <w:tabs>
              <w:tab w:val="clear" w:pos="7892"/>
              <w:tab w:val="right" w:pos="9026" w:leader="dot"/>
            </w:tabs>
            <w:rPr/>
          </w:pPr>
          <w:hyperlink w:anchor="__RefHeading___Toc2465048_2870459653">
            <w:r>
              <w:rPr>
                <w:webHidden/>
                <w:rStyle w:val="IndexLink"/>
                <w:rtl w:val="true"/>
              </w:rPr>
              <w:t>الإيراد الثالث</w:t>
            </w:r>
            <w:r>
              <w:rPr>
                <w:rStyle w:val="IndexLink"/>
                <w:rtl w:val="true"/>
              </w:rPr>
              <w:tab/>
            </w:r>
            <w:r>
              <w:rPr>
                <w:rStyle w:val="IndexLink"/>
              </w:rPr>
              <w:t>177</w:t>
            </w:r>
          </w:hyperlink>
        </w:p>
        <w:p>
          <w:pPr>
            <w:pStyle w:val="Contents3"/>
            <w:tabs>
              <w:tab w:val="clear" w:pos="8459"/>
              <w:tab w:val="right" w:pos="9026" w:leader="dot"/>
            </w:tabs>
            <w:rPr/>
          </w:pPr>
          <w:hyperlink w:anchor="__RefHeading___Toc2465050_2870459653">
            <w:r>
              <w:rPr>
                <w:webHidden/>
                <w:rStyle w:val="IndexLink"/>
                <w:rtl w:val="true"/>
              </w:rPr>
              <w:t xml:space="preserve">سائر الوجوه التي ذكرها السيد صاحب البحوث </w:t>
            </w:r>
            <w:r>
              <w:rPr>
                <w:rStyle w:val="IndexLink"/>
                <w:rtl w:val="true"/>
              </w:rPr>
              <w:t>(</w:t>
            </w:r>
            <w:r>
              <w:rPr>
                <w:rStyle w:val="IndexLink"/>
                <w:rtl w:val="true"/>
              </w:rPr>
              <w:t>قدس سره</w:t>
            </w:r>
            <w:r>
              <w:rPr>
                <w:rStyle w:val="IndexLink"/>
                <w:rtl w:val="true"/>
              </w:rPr>
              <w:t>)</w:t>
              <w:tab/>
            </w:r>
            <w:r>
              <w:rPr>
                <w:rStyle w:val="IndexLink"/>
              </w:rPr>
              <w:t>182</w:t>
            </w:r>
          </w:hyperlink>
        </w:p>
        <w:p>
          <w:pPr>
            <w:pStyle w:val="Contents4"/>
            <w:tabs>
              <w:tab w:val="clear" w:pos="8176"/>
              <w:tab w:val="right" w:pos="9026" w:leader="dot"/>
            </w:tabs>
            <w:rPr/>
          </w:pPr>
          <w:hyperlink w:anchor="__RefHeading___Toc2465052_2870459653">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2465054_2870459653">
            <w:r>
              <w:rPr>
                <w:webHidden/>
                <w:rStyle w:val="IndexLink"/>
                <w:rtl w:val="true"/>
              </w:rPr>
              <w:t>الوجه الأول</w:t>
            </w:r>
            <w:r>
              <w:rPr>
                <w:rStyle w:val="IndexLink"/>
                <w:rtl w:val="true"/>
              </w:rPr>
              <w:tab/>
            </w:r>
            <w:r>
              <w:rPr>
                <w:rStyle w:val="IndexLink"/>
              </w:rPr>
              <w:t>182</w:t>
            </w:r>
          </w:hyperlink>
        </w:p>
        <w:p>
          <w:pPr>
            <w:pStyle w:val="Contents4"/>
            <w:tabs>
              <w:tab w:val="clear" w:pos="8176"/>
              <w:tab w:val="right" w:pos="9026" w:leader="dot"/>
            </w:tabs>
            <w:rPr/>
          </w:pPr>
          <w:hyperlink w:anchor="__RefHeading___Toc2465056_2870459653">
            <w:r>
              <w:rPr>
                <w:webHidden/>
                <w:rStyle w:val="IndexLink"/>
                <w:rtl w:val="true"/>
              </w:rPr>
              <w:t>الوجه الثاني</w:t>
            </w:r>
            <w:r>
              <w:rPr>
                <w:rStyle w:val="IndexLink"/>
                <w:rtl w:val="true"/>
              </w:rPr>
              <w:tab/>
            </w:r>
            <w:r>
              <w:rPr>
                <w:rStyle w:val="IndexLink"/>
              </w:rPr>
              <w:t>184</w:t>
            </w:r>
          </w:hyperlink>
        </w:p>
        <w:p>
          <w:pPr>
            <w:pStyle w:val="Contents4"/>
            <w:tabs>
              <w:tab w:val="clear" w:pos="8176"/>
              <w:tab w:val="right" w:pos="9026" w:leader="dot"/>
            </w:tabs>
            <w:rPr/>
          </w:pPr>
          <w:hyperlink w:anchor="__RefHeading___Toc2465058_2870459653">
            <w:r>
              <w:rPr>
                <w:webHidden/>
                <w:rStyle w:val="IndexLink"/>
                <w:rtl w:val="true"/>
              </w:rPr>
              <w:t>الوجه الثالث</w:t>
            </w:r>
            <w:r>
              <w:rPr>
                <w:rStyle w:val="IndexLink"/>
                <w:rtl w:val="true"/>
              </w:rPr>
              <w:tab/>
            </w:r>
            <w:r>
              <w:rPr>
                <w:rStyle w:val="IndexLink"/>
              </w:rPr>
              <w:t>185</w:t>
            </w:r>
          </w:hyperlink>
        </w:p>
        <w:p>
          <w:pPr>
            <w:pStyle w:val="Contents5"/>
            <w:tabs>
              <w:tab w:val="clear" w:pos="7892"/>
              <w:tab w:val="right" w:pos="9026" w:leader="dot"/>
            </w:tabs>
            <w:rPr/>
          </w:pPr>
          <w:hyperlink w:anchor="__RefHeading___Toc2465060_2870459653">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2465062_2870459653">
            <w:r>
              <w:rPr>
                <w:webHidden/>
                <w:rStyle w:val="IndexLink"/>
                <w:rtl w:val="true"/>
              </w:rPr>
              <w:t>الملحظ الأول</w:t>
            </w:r>
            <w:r>
              <w:rPr>
                <w:rStyle w:val="IndexLink"/>
                <w:rtl w:val="true"/>
              </w:rPr>
              <w:tab/>
            </w:r>
            <w:r>
              <w:rPr>
                <w:rStyle w:val="IndexLink"/>
              </w:rPr>
              <w:t>186</w:t>
            </w:r>
          </w:hyperlink>
        </w:p>
        <w:p>
          <w:pPr>
            <w:pStyle w:val="Contents5"/>
            <w:tabs>
              <w:tab w:val="clear" w:pos="7892"/>
              <w:tab w:val="right" w:pos="9026" w:leader="dot"/>
            </w:tabs>
            <w:rPr/>
          </w:pPr>
          <w:hyperlink w:anchor="__RefHeading___Toc2465064_2870459653">
            <w:r>
              <w:rPr>
                <w:webHidden/>
                <w:rStyle w:val="IndexLink"/>
                <w:rtl w:val="true"/>
              </w:rPr>
              <w:t>الملحظ الثاني</w:t>
            </w:r>
            <w:r>
              <w:rPr>
                <w:rStyle w:val="IndexLink"/>
                <w:rtl w:val="true"/>
              </w:rPr>
              <w:tab/>
            </w:r>
            <w:r>
              <w:rPr>
                <w:rStyle w:val="IndexLink"/>
              </w:rPr>
              <w:t>188</w:t>
            </w:r>
          </w:hyperlink>
        </w:p>
        <w:p>
          <w:pPr>
            <w:pStyle w:val="Contents4"/>
            <w:tabs>
              <w:tab w:val="clear" w:pos="8176"/>
              <w:tab w:val="right" w:pos="9026" w:leader="dot"/>
            </w:tabs>
            <w:rPr/>
          </w:pPr>
          <w:hyperlink w:anchor="__RefHeading___Toc2465066_2870459653">
            <w:r>
              <w:rPr>
                <w:webHidden/>
                <w:rStyle w:val="IndexLink"/>
                <w:rtl w:val="true"/>
              </w:rPr>
              <w:t>الوجه الرابع</w:t>
            </w:r>
            <w:r>
              <w:rPr>
                <w:rStyle w:val="IndexLink"/>
                <w:rtl w:val="true"/>
              </w:rPr>
              <w:tab/>
            </w:r>
            <w:r>
              <w:rPr>
                <w:rStyle w:val="IndexLink"/>
              </w:rPr>
              <w:t>188</w:t>
            </w:r>
          </w:hyperlink>
        </w:p>
        <w:p>
          <w:pPr>
            <w:pStyle w:val="Contents4"/>
            <w:tabs>
              <w:tab w:val="clear" w:pos="8176"/>
              <w:tab w:val="right" w:pos="9026" w:leader="dot"/>
            </w:tabs>
            <w:rPr/>
          </w:pPr>
          <w:hyperlink w:anchor="__RefHeading___Toc2465068_2870459653">
            <w:r>
              <w:rPr>
                <w:webHidden/>
                <w:rStyle w:val="IndexLink"/>
                <w:rtl w:val="true"/>
              </w:rPr>
              <w:t>الوجه الخامس</w:t>
            </w:r>
            <w:r>
              <w:rPr>
                <w:rStyle w:val="IndexLink"/>
                <w:rtl w:val="true"/>
              </w:rPr>
              <w:tab/>
            </w:r>
            <w:r>
              <w:rPr>
                <w:rStyle w:val="IndexLink"/>
              </w:rPr>
              <w:t>190</w:t>
            </w:r>
          </w:hyperlink>
        </w:p>
        <w:p>
          <w:pPr>
            <w:pStyle w:val="Contents3"/>
            <w:tabs>
              <w:tab w:val="clear" w:pos="8459"/>
              <w:tab w:val="right" w:pos="9026" w:leader="dot"/>
            </w:tabs>
            <w:rPr/>
          </w:pPr>
          <w:hyperlink w:anchor="__RefHeading___Toc2465070_2870459653">
            <w:r>
              <w:rPr>
                <w:webHidden/>
                <w:rStyle w:val="IndexLink"/>
                <w:rtl w:val="true"/>
              </w:rPr>
              <w:t>الخاتمة</w:t>
            </w:r>
            <w:r>
              <w:rPr>
                <w:rStyle w:val="IndexLink"/>
                <w:rtl w:val="true"/>
              </w:rPr>
              <w:tab/>
            </w:r>
            <w:r>
              <w:rPr>
                <w:rStyle w:val="IndexLink"/>
              </w:rPr>
              <w:t>201</w:t>
            </w:r>
          </w:hyperlink>
        </w:p>
        <w:p>
          <w:pPr>
            <w:pStyle w:val="Contents4"/>
            <w:tabs>
              <w:tab w:val="clear" w:pos="8176"/>
              <w:tab w:val="right" w:pos="9026" w:leader="dot"/>
            </w:tabs>
            <w:rPr/>
          </w:pPr>
          <w:hyperlink w:anchor="__RefHeading___Toc2465072_2870459653">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2465074_2870459653">
            <w:r>
              <w:rPr>
                <w:webHidden/>
                <w:rStyle w:val="IndexLink"/>
                <w:rtl w:val="true"/>
              </w:rPr>
              <w:t>القسم الأول</w:t>
            </w:r>
            <w:r>
              <w:rPr>
                <w:rStyle w:val="IndexLink"/>
                <w:rtl w:val="true"/>
              </w:rPr>
              <w:tab/>
            </w:r>
            <w:r>
              <w:rPr>
                <w:rStyle w:val="IndexLink"/>
              </w:rPr>
              <w:t>201</w:t>
            </w:r>
          </w:hyperlink>
        </w:p>
        <w:p>
          <w:pPr>
            <w:pStyle w:val="Contents5"/>
            <w:tabs>
              <w:tab w:val="clear" w:pos="7892"/>
              <w:tab w:val="right" w:pos="9026" w:leader="dot"/>
            </w:tabs>
            <w:rPr/>
          </w:pPr>
          <w:hyperlink w:anchor="__RefHeading___Toc2465076_2870459653">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2465078_2870459653">
            <w:r>
              <w:rPr>
                <w:webHidden/>
                <w:rStyle w:val="IndexLink"/>
                <w:rtl w:val="true"/>
              </w:rPr>
              <w:t>الأمر الأول</w:t>
            </w:r>
            <w:r>
              <w:rPr>
                <w:rStyle w:val="IndexLink"/>
                <w:rtl w:val="true"/>
              </w:rPr>
              <w:tab/>
            </w:r>
            <w:r>
              <w:rPr>
                <w:rStyle w:val="IndexLink"/>
              </w:rPr>
              <w:t>201</w:t>
            </w:r>
          </w:hyperlink>
        </w:p>
        <w:p>
          <w:pPr>
            <w:pStyle w:val="Contents5"/>
            <w:tabs>
              <w:tab w:val="clear" w:pos="7892"/>
              <w:tab w:val="right" w:pos="9026" w:leader="dot"/>
            </w:tabs>
            <w:rPr/>
          </w:pPr>
          <w:hyperlink w:anchor="__RefHeading___Toc2465080_2870459653">
            <w:r>
              <w:rPr>
                <w:webHidden/>
                <w:rStyle w:val="IndexLink"/>
                <w:rtl w:val="true"/>
              </w:rPr>
              <w:t>الأمر الثاني</w:t>
            </w:r>
            <w:r>
              <w:rPr>
                <w:rStyle w:val="IndexLink"/>
                <w:rtl w:val="true"/>
              </w:rPr>
              <w:tab/>
            </w:r>
            <w:r>
              <w:rPr>
                <w:rStyle w:val="IndexLink"/>
              </w:rPr>
              <w:t>201</w:t>
            </w:r>
          </w:hyperlink>
        </w:p>
        <w:p>
          <w:pPr>
            <w:pStyle w:val="Contents5"/>
            <w:tabs>
              <w:tab w:val="clear" w:pos="7892"/>
              <w:tab w:val="right" w:pos="9026" w:leader="dot"/>
            </w:tabs>
            <w:rPr/>
          </w:pPr>
          <w:hyperlink w:anchor="__RefHeading___Toc2465082_2870459653">
            <w:r>
              <w:rPr>
                <w:webHidden/>
                <w:rStyle w:val="IndexLink"/>
                <w:rtl w:val="true"/>
              </w:rPr>
              <w:t>الأمر الثالث</w:t>
            </w:r>
            <w:r>
              <w:rPr>
                <w:rStyle w:val="IndexLink"/>
                <w:rtl w:val="true"/>
              </w:rPr>
              <w:tab/>
            </w:r>
            <w:r>
              <w:rPr>
                <w:rStyle w:val="IndexLink"/>
              </w:rPr>
              <w:t>201</w:t>
            </w:r>
          </w:hyperlink>
        </w:p>
        <w:p>
          <w:pPr>
            <w:pStyle w:val="Contents6"/>
            <w:tabs>
              <w:tab w:val="clear" w:pos="7609"/>
              <w:tab w:val="right" w:pos="9026" w:leader="dot"/>
            </w:tabs>
            <w:rPr/>
          </w:pPr>
          <w:hyperlink w:anchor="__RefHeading___Toc2465084_2870459653">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2465086_2870459653">
            <w:r>
              <w:rPr>
                <w:webHidden/>
                <w:rStyle w:val="IndexLink"/>
                <w:rtl w:val="true"/>
              </w:rPr>
              <w:t>الجهة الأولى</w:t>
            </w:r>
            <w:r>
              <w:rPr>
                <w:rStyle w:val="IndexLink"/>
                <w:rtl w:val="true"/>
              </w:rPr>
              <w:tab/>
            </w:r>
            <w:r>
              <w:rPr>
                <w:rStyle w:val="IndexLink"/>
              </w:rPr>
              <w:t>202</w:t>
            </w:r>
          </w:hyperlink>
        </w:p>
        <w:p>
          <w:pPr>
            <w:pStyle w:val="Contents6"/>
            <w:tabs>
              <w:tab w:val="clear" w:pos="7609"/>
              <w:tab w:val="right" w:pos="9026" w:leader="dot"/>
            </w:tabs>
            <w:rPr/>
          </w:pPr>
          <w:hyperlink w:anchor="__RefHeading___Toc2465088_2870459653">
            <w:r>
              <w:rPr>
                <w:webHidden/>
                <w:rStyle w:val="IndexLink"/>
                <w:rtl w:val="true"/>
              </w:rPr>
              <w:t>الجهة الثانية</w:t>
            </w:r>
            <w:r>
              <w:rPr>
                <w:rStyle w:val="IndexLink"/>
                <w:rtl w:val="true"/>
              </w:rPr>
              <w:tab/>
            </w:r>
            <w:r>
              <w:rPr>
                <w:rStyle w:val="IndexLink"/>
              </w:rPr>
              <w:t>202</w:t>
            </w:r>
          </w:hyperlink>
        </w:p>
        <w:p>
          <w:pPr>
            <w:pStyle w:val="Contents5"/>
            <w:tabs>
              <w:tab w:val="clear" w:pos="7892"/>
              <w:tab w:val="right" w:pos="9026" w:leader="dot"/>
            </w:tabs>
            <w:rPr/>
          </w:pPr>
          <w:hyperlink w:anchor="__RefHeading___Toc2465090_2870459653">
            <w:r>
              <w:rPr>
                <w:webHidden/>
                <w:rStyle w:val="IndexLink"/>
                <w:rtl w:val="true"/>
              </w:rPr>
              <w:t>الأمر الرابع</w:t>
            </w:r>
            <w:r>
              <w:rPr>
                <w:rStyle w:val="IndexLink"/>
                <w:rtl w:val="true"/>
              </w:rPr>
              <w:tab/>
            </w:r>
            <w:r>
              <w:rPr>
                <w:rStyle w:val="IndexLink"/>
              </w:rPr>
              <w:t>204</w:t>
            </w:r>
          </w:hyperlink>
        </w:p>
        <w:p>
          <w:pPr>
            <w:pStyle w:val="Contents6"/>
            <w:tabs>
              <w:tab w:val="clear" w:pos="7609"/>
              <w:tab w:val="right" w:pos="9026" w:leader="dot"/>
            </w:tabs>
            <w:rPr/>
          </w:pPr>
          <w:hyperlink w:anchor="__RefHeading___Toc2465092_2870459653">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2465094_2870459653">
            <w:r>
              <w:rPr>
                <w:webHidden/>
                <w:rStyle w:val="IndexLink"/>
                <w:rtl w:val="true"/>
              </w:rPr>
              <w:t>الموضع الأول</w:t>
            </w:r>
            <w:r>
              <w:rPr>
                <w:rStyle w:val="IndexLink"/>
                <w:rtl w:val="true"/>
              </w:rPr>
              <w:tab/>
            </w:r>
            <w:r>
              <w:rPr>
                <w:rStyle w:val="IndexLink"/>
              </w:rPr>
              <w:t>204</w:t>
            </w:r>
          </w:hyperlink>
        </w:p>
        <w:p>
          <w:pPr>
            <w:pStyle w:val="Contents6"/>
            <w:tabs>
              <w:tab w:val="clear" w:pos="7609"/>
              <w:tab w:val="right" w:pos="9026" w:leader="dot"/>
            </w:tabs>
            <w:rPr/>
          </w:pPr>
          <w:hyperlink w:anchor="__RefHeading___Toc2465096_2870459653">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2465098_2870459653">
            <w:r>
              <w:rPr>
                <w:webHidden/>
                <w:rStyle w:val="IndexLink"/>
                <w:rtl w:val="true"/>
              </w:rPr>
              <w:t>القول الأول</w:t>
            </w:r>
            <w:r>
              <w:rPr>
                <w:rStyle w:val="IndexLink"/>
                <w:rtl w:val="true"/>
              </w:rPr>
              <w:tab/>
            </w:r>
            <w:r>
              <w:rPr>
                <w:rStyle w:val="IndexLink"/>
              </w:rPr>
              <w:t>204</w:t>
            </w:r>
          </w:hyperlink>
        </w:p>
        <w:p>
          <w:pPr>
            <w:pStyle w:val="Contents6"/>
            <w:tabs>
              <w:tab w:val="clear" w:pos="7609"/>
              <w:tab w:val="right" w:pos="9026" w:leader="dot"/>
            </w:tabs>
            <w:rPr/>
          </w:pPr>
          <w:hyperlink w:anchor="__RefHeading___Toc2465100_2870459653">
            <w:r>
              <w:rPr>
                <w:webHidden/>
                <w:rStyle w:val="IndexLink"/>
                <w:rtl w:val="true"/>
              </w:rPr>
              <w:t>القول الثاني</w:t>
            </w:r>
            <w:r>
              <w:rPr>
                <w:rStyle w:val="IndexLink"/>
                <w:rtl w:val="true"/>
              </w:rPr>
              <w:tab/>
            </w:r>
            <w:r>
              <w:rPr>
                <w:rStyle w:val="IndexLink"/>
              </w:rPr>
              <w:t>204</w:t>
            </w:r>
          </w:hyperlink>
        </w:p>
        <w:p>
          <w:pPr>
            <w:pStyle w:val="Contents6"/>
            <w:tabs>
              <w:tab w:val="clear" w:pos="7609"/>
              <w:tab w:val="right" w:pos="9026" w:leader="dot"/>
            </w:tabs>
            <w:rPr/>
          </w:pPr>
          <w:hyperlink w:anchor="__RefHeading___Toc2465102_2870459653">
            <w:r>
              <w:rPr>
                <w:webHidden/>
                <w:rStyle w:val="IndexLink"/>
                <w:rtl w:val="true"/>
              </w:rPr>
              <w:t>الموضع الثاني</w:t>
            </w:r>
            <w:r>
              <w:rPr>
                <w:rStyle w:val="IndexLink"/>
                <w:rtl w:val="true"/>
              </w:rPr>
              <w:tab/>
            </w:r>
            <w:r>
              <w:rPr>
                <w:rStyle w:val="IndexLink"/>
              </w:rPr>
              <w:t>205</w:t>
            </w:r>
          </w:hyperlink>
        </w:p>
        <w:p>
          <w:pPr>
            <w:pStyle w:val="Contents6"/>
            <w:tabs>
              <w:tab w:val="clear" w:pos="7609"/>
              <w:tab w:val="right" w:pos="9026" w:leader="dot"/>
            </w:tabs>
            <w:rPr/>
          </w:pPr>
          <w:hyperlink w:anchor="__RefHeading___Toc2465104_2870459653">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2465106_2870459653">
            <w:r>
              <w:rPr>
                <w:webHidden/>
                <w:rStyle w:val="IndexLink"/>
                <w:rtl w:val="true"/>
              </w:rPr>
              <w:t>القول الأول</w:t>
            </w:r>
            <w:r>
              <w:rPr>
                <w:rStyle w:val="IndexLink"/>
                <w:rtl w:val="true"/>
              </w:rPr>
              <w:tab/>
            </w:r>
            <w:r>
              <w:rPr>
                <w:rStyle w:val="IndexLink"/>
              </w:rPr>
              <w:t>205</w:t>
            </w:r>
          </w:hyperlink>
        </w:p>
        <w:p>
          <w:pPr>
            <w:pStyle w:val="Contents6"/>
            <w:tabs>
              <w:tab w:val="clear" w:pos="7609"/>
              <w:tab w:val="right" w:pos="9026" w:leader="dot"/>
            </w:tabs>
            <w:rPr/>
          </w:pPr>
          <w:hyperlink w:anchor="__RefHeading___Toc2465108_2870459653">
            <w:r>
              <w:rPr>
                <w:webHidden/>
                <w:rStyle w:val="IndexLink"/>
                <w:rtl w:val="true"/>
              </w:rPr>
              <w:t>القول الثاني</w:t>
            </w:r>
            <w:r>
              <w:rPr>
                <w:rStyle w:val="IndexLink"/>
                <w:rtl w:val="true"/>
              </w:rPr>
              <w:tab/>
            </w:r>
            <w:r>
              <w:rPr>
                <w:rStyle w:val="IndexLink"/>
              </w:rPr>
              <w:t>205</w:t>
            </w:r>
          </w:hyperlink>
        </w:p>
        <w:p>
          <w:pPr>
            <w:pStyle w:val="Contents4"/>
            <w:tabs>
              <w:tab w:val="clear" w:pos="8176"/>
              <w:tab w:val="right" w:pos="9026" w:leader="dot"/>
            </w:tabs>
            <w:rPr/>
          </w:pPr>
          <w:hyperlink w:anchor="__RefHeading___Toc2465110_2870459653">
            <w:r>
              <w:rPr>
                <w:webHidden/>
                <w:rStyle w:val="IndexLink"/>
                <w:rtl w:val="true"/>
              </w:rPr>
              <w:t>القسم الثاني</w:t>
            </w:r>
            <w:r>
              <w:rPr>
                <w:rStyle w:val="IndexLink"/>
                <w:rtl w:val="true"/>
              </w:rPr>
              <w:tab/>
            </w:r>
            <w:r>
              <w:rPr>
                <w:rStyle w:val="IndexLink"/>
              </w:rPr>
              <w:t>205</w:t>
            </w:r>
          </w:hyperlink>
        </w:p>
        <w:p>
          <w:pPr>
            <w:pStyle w:val="Contents5"/>
            <w:tabs>
              <w:tab w:val="clear" w:pos="7892"/>
              <w:tab w:val="right" w:pos="9026" w:leader="dot"/>
            </w:tabs>
            <w:rPr/>
          </w:pPr>
          <w:hyperlink w:anchor="__RefHeading___Toc2465112_2870459653">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2465114_2870459653">
            <w:r>
              <w:rPr>
                <w:webHidden/>
                <w:rStyle w:val="IndexLink"/>
                <w:rtl w:val="true"/>
              </w:rPr>
              <w:t>المسلك الأول</w:t>
            </w:r>
            <w:r>
              <w:rPr>
                <w:rStyle w:val="IndexLink"/>
                <w:rtl w:val="true"/>
              </w:rPr>
              <w:tab/>
            </w:r>
            <w:r>
              <w:rPr>
                <w:rStyle w:val="IndexLink"/>
              </w:rPr>
              <w:t>206</w:t>
            </w:r>
          </w:hyperlink>
        </w:p>
        <w:p>
          <w:pPr>
            <w:pStyle w:val="Contents5"/>
            <w:tabs>
              <w:tab w:val="clear" w:pos="7892"/>
              <w:tab w:val="right" w:pos="9026" w:leader="dot"/>
            </w:tabs>
            <w:rPr/>
          </w:pPr>
          <w:hyperlink w:anchor="__RefHeading___Toc2465116_2870459653">
            <w:r>
              <w:rPr>
                <w:webHidden/>
                <w:rStyle w:val="IndexLink"/>
                <w:rtl w:val="true"/>
              </w:rPr>
              <w:t>المسلك الثاني</w:t>
            </w:r>
            <w:r>
              <w:rPr>
                <w:rStyle w:val="IndexLink"/>
                <w:rtl w:val="true"/>
              </w:rPr>
              <w:tab/>
            </w:r>
            <w:r>
              <w:rPr>
                <w:rStyle w:val="IndexLink"/>
              </w:rPr>
              <w:t>206</w:t>
            </w:r>
          </w:hyperlink>
        </w:p>
        <w:p>
          <w:pPr>
            <w:pStyle w:val="Contents6"/>
            <w:tabs>
              <w:tab w:val="clear" w:pos="7609"/>
              <w:tab w:val="right" w:pos="9026" w:leader="dot"/>
            </w:tabs>
            <w:rPr/>
          </w:pPr>
          <w:hyperlink w:anchor="__RefHeading___Toc2465118_2870459653">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2465120_2870459653">
            <w:r>
              <w:rPr>
                <w:webHidden/>
                <w:rStyle w:val="IndexLink"/>
                <w:rtl w:val="true"/>
              </w:rPr>
              <w:t>الأمر الأول</w:t>
            </w:r>
            <w:r>
              <w:rPr>
                <w:rStyle w:val="IndexLink"/>
                <w:rtl w:val="true"/>
              </w:rPr>
              <w:tab/>
            </w:r>
            <w:r>
              <w:rPr>
                <w:rStyle w:val="IndexLink"/>
              </w:rPr>
              <w:t>206</w:t>
            </w:r>
          </w:hyperlink>
        </w:p>
        <w:p>
          <w:pPr>
            <w:pStyle w:val="Contents6"/>
            <w:tabs>
              <w:tab w:val="clear" w:pos="7609"/>
              <w:tab w:val="right" w:pos="9026" w:leader="dot"/>
            </w:tabs>
            <w:rPr/>
          </w:pPr>
          <w:hyperlink w:anchor="__RefHeading___Toc2465122_2870459653">
            <w:r>
              <w:rPr>
                <w:webHidden/>
                <w:rStyle w:val="IndexLink"/>
                <w:rtl w:val="true"/>
              </w:rPr>
              <w:t>الأمر الثاني</w:t>
            </w:r>
            <w:r>
              <w:rPr>
                <w:rStyle w:val="IndexLink"/>
                <w:rtl w:val="true"/>
              </w:rPr>
              <w:tab/>
            </w:r>
            <w:r>
              <w:rPr>
                <w:rStyle w:val="IndexLink"/>
              </w:rPr>
              <w:t>207</w:t>
            </w:r>
          </w:hyperlink>
        </w:p>
        <w:p>
          <w:pPr>
            <w:pStyle w:val="Contents6"/>
            <w:tabs>
              <w:tab w:val="clear" w:pos="7609"/>
              <w:tab w:val="right" w:pos="9026" w:leader="dot"/>
            </w:tabs>
            <w:rPr/>
          </w:pPr>
          <w:hyperlink w:anchor="__RefHeading___Toc2465124_2870459653">
            <w:r>
              <w:rPr>
                <w:webHidden/>
                <w:rStyle w:val="IndexLink"/>
                <w:rtl w:val="true"/>
              </w:rPr>
              <w:t>الأمر الثالث</w:t>
            </w:r>
            <w:r>
              <w:rPr>
                <w:rStyle w:val="IndexLink"/>
                <w:rtl w:val="true"/>
              </w:rPr>
              <w:tab/>
            </w:r>
            <w:r>
              <w:rPr>
                <w:rStyle w:val="IndexLink"/>
              </w:rPr>
              <w:t>207</w:t>
            </w:r>
          </w:hyperlink>
        </w:p>
        <w:p>
          <w:pPr>
            <w:pStyle w:val="Contents6"/>
            <w:tabs>
              <w:tab w:val="clear" w:pos="7609"/>
              <w:tab w:val="right" w:pos="9026" w:leader="dot"/>
            </w:tabs>
            <w:rPr/>
          </w:pPr>
          <w:hyperlink w:anchor="__RefHeading___Toc2465126_2870459653">
            <w:r>
              <w:rPr>
                <w:webHidden/>
                <w:rStyle w:val="IndexLink"/>
                <w:rtl w:val="true"/>
              </w:rPr>
              <w:t>الأمر الرابع</w:t>
            </w:r>
            <w:r>
              <w:rPr>
                <w:rStyle w:val="IndexLink"/>
                <w:rtl w:val="true"/>
              </w:rPr>
              <w:tab/>
            </w:r>
            <w:r>
              <w:rPr>
                <w:rStyle w:val="IndexLink"/>
              </w:rPr>
              <w:t>207</w:t>
            </w:r>
          </w:hyperlink>
        </w:p>
        <w:p>
          <w:pPr>
            <w:pStyle w:val="Contents3"/>
            <w:tabs>
              <w:tab w:val="clear" w:pos="8459"/>
              <w:tab w:val="right" w:pos="9026" w:leader="dot"/>
            </w:tabs>
            <w:rPr/>
          </w:pPr>
          <w:hyperlink w:anchor="__RefHeading___Toc2465128_2870459653">
            <w:r>
              <w:rPr>
                <w:webHidden/>
                <w:rStyle w:val="IndexLink"/>
                <w:rtl w:val="true"/>
              </w:rPr>
              <w:t>نتائج البحث</w:t>
            </w:r>
            <w:r>
              <w:rPr>
                <w:rStyle w:val="IndexLink"/>
                <w:rtl w:val="true"/>
              </w:rPr>
              <w:tab/>
            </w:r>
            <w:r>
              <w:rPr>
                <w:rStyle w:val="IndexLink"/>
              </w:rPr>
              <w:t>208</w:t>
            </w:r>
          </w:hyperlink>
        </w:p>
        <w:p>
          <w:pPr>
            <w:pStyle w:val="Contents4"/>
            <w:tabs>
              <w:tab w:val="clear" w:pos="8176"/>
              <w:tab w:val="right" w:pos="9026" w:leader="dot"/>
            </w:tabs>
            <w:rPr/>
          </w:pPr>
          <w:hyperlink w:anchor="__RefHeading___Toc2465130_2870459653">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2465132_2870459653">
            <w:r>
              <w:rPr>
                <w:webHidden/>
                <w:rStyle w:val="IndexLink"/>
                <w:rtl w:val="true"/>
              </w:rPr>
              <w:t>النتيجة الأولى</w:t>
            </w:r>
            <w:r>
              <w:rPr>
                <w:rStyle w:val="IndexLink"/>
                <w:rtl w:val="true"/>
              </w:rPr>
              <w:tab/>
            </w:r>
            <w:r>
              <w:rPr>
                <w:rStyle w:val="IndexLink"/>
              </w:rPr>
              <w:t>208</w:t>
            </w:r>
          </w:hyperlink>
        </w:p>
        <w:p>
          <w:pPr>
            <w:pStyle w:val="Contents4"/>
            <w:tabs>
              <w:tab w:val="clear" w:pos="8176"/>
              <w:tab w:val="right" w:pos="9026" w:leader="dot"/>
            </w:tabs>
            <w:rPr/>
          </w:pPr>
          <w:hyperlink w:anchor="__RefHeading___Toc2465134_2870459653">
            <w:r>
              <w:rPr>
                <w:webHidden/>
                <w:rStyle w:val="IndexLink"/>
                <w:rtl w:val="true"/>
              </w:rPr>
              <w:t>النتيجة الثانية</w:t>
            </w:r>
            <w:r>
              <w:rPr>
                <w:rStyle w:val="IndexLink"/>
                <w:rtl w:val="true"/>
              </w:rPr>
              <w:tab/>
            </w:r>
            <w:r>
              <w:rPr>
                <w:rStyle w:val="IndexLink"/>
              </w:rPr>
              <w:t>208</w:t>
            </w:r>
          </w:hyperlink>
        </w:p>
        <w:p>
          <w:pPr>
            <w:pStyle w:val="Contents4"/>
            <w:tabs>
              <w:tab w:val="clear" w:pos="8176"/>
              <w:tab w:val="right" w:pos="9026" w:leader="dot"/>
            </w:tabs>
            <w:rPr/>
          </w:pPr>
          <w:hyperlink w:anchor="__RefHeading___Toc2465136_2870459653">
            <w:r>
              <w:rPr>
                <w:webHidden/>
                <w:rStyle w:val="IndexLink"/>
                <w:rtl w:val="true"/>
              </w:rPr>
              <w:t>النتيجة الثالثة</w:t>
            </w:r>
            <w:r>
              <w:rPr>
                <w:rStyle w:val="IndexLink"/>
                <w:rtl w:val="true"/>
              </w:rPr>
              <w:tab/>
            </w:r>
            <w:r>
              <w:rPr>
                <w:rStyle w:val="IndexLink"/>
              </w:rPr>
              <w:t>209</w:t>
            </w:r>
          </w:hyperlink>
        </w:p>
        <w:p>
          <w:pPr>
            <w:pStyle w:val="Contents4"/>
            <w:tabs>
              <w:tab w:val="clear" w:pos="8176"/>
              <w:tab w:val="right" w:pos="9026" w:leader="dot"/>
            </w:tabs>
            <w:rPr/>
          </w:pPr>
          <w:hyperlink w:anchor="__RefHeading___Toc2465138_2870459653">
            <w:r>
              <w:rPr>
                <w:webHidden/>
                <w:rStyle w:val="IndexLink"/>
                <w:rtl w:val="true"/>
              </w:rPr>
              <w:t>النتيجة الرابعة</w:t>
            </w:r>
            <w:r>
              <w:rPr>
                <w:rStyle w:val="IndexLink"/>
                <w:rtl w:val="true"/>
              </w:rPr>
              <w:tab/>
            </w:r>
            <w:r>
              <w:rPr>
                <w:rStyle w:val="IndexLink"/>
              </w:rPr>
              <w:t>209</w:t>
            </w:r>
          </w:hyperlink>
        </w:p>
        <w:p>
          <w:pPr>
            <w:pStyle w:val="Contents4"/>
            <w:tabs>
              <w:tab w:val="clear" w:pos="8176"/>
              <w:tab w:val="right" w:pos="9026" w:leader="dot"/>
            </w:tabs>
            <w:rPr/>
          </w:pPr>
          <w:hyperlink w:anchor="__RefHeading___Toc2465140_2870459653">
            <w:r>
              <w:rPr>
                <w:webHidden/>
                <w:rStyle w:val="IndexLink"/>
                <w:rtl w:val="true"/>
              </w:rPr>
              <w:t>النتيجة الخامسة</w:t>
            </w:r>
            <w:r>
              <w:rPr>
                <w:rStyle w:val="IndexLink"/>
                <w:rtl w:val="true"/>
              </w:rPr>
              <w:tab/>
            </w:r>
            <w:r>
              <w:rPr>
                <w:rStyle w:val="IndexLink"/>
              </w:rPr>
              <w:t>210</w:t>
            </w:r>
          </w:hyperlink>
        </w:p>
        <w:p>
          <w:pPr>
            <w:pStyle w:val="Contents4"/>
            <w:tabs>
              <w:tab w:val="clear" w:pos="8176"/>
              <w:tab w:val="right" w:pos="9026" w:leader="dot"/>
            </w:tabs>
            <w:rPr/>
          </w:pPr>
          <w:hyperlink w:anchor="__RefHeading___Toc2465142_2870459653">
            <w:r>
              <w:rPr>
                <w:webHidden/>
                <w:rStyle w:val="IndexLink"/>
                <w:rtl w:val="true"/>
              </w:rPr>
              <w:t>النتيجة السادسة</w:t>
            </w:r>
            <w:r>
              <w:rPr>
                <w:rStyle w:val="IndexLink"/>
                <w:rtl w:val="true"/>
              </w:rPr>
              <w:tab/>
            </w:r>
            <w:r>
              <w:rPr>
                <w:rStyle w:val="IndexLink"/>
              </w:rPr>
              <w:t>211</w:t>
            </w:r>
          </w:hyperlink>
        </w:p>
        <w:p>
          <w:pPr>
            <w:pStyle w:val="Contents4"/>
            <w:tabs>
              <w:tab w:val="clear" w:pos="8176"/>
              <w:tab w:val="right" w:pos="9026" w:leader="dot"/>
            </w:tabs>
            <w:rPr/>
          </w:pPr>
          <w:hyperlink w:anchor="__RefHeading___Toc2465144_2870459653">
            <w:r>
              <w:rPr>
                <w:webHidden/>
                <w:rStyle w:val="IndexLink"/>
                <w:rtl w:val="true"/>
              </w:rPr>
              <w:t>النتيجة السابعة</w:t>
            </w:r>
            <w:r>
              <w:rPr>
                <w:rStyle w:val="IndexLink"/>
                <w:rtl w:val="true"/>
              </w:rPr>
              <w:tab/>
            </w:r>
            <w:r>
              <w:rPr>
                <w:rStyle w:val="IndexLink"/>
              </w:rPr>
              <w:t>212</w:t>
            </w:r>
          </w:hyperlink>
        </w:p>
        <w:p>
          <w:pPr>
            <w:pStyle w:val="Contents3"/>
            <w:tabs>
              <w:tab w:val="clear" w:pos="8459"/>
              <w:tab w:val="right" w:pos="9026" w:leader="dot"/>
            </w:tabs>
            <w:rPr/>
          </w:pPr>
          <w:hyperlink w:anchor="__RefHeading___Toc2465146_2870459653">
            <w:r>
              <w:rPr>
                <w:webHidden/>
                <w:rStyle w:val="IndexLink"/>
                <w:rtl w:val="true"/>
              </w:rPr>
              <w:t>المصادر</w:t>
            </w:r>
            <w:r>
              <w:rPr>
                <w:rStyle w:val="IndexLink"/>
                <w:rtl w:val="true"/>
              </w:rPr>
              <w:tab/>
            </w:r>
            <w:r>
              <w:rPr>
                <w:rStyle w:val="IndexLink"/>
              </w:rPr>
              <w:t>213</w:t>
            </w:r>
          </w:hyperlink>
        </w:p>
        <w:p>
          <w:pPr>
            <w:pStyle w:val="Contents2"/>
            <w:tabs>
              <w:tab w:val="clear" w:pos="8743"/>
              <w:tab w:val="right" w:pos="9026" w:leader="dot"/>
            </w:tabs>
            <w:rPr/>
          </w:pPr>
          <w:hyperlink w:anchor="__RefHeading___Toc2465148_2870459653">
            <w:r>
              <w:rPr>
                <w:webHidden/>
                <w:rStyle w:val="IndexLink"/>
                <w:rtl w:val="true"/>
              </w:rPr>
              <w:t xml:space="preserve">حديث الحجب </w:t>
            </w:r>
            <w:r>
              <w:rPr>
                <w:rStyle w:val="IndexLink"/>
                <w:rtl w:val="true"/>
              </w:rPr>
              <w:t xml:space="preserve">- </w:t>
            </w:r>
            <w:r>
              <w:rPr>
                <w:rStyle w:val="IndexLink"/>
                <w:rtl w:val="true"/>
              </w:rPr>
              <w:t xml:space="preserve">الشيخ منذر الخزاعي </w:t>
            </w:r>
            <w:r>
              <w:rPr>
                <w:rStyle w:val="IndexLink"/>
                <w:rtl w:val="true"/>
              </w:rPr>
              <w:t>(</w:t>
            </w:r>
            <w:r>
              <w:rPr>
                <w:rStyle w:val="IndexLink"/>
                <w:rtl w:val="true"/>
              </w:rPr>
              <w:t>دام عزه</w:t>
            </w:r>
            <w:r>
              <w:rPr>
                <w:rStyle w:val="IndexLink"/>
                <w:rtl w:val="true"/>
              </w:rPr>
              <w:t>)</w:t>
              <w:tab/>
            </w:r>
            <w:r>
              <w:rPr>
                <w:rStyle w:val="IndexLink"/>
              </w:rPr>
              <w:t>214</w:t>
            </w:r>
          </w:hyperlink>
        </w:p>
        <w:p>
          <w:pPr>
            <w:pStyle w:val="Contents3"/>
            <w:tabs>
              <w:tab w:val="clear" w:pos="8459"/>
              <w:tab w:val="right" w:pos="9026" w:leader="dot"/>
            </w:tabs>
            <w:rPr/>
          </w:pPr>
          <w:hyperlink w:anchor="__RefHeading___Toc2465150_2870459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2465152_2870459653">
            <w:r>
              <w:rPr>
                <w:webHidden/>
                <w:rStyle w:val="IndexLink"/>
                <w:rtl w:val="true"/>
              </w:rPr>
              <w:t>مقدمة</w:t>
            </w:r>
            <w:r>
              <w:rPr>
                <w:rStyle w:val="IndexLink"/>
                <w:rtl w:val="true"/>
              </w:rPr>
              <w:tab/>
            </w:r>
            <w:r>
              <w:rPr>
                <w:rStyle w:val="IndexLink"/>
              </w:rPr>
              <w:t>216</w:t>
            </w:r>
          </w:hyperlink>
        </w:p>
        <w:p>
          <w:pPr>
            <w:pStyle w:val="Contents3"/>
            <w:tabs>
              <w:tab w:val="clear" w:pos="8459"/>
              <w:tab w:val="right" w:pos="9026" w:leader="dot"/>
            </w:tabs>
            <w:rPr/>
          </w:pPr>
          <w:hyperlink w:anchor="__RefHeading___Toc2465154_2870459653">
            <w:r>
              <w:rPr>
                <w:webHidden/>
                <w:rStyle w:val="IndexLink"/>
                <w:rtl w:val="true"/>
              </w:rPr>
              <w:t>المقام الأول</w:t>
            </w:r>
            <w:r>
              <w:rPr>
                <w:rStyle w:val="IndexLink"/>
                <w:rtl w:val="true"/>
              </w:rPr>
              <w:t xml:space="preserve">: </w:t>
            </w:r>
            <w:r>
              <w:rPr>
                <w:rStyle w:val="IndexLink"/>
                <w:rtl w:val="true"/>
              </w:rPr>
              <w:t>لفظ الحديث</w:t>
            </w:r>
            <w:r>
              <w:rPr>
                <w:rStyle w:val="IndexLink"/>
                <w:rtl w:val="true"/>
              </w:rPr>
              <w:tab/>
            </w:r>
            <w:r>
              <w:rPr>
                <w:rStyle w:val="IndexLink"/>
              </w:rPr>
              <w:t>217</w:t>
            </w:r>
          </w:hyperlink>
        </w:p>
        <w:p>
          <w:pPr>
            <w:pStyle w:val="Contents4"/>
            <w:tabs>
              <w:tab w:val="clear" w:pos="8176"/>
              <w:tab w:val="right" w:pos="9026" w:leader="dot"/>
            </w:tabs>
            <w:rPr/>
          </w:pPr>
          <w:hyperlink w:anchor="__RefHeading___Toc2465156_2870459653">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2465158_2870459653">
            <w:r>
              <w:rPr>
                <w:webHidden/>
                <w:rStyle w:val="IndexLink"/>
                <w:rtl w:val="true"/>
              </w:rPr>
              <w:t>اللفظ الأول</w:t>
            </w:r>
            <w:r>
              <w:rPr>
                <w:rStyle w:val="IndexLink"/>
                <w:rtl w:val="true"/>
              </w:rPr>
              <w:tab/>
            </w:r>
            <w:r>
              <w:rPr>
                <w:rStyle w:val="IndexLink"/>
              </w:rPr>
              <w:t>217</w:t>
            </w:r>
          </w:hyperlink>
        </w:p>
        <w:p>
          <w:pPr>
            <w:pStyle w:val="Contents4"/>
            <w:tabs>
              <w:tab w:val="clear" w:pos="8176"/>
              <w:tab w:val="right" w:pos="9026" w:leader="dot"/>
            </w:tabs>
            <w:rPr/>
          </w:pPr>
          <w:hyperlink w:anchor="__RefHeading___Toc2465160_2870459653">
            <w:r>
              <w:rPr>
                <w:webHidden/>
                <w:rStyle w:val="IndexLink"/>
                <w:rtl w:val="true"/>
              </w:rPr>
              <w:t>اللفظ الثاني</w:t>
            </w:r>
            <w:r>
              <w:rPr>
                <w:rStyle w:val="IndexLink"/>
                <w:rtl w:val="true"/>
              </w:rPr>
              <w:tab/>
            </w:r>
            <w:r>
              <w:rPr>
                <w:rStyle w:val="IndexLink"/>
              </w:rPr>
              <w:t>218</w:t>
            </w:r>
          </w:hyperlink>
        </w:p>
        <w:p>
          <w:pPr>
            <w:pStyle w:val="Contents4"/>
            <w:tabs>
              <w:tab w:val="clear" w:pos="8176"/>
              <w:tab w:val="right" w:pos="9026" w:leader="dot"/>
            </w:tabs>
            <w:rPr/>
          </w:pPr>
          <w:hyperlink w:anchor="__RefHeading___Toc2465162_2870459653">
            <w:r>
              <w:rPr>
                <w:webHidden/>
                <w:rStyle w:val="IndexLink"/>
                <w:rtl w:val="true"/>
              </w:rPr>
              <w:t>اللفظ الثالث</w:t>
            </w:r>
            <w:r>
              <w:rPr>
                <w:rStyle w:val="IndexLink"/>
                <w:rtl w:val="true"/>
              </w:rPr>
              <w:tab/>
            </w:r>
            <w:r>
              <w:rPr>
                <w:rStyle w:val="IndexLink"/>
              </w:rPr>
              <w:t>218</w:t>
            </w:r>
          </w:hyperlink>
        </w:p>
        <w:p>
          <w:pPr>
            <w:pStyle w:val="Contents3"/>
            <w:tabs>
              <w:tab w:val="clear" w:pos="8459"/>
              <w:tab w:val="right" w:pos="9026" w:leader="dot"/>
            </w:tabs>
            <w:rPr/>
          </w:pPr>
          <w:hyperlink w:anchor="__RefHeading___Toc2465164_2870459653">
            <w:r>
              <w:rPr>
                <w:webHidden/>
                <w:rStyle w:val="IndexLink"/>
                <w:rtl w:val="true"/>
              </w:rPr>
              <w:t>المقام الثاني</w:t>
            </w:r>
            <w:r>
              <w:rPr>
                <w:rStyle w:val="IndexLink"/>
                <w:rtl w:val="true"/>
              </w:rPr>
              <w:t xml:space="preserve">: </w:t>
            </w:r>
            <w:r>
              <w:rPr>
                <w:rStyle w:val="IndexLink"/>
                <w:rtl w:val="true"/>
              </w:rPr>
              <w:t>سند الحديث</w:t>
            </w:r>
            <w:r>
              <w:rPr>
                <w:rStyle w:val="IndexLink"/>
                <w:rtl w:val="true"/>
              </w:rPr>
              <w:tab/>
            </w:r>
            <w:r>
              <w:rPr>
                <w:rStyle w:val="IndexLink"/>
              </w:rPr>
              <w:t>226</w:t>
            </w:r>
          </w:hyperlink>
        </w:p>
        <w:p>
          <w:pPr>
            <w:pStyle w:val="Contents4"/>
            <w:tabs>
              <w:tab w:val="clear" w:pos="8176"/>
              <w:tab w:val="right" w:pos="9026" w:leader="dot"/>
            </w:tabs>
            <w:rPr/>
          </w:pPr>
          <w:hyperlink w:anchor="__RefHeading___Toc2465166_2870459653">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2465168_2870459653">
            <w:r>
              <w:rPr>
                <w:webHidden/>
                <w:rStyle w:val="IndexLink"/>
              </w:rPr>
              <w:t>1</w:t>
            </w:r>
            <w:r>
              <w:rPr>
                <w:rStyle w:val="IndexLink"/>
                <w:rtl w:val="true"/>
              </w:rPr>
              <w:t xml:space="preserve">- </w:t>
            </w:r>
            <w:r>
              <w:rPr>
                <w:rStyle w:val="IndexLink"/>
                <w:rtl w:val="true"/>
              </w:rPr>
              <w:t>أحمد بن محمد بن يحيى العطار</w:t>
            </w:r>
            <w:r>
              <w:rPr>
                <w:rStyle w:val="IndexLink"/>
                <w:rtl w:val="true"/>
              </w:rPr>
              <w:tab/>
            </w:r>
            <w:r>
              <w:rPr>
                <w:rStyle w:val="IndexLink"/>
              </w:rPr>
              <w:t>226</w:t>
            </w:r>
          </w:hyperlink>
        </w:p>
        <w:p>
          <w:pPr>
            <w:pStyle w:val="Contents4"/>
            <w:tabs>
              <w:tab w:val="clear" w:pos="8176"/>
              <w:tab w:val="right" w:pos="9026" w:leader="dot"/>
            </w:tabs>
            <w:rPr/>
          </w:pPr>
          <w:hyperlink w:anchor="__RefHeading___Toc2465170_2870459653">
            <w:r>
              <w:rPr>
                <w:webHidden/>
                <w:rStyle w:val="IndexLink"/>
              </w:rPr>
              <w:t>2</w:t>
            </w:r>
            <w:r>
              <w:rPr>
                <w:rStyle w:val="IndexLink"/>
                <w:rtl w:val="true"/>
              </w:rPr>
              <w:t xml:space="preserve"> - </w:t>
            </w:r>
            <w:r>
              <w:rPr>
                <w:rStyle w:val="IndexLink"/>
                <w:rtl w:val="true"/>
              </w:rPr>
              <w:t>محمد بن يحيى العطار</w:t>
            </w:r>
            <w:r>
              <w:rPr>
                <w:rStyle w:val="IndexLink"/>
                <w:rtl w:val="true"/>
              </w:rPr>
              <w:tab/>
            </w:r>
            <w:r>
              <w:rPr>
                <w:rStyle w:val="IndexLink"/>
              </w:rPr>
              <w:t>229</w:t>
            </w:r>
          </w:hyperlink>
        </w:p>
        <w:p>
          <w:pPr>
            <w:pStyle w:val="Contents4"/>
            <w:tabs>
              <w:tab w:val="clear" w:pos="8176"/>
              <w:tab w:val="right" w:pos="9026" w:leader="dot"/>
            </w:tabs>
            <w:rPr/>
          </w:pPr>
          <w:hyperlink w:anchor="__RefHeading___Toc2465172_2870459653">
            <w:r>
              <w:rPr>
                <w:webHidden/>
                <w:rStyle w:val="IndexLink"/>
              </w:rPr>
              <w:t>3</w:t>
            </w:r>
            <w:r>
              <w:rPr>
                <w:rStyle w:val="IndexLink"/>
                <w:rtl w:val="true"/>
              </w:rPr>
              <w:t xml:space="preserve"> - </w:t>
            </w:r>
            <w:r>
              <w:rPr>
                <w:rStyle w:val="IndexLink"/>
                <w:rtl w:val="true"/>
              </w:rPr>
              <w:t>أحمد بن محمد بن عيسى</w:t>
            </w:r>
            <w:r>
              <w:rPr>
                <w:rStyle w:val="IndexLink"/>
                <w:rtl w:val="true"/>
              </w:rPr>
              <w:tab/>
            </w:r>
            <w:r>
              <w:rPr>
                <w:rStyle w:val="IndexLink"/>
              </w:rPr>
              <w:t>229</w:t>
            </w:r>
          </w:hyperlink>
        </w:p>
        <w:p>
          <w:pPr>
            <w:pStyle w:val="Contents4"/>
            <w:tabs>
              <w:tab w:val="clear" w:pos="8176"/>
              <w:tab w:val="right" w:pos="9026" w:leader="dot"/>
            </w:tabs>
            <w:rPr/>
          </w:pPr>
          <w:hyperlink w:anchor="__RefHeading___Toc2465174_2870459653">
            <w:r>
              <w:rPr>
                <w:webHidden/>
                <w:rStyle w:val="IndexLink"/>
              </w:rPr>
              <w:t>4</w:t>
            </w:r>
            <w:r>
              <w:rPr>
                <w:rStyle w:val="IndexLink"/>
                <w:rtl w:val="true"/>
              </w:rPr>
              <w:t xml:space="preserve"> - </w:t>
            </w:r>
            <w:r>
              <w:rPr>
                <w:rStyle w:val="IndexLink"/>
                <w:rtl w:val="true"/>
              </w:rPr>
              <w:t>ابن فضال</w:t>
            </w:r>
            <w:r>
              <w:rPr>
                <w:rStyle w:val="IndexLink"/>
                <w:rtl w:val="true"/>
              </w:rPr>
              <w:tab/>
            </w:r>
            <w:r>
              <w:rPr>
                <w:rStyle w:val="IndexLink"/>
              </w:rPr>
              <w:t>230</w:t>
            </w:r>
          </w:hyperlink>
        </w:p>
        <w:p>
          <w:pPr>
            <w:pStyle w:val="Contents4"/>
            <w:tabs>
              <w:tab w:val="clear" w:pos="8176"/>
              <w:tab w:val="right" w:pos="9026" w:leader="dot"/>
            </w:tabs>
            <w:rPr/>
          </w:pPr>
          <w:hyperlink w:anchor="__RefHeading___Toc2465176_2870459653">
            <w:r>
              <w:rPr>
                <w:webHidden/>
                <w:rStyle w:val="IndexLink"/>
              </w:rPr>
              <w:t>5</w:t>
            </w:r>
            <w:r>
              <w:rPr>
                <w:rStyle w:val="IndexLink"/>
                <w:rtl w:val="true"/>
              </w:rPr>
              <w:t xml:space="preserve">- </w:t>
            </w:r>
            <w:r>
              <w:rPr>
                <w:rStyle w:val="IndexLink"/>
                <w:rtl w:val="true"/>
              </w:rPr>
              <w:t>داود بن فرقد</w:t>
            </w:r>
            <w:r>
              <w:rPr>
                <w:rStyle w:val="IndexLink"/>
                <w:rtl w:val="true"/>
              </w:rPr>
              <w:tab/>
            </w:r>
            <w:r>
              <w:rPr>
                <w:rStyle w:val="IndexLink"/>
              </w:rPr>
              <w:t>231</w:t>
            </w:r>
          </w:hyperlink>
        </w:p>
        <w:p>
          <w:pPr>
            <w:pStyle w:val="Contents4"/>
            <w:tabs>
              <w:tab w:val="clear" w:pos="8176"/>
              <w:tab w:val="right" w:pos="9026" w:leader="dot"/>
            </w:tabs>
            <w:rPr/>
          </w:pPr>
          <w:hyperlink w:anchor="__RefHeading___Toc2465178_2870459653">
            <w:r>
              <w:rPr>
                <w:webHidden/>
                <w:rStyle w:val="IndexLink"/>
              </w:rPr>
              <w:t>6</w:t>
            </w:r>
            <w:r>
              <w:rPr>
                <w:rStyle w:val="IndexLink"/>
                <w:rtl w:val="true"/>
              </w:rPr>
              <w:t xml:space="preserve">- </w:t>
            </w:r>
            <w:r>
              <w:rPr>
                <w:rStyle w:val="IndexLink"/>
                <w:rtl w:val="true"/>
              </w:rPr>
              <w:t>أبو الحسن زكريا بن يحيى</w:t>
            </w:r>
            <w:r>
              <w:rPr>
                <w:rStyle w:val="IndexLink"/>
                <w:rtl w:val="true"/>
              </w:rPr>
              <w:tab/>
            </w:r>
            <w:r>
              <w:rPr>
                <w:rStyle w:val="IndexLink"/>
              </w:rPr>
              <w:t>231</w:t>
            </w:r>
          </w:hyperlink>
        </w:p>
        <w:p>
          <w:pPr>
            <w:pStyle w:val="Contents3"/>
            <w:tabs>
              <w:tab w:val="clear" w:pos="8459"/>
              <w:tab w:val="right" w:pos="9026" w:leader="dot"/>
            </w:tabs>
            <w:rPr/>
          </w:pPr>
          <w:hyperlink w:anchor="__RefHeading___Toc2465180_2870459653">
            <w:r>
              <w:rPr>
                <w:webHidden/>
                <w:rStyle w:val="IndexLink"/>
                <w:rtl w:val="true"/>
              </w:rPr>
              <w:t>المقام الثالث</w:t>
            </w:r>
            <w:r>
              <w:rPr>
                <w:rStyle w:val="IndexLink"/>
                <w:rtl w:val="true"/>
              </w:rPr>
              <w:t xml:space="preserve">: </w:t>
            </w:r>
            <w:r>
              <w:rPr>
                <w:rStyle w:val="IndexLink"/>
                <w:rtl w:val="true"/>
              </w:rPr>
              <w:t>دلالة الحديث</w:t>
            </w:r>
            <w:r>
              <w:rPr>
                <w:rStyle w:val="IndexLink"/>
                <w:rtl w:val="true"/>
              </w:rPr>
              <w:tab/>
            </w:r>
            <w:r>
              <w:rPr>
                <w:rStyle w:val="IndexLink"/>
              </w:rPr>
              <w:t>236</w:t>
            </w:r>
          </w:hyperlink>
        </w:p>
        <w:p>
          <w:pPr>
            <w:pStyle w:val="Contents4"/>
            <w:tabs>
              <w:tab w:val="clear" w:pos="8176"/>
              <w:tab w:val="right" w:pos="9026" w:leader="dot"/>
            </w:tabs>
            <w:rPr/>
          </w:pPr>
          <w:hyperlink w:anchor="__RefHeading___Toc2465182_2870459653">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2465184_2870459653">
            <w:r>
              <w:rPr>
                <w:webHidden/>
                <w:rStyle w:val="IndexLink"/>
                <w:rtl w:val="true"/>
              </w:rPr>
              <w:t>الأمر الأول</w:t>
            </w:r>
            <w:r>
              <w:rPr>
                <w:rStyle w:val="IndexLink"/>
                <w:rtl w:val="true"/>
              </w:rPr>
              <w:tab/>
            </w:r>
            <w:r>
              <w:rPr>
                <w:rStyle w:val="IndexLink"/>
              </w:rPr>
              <w:t>237</w:t>
            </w:r>
          </w:hyperlink>
        </w:p>
        <w:p>
          <w:pPr>
            <w:pStyle w:val="Contents4"/>
            <w:tabs>
              <w:tab w:val="clear" w:pos="8176"/>
              <w:tab w:val="right" w:pos="9026" w:leader="dot"/>
            </w:tabs>
            <w:rPr/>
          </w:pPr>
          <w:hyperlink w:anchor="__RefHeading___Toc2465186_2870459653">
            <w:r>
              <w:rPr>
                <w:webHidden/>
                <w:rStyle w:val="IndexLink"/>
                <w:rtl w:val="true"/>
              </w:rPr>
              <w:t>الأمر الثاني</w:t>
            </w:r>
            <w:r>
              <w:rPr>
                <w:rStyle w:val="IndexLink"/>
                <w:rtl w:val="true"/>
              </w:rPr>
              <w:tab/>
            </w:r>
            <w:r>
              <w:rPr>
                <w:rStyle w:val="IndexLink"/>
              </w:rPr>
              <w:t>239</w:t>
            </w:r>
          </w:hyperlink>
        </w:p>
        <w:p>
          <w:pPr>
            <w:pStyle w:val="Contents4"/>
            <w:tabs>
              <w:tab w:val="clear" w:pos="8176"/>
              <w:tab w:val="right" w:pos="9026" w:leader="dot"/>
            </w:tabs>
            <w:rPr/>
          </w:pPr>
          <w:hyperlink w:anchor="__RefHeading___Toc2465188_2870459653">
            <w:r>
              <w:rPr>
                <w:webHidden/>
                <w:rStyle w:val="IndexLink"/>
                <w:rtl w:val="true"/>
              </w:rPr>
              <w:t>الأمر الثالث</w:t>
            </w:r>
            <w:r>
              <w:rPr>
                <w:rStyle w:val="IndexLink"/>
                <w:rtl w:val="true"/>
              </w:rPr>
              <w:tab/>
            </w:r>
            <w:r>
              <w:rPr>
                <w:rStyle w:val="IndexLink"/>
              </w:rPr>
              <w:t>239</w:t>
            </w:r>
          </w:hyperlink>
        </w:p>
        <w:p>
          <w:pPr>
            <w:pStyle w:val="Contents4"/>
            <w:tabs>
              <w:tab w:val="clear" w:pos="8176"/>
              <w:tab w:val="right" w:pos="9026" w:leader="dot"/>
            </w:tabs>
            <w:rPr/>
          </w:pPr>
          <w:hyperlink w:anchor="__RefHeading___Toc2465190_2870459653">
            <w:r>
              <w:rPr>
                <w:webHidden/>
                <w:rStyle w:val="IndexLink"/>
                <w:rtl w:val="true"/>
              </w:rPr>
              <w:t>الأمر الرابع</w:t>
            </w:r>
            <w:r>
              <w:rPr>
                <w:rStyle w:val="IndexLink"/>
                <w:rtl w:val="true"/>
              </w:rPr>
              <w:tab/>
            </w:r>
            <w:r>
              <w:rPr>
                <w:rStyle w:val="IndexLink"/>
              </w:rPr>
              <w:t>240</w:t>
            </w:r>
          </w:hyperlink>
        </w:p>
        <w:p>
          <w:pPr>
            <w:pStyle w:val="Contents5"/>
            <w:tabs>
              <w:tab w:val="clear" w:pos="7892"/>
              <w:tab w:val="right" w:pos="9026" w:leader="dot"/>
            </w:tabs>
            <w:rPr/>
          </w:pPr>
          <w:hyperlink w:anchor="__RefHeading___Toc2465192_2870459653">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2465194_2870459653">
            <w:r>
              <w:rPr>
                <w:webHidden/>
                <w:rStyle w:val="IndexLink"/>
                <w:rtl w:val="true"/>
              </w:rPr>
              <w:t>القسم الأول من الأجوبة</w:t>
            </w:r>
            <w:r>
              <w:rPr>
                <w:rStyle w:val="IndexLink"/>
                <w:rtl w:val="true"/>
              </w:rPr>
              <w:tab/>
            </w:r>
            <w:r>
              <w:rPr>
                <w:rStyle w:val="IndexLink"/>
              </w:rPr>
              <w:t>241</w:t>
            </w:r>
          </w:hyperlink>
        </w:p>
        <w:p>
          <w:pPr>
            <w:pStyle w:val="Contents6"/>
            <w:tabs>
              <w:tab w:val="clear" w:pos="7609"/>
              <w:tab w:val="right" w:pos="9026" w:leader="dot"/>
            </w:tabs>
            <w:rPr/>
          </w:pPr>
          <w:hyperlink w:anchor="__RefHeading___Toc2465196_2870459653">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2465198_2870459653">
            <w:r>
              <w:rPr>
                <w:webHidden/>
                <w:rStyle w:val="IndexLink"/>
                <w:rtl w:val="true"/>
              </w:rPr>
              <w:t>المحاولة الأولى</w:t>
            </w:r>
            <w:r>
              <w:rPr>
                <w:rStyle w:val="IndexLink"/>
                <w:rtl w:val="true"/>
              </w:rPr>
              <w:tab/>
            </w:r>
            <w:r>
              <w:rPr>
                <w:rStyle w:val="IndexLink"/>
              </w:rPr>
              <w:t>241</w:t>
            </w:r>
          </w:hyperlink>
        </w:p>
        <w:p>
          <w:pPr>
            <w:pStyle w:val="Contents6"/>
            <w:tabs>
              <w:tab w:val="clear" w:pos="7609"/>
              <w:tab w:val="right" w:pos="9026" w:leader="dot"/>
            </w:tabs>
            <w:rPr/>
          </w:pPr>
          <w:hyperlink w:anchor="__RefHeading___Toc2465200_2870459653">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2465202_2870459653">
            <w:r>
              <w:rPr>
                <w:webHidden/>
                <w:rStyle w:val="IndexLink"/>
                <w:rtl w:val="true"/>
              </w:rPr>
              <w:t>النقطة الأولى</w:t>
            </w:r>
            <w:r>
              <w:rPr>
                <w:rStyle w:val="IndexLink"/>
                <w:rtl w:val="true"/>
              </w:rPr>
              <w:tab/>
            </w:r>
            <w:r>
              <w:rPr>
                <w:rStyle w:val="IndexLink"/>
              </w:rPr>
              <w:t>242</w:t>
            </w:r>
          </w:hyperlink>
        </w:p>
        <w:p>
          <w:pPr>
            <w:pStyle w:val="Contents6"/>
            <w:tabs>
              <w:tab w:val="clear" w:pos="7609"/>
              <w:tab w:val="right" w:pos="9026" w:leader="dot"/>
            </w:tabs>
            <w:rPr/>
          </w:pPr>
          <w:hyperlink w:anchor="__RefHeading___Toc2465204_2870459653">
            <w:r>
              <w:rPr>
                <w:webHidden/>
                <w:rStyle w:val="IndexLink"/>
                <w:rtl w:val="true"/>
              </w:rPr>
              <w:t>النقطة الثانية</w:t>
            </w:r>
            <w:r>
              <w:rPr>
                <w:rStyle w:val="IndexLink"/>
                <w:rtl w:val="true"/>
              </w:rPr>
              <w:tab/>
            </w:r>
            <w:r>
              <w:rPr>
                <w:rStyle w:val="IndexLink"/>
              </w:rPr>
              <w:t>242</w:t>
            </w:r>
          </w:hyperlink>
        </w:p>
        <w:p>
          <w:pPr>
            <w:pStyle w:val="Contents6"/>
            <w:tabs>
              <w:tab w:val="clear" w:pos="7609"/>
              <w:tab w:val="right" w:pos="9026" w:leader="dot"/>
            </w:tabs>
            <w:rPr/>
          </w:pPr>
          <w:hyperlink w:anchor="__RefHeading___Toc2465206_2870459653">
            <w:r>
              <w:rPr>
                <w:webHidden/>
                <w:rStyle w:val="IndexLink"/>
                <w:rtl w:val="true"/>
              </w:rPr>
              <w:t>المحاولة الثانية</w:t>
            </w:r>
            <w:r>
              <w:rPr>
                <w:rStyle w:val="IndexLink"/>
                <w:rtl w:val="true"/>
              </w:rPr>
              <w:tab/>
            </w:r>
            <w:r>
              <w:rPr>
                <w:rStyle w:val="IndexLink"/>
              </w:rPr>
              <w:t>244</w:t>
            </w:r>
          </w:hyperlink>
        </w:p>
        <w:p>
          <w:pPr>
            <w:pStyle w:val="Contents6"/>
            <w:tabs>
              <w:tab w:val="clear" w:pos="7609"/>
              <w:tab w:val="right" w:pos="9026" w:leader="dot"/>
            </w:tabs>
            <w:rPr/>
          </w:pPr>
          <w:hyperlink w:anchor="__RefHeading___Toc2465208_2870459653">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2465210_2870459653">
            <w:r>
              <w:rPr>
                <w:webHidden/>
                <w:rStyle w:val="IndexLink"/>
                <w:rtl w:val="true"/>
              </w:rPr>
              <w:t>الوجه الأول</w:t>
            </w:r>
            <w:r>
              <w:rPr>
                <w:rStyle w:val="IndexLink"/>
                <w:rtl w:val="true"/>
              </w:rPr>
              <w:tab/>
            </w:r>
            <w:r>
              <w:rPr>
                <w:rStyle w:val="IndexLink"/>
              </w:rPr>
              <w:t>244</w:t>
            </w:r>
          </w:hyperlink>
        </w:p>
        <w:p>
          <w:pPr>
            <w:pStyle w:val="Contents6"/>
            <w:tabs>
              <w:tab w:val="clear" w:pos="7609"/>
              <w:tab w:val="right" w:pos="9026" w:leader="dot"/>
            </w:tabs>
            <w:rPr/>
          </w:pPr>
          <w:hyperlink w:anchor="__RefHeading___Toc2465212_2870459653">
            <w:r>
              <w:rPr>
                <w:webHidden/>
                <w:rStyle w:val="IndexLink"/>
                <w:rtl w:val="true"/>
              </w:rPr>
              <w:t>الوجه الثاني</w:t>
            </w:r>
            <w:r>
              <w:rPr>
                <w:rStyle w:val="IndexLink"/>
                <w:rtl w:val="true"/>
              </w:rPr>
              <w:tab/>
            </w:r>
            <w:r>
              <w:rPr>
                <w:rStyle w:val="IndexLink"/>
              </w:rPr>
              <w:t>245</w:t>
            </w:r>
          </w:hyperlink>
        </w:p>
        <w:p>
          <w:pPr>
            <w:pStyle w:val="Contents6"/>
            <w:tabs>
              <w:tab w:val="clear" w:pos="7609"/>
              <w:tab w:val="right" w:pos="9026" w:leader="dot"/>
            </w:tabs>
            <w:rPr/>
          </w:pPr>
          <w:hyperlink w:anchor="__RefHeading___Toc2465214_2870459653">
            <w:r>
              <w:rPr>
                <w:webHidden/>
                <w:rStyle w:val="IndexLink"/>
                <w:rtl w:val="true"/>
              </w:rPr>
              <w:t>الوجه الثالث</w:t>
            </w:r>
            <w:r>
              <w:rPr>
                <w:rStyle w:val="IndexLink"/>
                <w:rtl w:val="true"/>
              </w:rPr>
              <w:tab/>
            </w:r>
            <w:r>
              <w:rPr>
                <w:rStyle w:val="IndexLink"/>
              </w:rPr>
              <w:t>245</w:t>
            </w:r>
          </w:hyperlink>
        </w:p>
        <w:p>
          <w:pPr>
            <w:pStyle w:val="Contents6"/>
            <w:tabs>
              <w:tab w:val="clear" w:pos="7609"/>
              <w:tab w:val="right" w:pos="9026" w:leader="dot"/>
            </w:tabs>
            <w:rPr/>
          </w:pPr>
          <w:hyperlink w:anchor="__RefHeading___Toc2465216_2870459653">
            <w:r>
              <w:rPr>
                <w:webHidden/>
                <w:rStyle w:val="IndexLink"/>
                <w:rtl w:val="true"/>
              </w:rPr>
              <w:t>المحاولة الثالثة</w:t>
            </w:r>
            <w:r>
              <w:rPr>
                <w:rStyle w:val="IndexLink"/>
                <w:rtl w:val="true"/>
              </w:rPr>
              <w:tab/>
            </w:r>
            <w:r>
              <w:rPr>
                <w:rStyle w:val="IndexLink"/>
              </w:rPr>
              <w:t>245</w:t>
            </w:r>
          </w:hyperlink>
        </w:p>
        <w:p>
          <w:pPr>
            <w:pStyle w:val="Contents6"/>
            <w:tabs>
              <w:tab w:val="clear" w:pos="7609"/>
              <w:tab w:val="right" w:pos="9026" w:leader="dot"/>
            </w:tabs>
            <w:rPr/>
          </w:pPr>
          <w:hyperlink w:anchor="__RefHeading___Toc2465218_2870459653">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2465220_2870459653">
            <w:r>
              <w:rPr>
                <w:webHidden/>
                <w:rStyle w:val="IndexLink"/>
                <w:rtl w:val="true"/>
              </w:rPr>
              <w:t>المقدمة الأولى</w:t>
            </w:r>
            <w:r>
              <w:rPr>
                <w:rStyle w:val="IndexLink"/>
                <w:rtl w:val="true"/>
              </w:rPr>
              <w:tab/>
            </w:r>
            <w:r>
              <w:rPr>
                <w:rStyle w:val="IndexLink"/>
              </w:rPr>
              <w:t>245</w:t>
            </w:r>
          </w:hyperlink>
        </w:p>
        <w:p>
          <w:pPr>
            <w:pStyle w:val="Contents6"/>
            <w:tabs>
              <w:tab w:val="clear" w:pos="7609"/>
              <w:tab w:val="right" w:pos="9026" w:leader="dot"/>
            </w:tabs>
            <w:rPr/>
          </w:pPr>
          <w:hyperlink w:anchor="__RefHeading___Toc2465222_2870459653">
            <w:r>
              <w:rPr>
                <w:webHidden/>
                <w:rStyle w:val="IndexLink"/>
                <w:rtl w:val="true"/>
              </w:rPr>
              <w:t>المقدمة الثانية</w:t>
            </w:r>
            <w:r>
              <w:rPr>
                <w:rStyle w:val="IndexLink"/>
                <w:rtl w:val="true"/>
              </w:rPr>
              <w:tab/>
            </w:r>
            <w:r>
              <w:rPr>
                <w:rStyle w:val="IndexLink"/>
              </w:rPr>
              <w:t>246</w:t>
            </w:r>
          </w:hyperlink>
        </w:p>
        <w:p>
          <w:pPr>
            <w:pStyle w:val="Contents5"/>
            <w:tabs>
              <w:tab w:val="clear" w:pos="7892"/>
              <w:tab w:val="right" w:pos="9026" w:leader="dot"/>
            </w:tabs>
            <w:rPr/>
          </w:pPr>
          <w:hyperlink w:anchor="__RefHeading___Toc2465224_2870459653">
            <w:r>
              <w:rPr>
                <w:webHidden/>
                <w:rStyle w:val="IndexLink"/>
                <w:rtl w:val="true"/>
              </w:rPr>
              <w:t>القسم الثاني من الأجوبة</w:t>
            </w:r>
            <w:r>
              <w:rPr>
                <w:rStyle w:val="IndexLink"/>
                <w:rtl w:val="true"/>
              </w:rPr>
              <w:tab/>
            </w:r>
            <w:r>
              <w:rPr>
                <w:rStyle w:val="IndexLink"/>
              </w:rPr>
              <w:t>246</w:t>
            </w:r>
          </w:hyperlink>
        </w:p>
        <w:p>
          <w:pPr>
            <w:pStyle w:val="Contents6"/>
            <w:tabs>
              <w:tab w:val="clear" w:pos="7609"/>
              <w:tab w:val="right" w:pos="9026" w:leader="dot"/>
            </w:tabs>
            <w:rPr/>
          </w:pPr>
          <w:hyperlink w:anchor="__RefHeading___Toc2465226_2870459653">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2465228_2870459653">
            <w:r>
              <w:rPr>
                <w:webHidden/>
                <w:rStyle w:val="IndexLink"/>
                <w:rtl w:val="true"/>
              </w:rPr>
              <w:t>المحاولة الأولى</w:t>
            </w:r>
            <w:r>
              <w:rPr>
                <w:rStyle w:val="IndexLink"/>
                <w:rtl w:val="true"/>
              </w:rPr>
              <w:tab/>
            </w:r>
            <w:r>
              <w:rPr>
                <w:rStyle w:val="IndexLink"/>
              </w:rPr>
              <w:t>246</w:t>
            </w:r>
          </w:hyperlink>
        </w:p>
        <w:p>
          <w:pPr>
            <w:pStyle w:val="Contents6"/>
            <w:tabs>
              <w:tab w:val="clear" w:pos="7609"/>
              <w:tab w:val="right" w:pos="9026" w:leader="dot"/>
            </w:tabs>
            <w:rPr/>
          </w:pPr>
          <w:hyperlink w:anchor="__RefHeading___Toc2465230_2870459653">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2465232_2870459653">
            <w:r>
              <w:rPr>
                <w:webHidden/>
                <w:rStyle w:val="IndexLink"/>
                <w:rtl w:val="true"/>
              </w:rPr>
              <w:t>الوجه الأول</w:t>
            </w:r>
            <w:r>
              <w:rPr>
                <w:rStyle w:val="IndexLink"/>
                <w:rtl w:val="true"/>
              </w:rPr>
              <w:tab/>
            </w:r>
            <w:r>
              <w:rPr>
                <w:rStyle w:val="IndexLink"/>
              </w:rPr>
              <w:t>247</w:t>
            </w:r>
          </w:hyperlink>
        </w:p>
        <w:p>
          <w:pPr>
            <w:pStyle w:val="Contents6"/>
            <w:tabs>
              <w:tab w:val="clear" w:pos="7609"/>
              <w:tab w:val="right" w:pos="9026" w:leader="dot"/>
            </w:tabs>
            <w:rPr/>
          </w:pPr>
          <w:hyperlink w:anchor="__RefHeading___Toc2465234_2870459653">
            <w:r>
              <w:rPr>
                <w:webHidden/>
                <w:rStyle w:val="IndexLink"/>
                <w:rtl w:val="true"/>
              </w:rPr>
              <w:t>الوجه الثاني</w:t>
            </w:r>
            <w:r>
              <w:rPr>
                <w:rStyle w:val="IndexLink"/>
                <w:rtl w:val="true"/>
              </w:rPr>
              <w:tab/>
            </w:r>
            <w:r>
              <w:rPr>
                <w:rStyle w:val="IndexLink"/>
              </w:rPr>
              <w:t>247</w:t>
            </w:r>
          </w:hyperlink>
        </w:p>
        <w:p>
          <w:pPr>
            <w:pStyle w:val="Contents6"/>
            <w:tabs>
              <w:tab w:val="clear" w:pos="7609"/>
              <w:tab w:val="right" w:pos="9026" w:leader="dot"/>
            </w:tabs>
            <w:rPr/>
          </w:pPr>
          <w:hyperlink w:anchor="__RefHeading___Toc2465236_2870459653">
            <w:r>
              <w:rPr>
                <w:webHidden/>
                <w:rStyle w:val="IndexLink"/>
                <w:rtl w:val="true"/>
              </w:rPr>
              <w:t>المحاولة الثانية</w:t>
            </w:r>
            <w:r>
              <w:rPr>
                <w:rStyle w:val="IndexLink"/>
                <w:rtl w:val="true"/>
              </w:rPr>
              <w:tab/>
            </w:r>
            <w:r>
              <w:rPr>
                <w:rStyle w:val="IndexLink"/>
              </w:rPr>
              <w:t>249</w:t>
            </w:r>
          </w:hyperlink>
        </w:p>
        <w:p>
          <w:pPr>
            <w:pStyle w:val="Contents6"/>
            <w:tabs>
              <w:tab w:val="clear" w:pos="7609"/>
              <w:tab w:val="right" w:pos="9026" w:leader="dot"/>
            </w:tabs>
            <w:rPr/>
          </w:pPr>
          <w:hyperlink w:anchor="__RefHeading___Toc2465238_2870459653">
            <w:r>
              <w:rPr>
                <w:webHidden/>
                <w:rStyle w:val="IndexLink"/>
                <w:rtl w:val="true"/>
              </w:rPr>
              <w:t>المحاولة الثالثة</w:t>
            </w:r>
            <w:r>
              <w:rPr>
                <w:rStyle w:val="IndexLink"/>
                <w:rtl w:val="true"/>
              </w:rPr>
              <w:tab/>
            </w:r>
            <w:r>
              <w:rPr>
                <w:rStyle w:val="IndexLink"/>
              </w:rPr>
              <w:t>254</w:t>
            </w:r>
          </w:hyperlink>
        </w:p>
        <w:p>
          <w:pPr>
            <w:pStyle w:val="Contents6"/>
            <w:tabs>
              <w:tab w:val="clear" w:pos="7609"/>
              <w:tab w:val="right" w:pos="9026" w:leader="dot"/>
            </w:tabs>
            <w:rPr/>
          </w:pPr>
          <w:hyperlink w:anchor="__RefHeading___Toc2465240_2870459653">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2465242_2870459653">
            <w:r>
              <w:rPr>
                <w:webHidden/>
                <w:rStyle w:val="IndexLink"/>
                <w:rtl w:val="true"/>
              </w:rPr>
              <w:t>الوجه الأول</w:t>
            </w:r>
            <w:r>
              <w:rPr>
                <w:rStyle w:val="IndexLink"/>
                <w:rtl w:val="true"/>
              </w:rPr>
              <w:tab/>
            </w:r>
            <w:r>
              <w:rPr>
                <w:rStyle w:val="IndexLink"/>
              </w:rPr>
              <w:t>257</w:t>
            </w:r>
          </w:hyperlink>
        </w:p>
        <w:p>
          <w:pPr>
            <w:pStyle w:val="Contents6"/>
            <w:tabs>
              <w:tab w:val="clear" w:pos="7609"/>
              <w:tab w:val="right" w:pos="9026" w:leader="dot"/>
            </w:tabs>
            <w:rPr/>
          </w:pPr>
          <w:hyperlink w:anchor="__RefHeading___Toc2465244_2870459653">
            <w:r>
              <w:rPr>
                <w:webHidden/>
                <w:rStyle w:val="IndexLink"/>
                <w:rtl w:val="true"/>
              </w:rPr>
              <w:t>الوجه الثاني</w:t>
            </w:r>
            <w:r>
              <w:rPr>
                <w:rStyle w:val="IndexLink"/>
                <w:rtl w:val="true"/>
              </w:rPr>
              <w:tab/>
            </w:r>
            <w:r>
              <w:rPr>
                <w:rStyle w:val="IndexLink"/>
              </w:rPr>
              <w:t>260</w:t>
            </w:r>
          </w:hyperlink>
        </w:p>
        <w:p>
          <w:pPr>
            <w:pStyle w:val="Contents6"/>
            <w:tabs>
              <w:tab w:val="clear" w:pos="7609"/>
              <w:tab w:val="right" w:pos="9026" w:leader="dot"/>
            </w:tabs>
            <w:rPr/>
          </w:pPr>
          <w:hyperlink w:anchor="__RefHeading___Toc2465246_2870459653">
            <w:r>
              <w:rPr>
                <w:webHidden/>
                <w:rStyle w:val="IndexLink"/>
                <w:rtl w:val="true"/>
              </w:rPr>
              <w:t>الوجه الثالث</w:t>
            </w:r>
            <w:r>
              <w:rPr>
                <w:rStyle w:val="IndexLink"/>
                <w:rtl w:val="true"/>
              </w:rPr>
              <w:tab/>
            </w:r>
            <w:r>
              <w:rPr>
                <w:rStyle w:val="IndexLink"/>
              </w:rPr>
              <w:t>261</w:t>
            </w:r>
          </w:hyperlink>
        </w:p>
        <w:p>
          <w:pPr>
            <w:pStyle w:val="Contents3"/>
            <w:tabs>
              <w:tab w:val="clear" w:pos="8459"/>
              <w:tab w:val="right" w:pos="9026" w:leader="dot"/>
            </w:tabs>
            <w:rPr/>
          </w:pPr>
          <w:hyperlink w:anchor="__RefHeading___Toc2465248_2870459653">
            <w:r>
              <w:rPr>
                <w:webHidden/>
                <w:rStyle w:val="IndexLink"/>
                <w:rtl w:val="true"/>
              </w:rPr>
              <w:t>المصادر</w:t>
            </w:r>
            <w:r>
              <w:rPr>
                <w:rStyle w:val="IndexLink"/>
                <w:rtl w:val="true"/>
              </w:rPr>
              <w:tab/>
            </w:r>
            <w:r>
              <w:rPr>
                <w:rStyle w:val="IndexLink"/>
              </w:rPr>
              <w:t>262</w:t>
            </w:r>
          </w:hyperlink>
        </w:p>
        <w:p>
          <w:pPr>
            <w:pStyle w:val="Contents2"/>
            <w:tabs>
              <w:tab w:val="clear" w:pos="8743"/>
              <w:tab w:val="right" w:pos="9026" w:leader="dot"/>
            </w:tabs>
            <w:rPr/>
          </w:pPr>
          <w:hyperlink w:anchor="__RefHeading___Toc2465250_2870459653">
            <w:r>
              <w:rPr>
                <w:webHidden/>
                <w:rStyle w:val="IndexLink"/>
                <w:rtl w:val="true"/>
              </w:rPr>
              <w:t xml:space="preserve">توصيف رجال الشيخ الطوسي </w:t>
            </w:r>
            <w:r>
              <w:rPr>
                <w:rStyle w:val="IndexLink"/>
                <w:rtl w:val="true"/>
              </w:rPr>
              <w:t>(</w:t>
            </w:r>
            <w:r>
              <w:rPr>
                <w:rStyle w:val="IndexLink"/>
                <w:rtl w:val="true"/>
              </w:rPr>
              <w:t>قدس سره</w:t>
            </w:r>
            <w:r>
              <w:rPr>
                <w:rStyle w:val="IndexLink"/>
                <w:rtl w:val="true"/>
              </w:rPr>
              <w:t xml:space="preserve">) - </w:t>
            </w:r>
            <w:r>
              <w:rPr>
                <w:rStyle w:val="IndexLink"/>
                <w:rtl w:val="true"/>
              </w:rPr>
              <w:t xml:space="preserve">الشيخ نجم الترابي </w:t>
            </w:r>
            <w:r>
              <w:rPr>
                <w:rStyle w:val="IndexLink"/>
                <w:rtl w:val="true"/>
              </w:rPr>
              <w:t>(</w:t>
            </w:r>
            <w:r>
              <w:rPr>
                <w:rStyle w:val="IndexLink"/>
                <w:rtl w:val="true"/>
              </w:rPr>
              <w:t>دام عزه</w:t>
            </w:r>
            <w:r>
              <w:rPr>
                <w:rStyle w:val="IndexLink"/>
                <w:rtl w:val="true"/>
              </w:rPr>
              <w:t>)</w:t>
              <w:tab/>
            </w:r>
            <w:r>
              <w:rPr>
                <w:rStyle w:val="IndexLink"/>
              </w:rPr>
              <w:t>266</w:t>
            </w:r>
          </w:hyperlink>
        </w:p>
        <w:p>
          <w:pPr>
            <w:pStyle w:val="Contents3"/>
            <w:tabs>
              <w:tab w:val="clear" w:pos="8459"/>
              <w:tab w:val="right" w:pos="9026" w:leader="dot"/>
            </w:tabs>
            <w:rPr/>
          </w:pPr>
          <w:hyperlink w:anchor="__RefHeading___Toc2465252_287045965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2465254_2870459653">
            <w:r>
              <w:rPr>
                <w:webHidden/>
                <w:rStyle w:val="IndexLink"/>
                <w:rtl w:val="true"/>
              </w:rPr>
              <w:t>المقدمة</w:t>
            </w:r>
            <w:r>
              <w:rPr>
                <w:rStyle w:val="IndexLink"/>
                <w:rtl w:val="true"/>
              </w:rPr>
              <w:tab/>
            </w:r>
            <w:r>
              <w:rPr>
                <w:rStyle w:val="IndexLink"/>
              </w:rPr>
              <w:t>268</w:t>
            </w:r>
          </w:hyperlink>
        </w:p>
        <w:p>
          <w:pPr>
            <w:pStyle w:val="Contents4"/>
            <w:tabs>
              <w:tab w:val="clear" w:pos="8176"/>
              <w:tab w:val="right" w:pos="9026" w:leader="dot"/>
            </w:tabs>
            <w:rPr/>
          </w:pPr>
          <w:hyperlink w:anchor="__RefHeading___Toc2465256_2870459653">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2465258_2870459653">
            <w:r>
              <w:rPr>
                <w:webHidden/>
                <w:rStyle w:val="IndexLink"/>
                <w:rtl w:val="true"/>
              </w:rPr>
              <w:t>الأمر الأول</w:t>
            </w:r>
            <w:r>
              <w:rPr>
                <w:rStyle w:val="IndexLink"/>
                <w:rtl w:val="true"/>
              </w:rPr>
              <w:tab/>
            </w:r>
            <w:r>
              <w:rPr>
                <w:rStyle w:val="IndexLink"/>
              </w:rPr>
              <w:t>268</w:t>
            </w:r>
          </w:hyperlink>
        </w:p>
        <w:p>
          <w:pPr>
            <w:pStyle w:val="Contents4"/>
            <w:tabs>
              <w:tab w:val="clear" w:pos="8176"/>
              <w:tab w:val="right" w:pos="9026" w:leader="dot"/>
            </w:tabs>
            <w:rPr/>
          </w:pPr>
          <w:hyperlink w:anchor="__RefHeading___Toc2465260_2870459653">
            <w:r>
              <w:rPr>
                <w:webHidden/>
                <w:rStyle w:val="IndexLink"/>
                <w:rtl w:val="true"/>
              </w:rPr>
              <w:t>الأمر الثاني</w:t>
            </w:r>
            <w:r>
              <w:rPr>
                <w:rStyle w:val="IndexLink"/>
                <w:rtl w:val="true"/>
              </w:rPr>
              <w:tab/>
            </w:r>
            <w:r>
              <w:rPr>
                <w:rStyle w:val="IndexLink"/>
              </w:rPr>
              <w:t>269</w:t>
            </w:r>
          </w:hyperlink>
        </w:p>
        <w:p>
          <w:pPr>
            <w:pStyle w:val="Contents4"/>
            <w:tabs>
              <w:tab w:val="clear" w:pos="8176"/>
              <w:tab w:val="right" w:pos="9026" w:leader="dot"/>
            </w:tabs>
            <w:rPr/>
          </w:pPr>
          <w:hyperlink w:anchor="__RefHeading___Toc2465262_2870459653">
            <w:r>
              <w:rPr>
                <w:webHidden/>
                <w:rStyle w:val="IndexLink"/>
                <w:rtl w:val="true"/>
              </w:rPr>
              <w:t>الأمر الثالث</w:t>
            </w:r>
            <w:r>
              <w:rPr>
                <w:rStyle w:val="IndexLink"/>
                <w:rtl w:val="true"/>
              </w:rPr>
              <w:tab/>
            </w:r>
            <w:r>
              <w:rPr>
                <w:rStyle w:val="IndexLink"/>
              </w:rPr>
              <w:t>270</w:t>
            </w:r>
          </w:hyperlink>
        </w:p>
        <w:p>
          <w:pPr>
            <w:pStyle w:val="Contents5"/>
            <w:tabs>
              <w:tab w:val="clear" w:pos="7892"/>
              <w:tab w:val="right" w:pos="9026" w:leader="dot"/>
            </w:tabs>
            <w:rPr/>
          </w:pPr>
          <w:hyperlink w:anchor="__RefHeading___Toc2465264_2870459653">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2465266_2870459653">
            <w:r>
              <w:rPr>
                <w:webHidden/>
                <w:rStyle w:val="IndexLink"/>
                <w:rtl w:val="true"/>
              </w:rPr>
              <w:t>الجهة الأولى</w:t>
            </w:r>
            <w:r>
              <w:rPr>
                <w:rStyle w:val="IndexLink"/>
                <w:rtl w:val="true"/>
              </w:rPr>
              <w:tab/>
            </w:r>
            <w:r>
              <w:rPr>
                <w:rStyle w:val="IndexLink"/>
              </w:rPr>
              <w:t>271</w:t>
            </w:r>
          </w:hyperlink>
        </w:p>
        <w:p>
          <w:pPr>
            <w:pStyle w:val="Contents5"/>
            <w:tabs>
              <w:tab w:val="clear" w:pos="7892"/>
              <w:tab w:val="right" w:pos="9026" w:leader="dot"/>
            </w:tabs>
            <w:rPr/>
          </w:pPr>
          <w:hyperlink w:anchor="__RefHeading___Toc2465268_2870459653">
            <w:r>
              <w:rPr>
                <w:webHidden/>
                <w:rStyle w:val="IndexLink"/>
                <w:rtl w:val="true"/>
              </w:rPr>
              <w:t>الجهة الثانية</w:t>
            </w:r>
            <w:r>
              <w:rPr>
                <w:rStyle w:val="IndexLink"/>
                <w:rtl w:val="true"/>
              </w:rPr>
              <w:tab/>
            </w:r>
            <w:r>
              <w:rPr>
                <w:rStyle w:val="IndexLink"/>
              </w:rPr>
              <w:t>271</w:t>
            </w:r>
          </w:hyperlink>
        </w:p>
        <w:p>
          <w:pPr>
            <w:pStyle w:val="Contents5"/>
            <w:tabs>
              <w:tab w:val="clear" w:pos="7892"/>
              <w:tab w:val="right" w:pos="9026" w:leader="dot"/>
            </w:tabs>
            <w:rPr/>
          </w:pPr>
          <w:hyperlink w:anchor="__RefHeading___Toc2465270_2870459653">
            <w:r>
              <w:rPr>
                <w:webHidden/>
                <w:rStyle w:val="IndexLink"/>
                <w:rtl w:val="true"/>
              </w:rPr>
              <w:t>الجهة الثالثة</w:t>
            </w:r>
            <w:r>
              <w:rPr>
                <w:rStyle w:val="IndexLink"/>
                <w:rtl w:val="true"/>
              </w:rPr>
              <w:tab/>
            </w:r>
            <w:r>
              <w:rPr>
                <w:rStyle w:val="IndexLink"/>
              </w:rPr>
              <w:t>272</w:t>
            </w:r>
          </w:hyperlink>
        </w:p>
        <w:p>
          <w:pPr>
            <w:pStyle w:val="Contents4"/>
            <w:tabs>
              <w:tab w:val="clear" w:pos="8176"/>
              <w:tab w:val="right" w:pos="9026" w:leader="dot"/>
            </w:tabs>
            <w:rPr/>
          </w:pPr>
          <w:hyperlink w:anchor="__RefHeading___Toc2465272_2870459653">
            <w:r>
              <w:rPr>
                <w:webHidden/>
                <w:rStyle w:val="IndexLink"/>
                <w:rtl w:val="true"/>
              </w:rPr>
              <w:t>الأمر الرابع</w:t>
            </w:r>
            <w:r>
              <w:rPr>
                <w:rStyle w:val="IndexLink"/>
                <w:rtl w:val="true"/>
              </w:rPr>
              <w:tab/>
            </w:r>
            <w:r>
              <w:rPr>
                <w:rStyle w:val="IndexLink"/>
              </w:rPr>
              <w:t>276</w:t>
            </w:r>
          </w:hyperlink>
        </w:p>
        <w:p>
          <w:pPr>
            <w:pStyle w:val="Contents4"/>
            <w:tabs>
              <w:tab w:val="clear" w:pos="8176"/>
              <w:tab w:val="right" w:pos="9026" w:leader="dot"/>
            </w:tabs>
            <w:rPr/>
          </w:pPr>
          <w:hyperlink w:anchor="__RefHeading___Toc2465274_2870459653">
            <w:r>
              <w:rPr>
                <w:webHidden/>
                <w:rStyle w:val="IndexLink"/>
                <w:rtl w:val="true"/>
              </w:rPr>
              <w:t>الأمر الخامس</w:t>
            </w:r>
            <w:r>
              <w:rPr>
                <w:rStyle w:val="IndexLink"/>
                <w:rtl w:val="true"/>
              </w:rPr>
              <w:tab/>
            </w:r>
            <w:r>
              <w:rPr>
                <w:rStyle w:val="IndexLink"/>
              </w:rPr>
              <w:t>278</w:t>
            </w:r>
          </w:hyperlink>
        </w:p>
        <w:p>
          <w:pPr>
            <w:pStyle w:val="Contents3"/>
            <w:tabs>
              <w:tab w:val="clear" w:pos="8459"/>
              <w:tab w:val="right" w:pos="9026" w:leader="dot"/>
            </w:tabs>
            <w:rPr/>
          </w:pPr>
          <w:hyperlink w:anchor="__RefHeading___Toc2465276_2870459653">
            <w:r>
              <w:rPr>
                <w:webHidden/>
                <w:rStyle w:val="IndexLink"/>
                <w:rtl w:val="true"/>
              </w:rPr>
              <w:t>الفصل الأول</w:t>
            </w:r>
            <w:r>
              <w:rPr>
                <w:rStyle w:val="IndexLink"/>
                <w:rtl w:val="true"/>
              </w:rPr>
              <w:t xml:space="preserve">: </w:t>
            </w:r>
            <w:r>
              <w:rPr>
                <w:rStyle w:val="IndexLink"/>
                <w:rtl w:val="true"/>
              </w:rPr>
              <w:t>في موضوعه</w:t>
            </w:r>
            <w:r>
              <w:rPr>
                <w:rStyle w:val="IndexLink"/>
                <w:rtl w:val="true"/>
              </w:rPr>
              <w:tab/>
            </w:r>
            <w:r>
              <w:rPr>
                <w:rStyle w:val="IndexLink"/>
              </w:rPr>
              <w:t>280</w:t>
            </w:r>
          </w:hyperlink>
        </w:p>
        <w:p>
          <w:pPr>
            <w:pStyle w:val="Contents4"/>
            <w:tabs>
              <w:tab w:val="clear" w:pos="8176"/>
              <w:tab w:val="right" w:pos="9026" w:leader="dot"/>
            </w:tabs>
            <w:rPr/>
          </w:pPr>
          <w:hyperlink w:anchor="__RefHeading___Toc2465278_2870459653">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2465280_2870459653">
            <w:r>
              <w:rPr>
                <w:webHidden/>
                <w:rStyle w:val="IndexLink"/>
                <w:rtl w:val="true"/>
              </w:rPr>
              <w:t>الأمر الأول</w:t>
            </w:r>
            <w:r>
              <w:rPr>
                <w:rStyle w:val="IndexLink"/>
                <w:rtl w:val="true"/>
              </w:rPr>
              <w:tab/>
            </w:r>
            <w:r>
              <w:rPr>
                <w:rStyle w:val="IndexLink"/>
              </w:rPr>
              <w:t>281</w:t>
            </w:r>
          </w:hyperlink>
        </w:p>
        <w:p>
          <w:pPr>
            <w:pStyle w:val="Contents4"/>
            <w:tabs>
              <w:tab w:val="clear" w:pos="8176"/>
              <w:tab w:val="right" w:pos="9026" w:leader="dot"/>
            </w:tabs>
            <w:rPr/>
          </w:pPr>
          <w:hyperlink w:anchor="__RefHeading___Toc2465282_2870459653">
            <w:r>
              <w:rPr>
                <w:webHidden/>
                <w:rStyle w:val="IndexLink"/>
                <w:rtl w:val="true"/>
              </w:rPr>
              <w:t>الأمر الثاني</w:t>
            </w:r>
            <w:r>
              <w:rPr>
                <w:rStyle w:val="IndexLink"/>
                <w:rtl w:val="true"/>
              </w:rPr>
              <w:tab/>
            </w:r>
            <w:r>
              <w:rPr>
                <w:rStyle w:val="IndexLink"/>
              </w:rPr>
              <w:t>282</w:t>
            </w:r>
          </w:hyperlink>
        </w:p>
        <w:p>
          <w:pPr>
            <w:pStyle w:val="Contents4"/>
            <w:tabs>
              <w:tab w:val="clear" w:pos="8176"/>
              <w:tab w:val="right" w:pos="9026" w:leader="dot"/>
            </w:tabs>
            <w:rPr/>
          </w:pPr>
          <w:hyperlink w:anchor="__RefHeading___Toc2465284_2870459653">
            <w:r>
              <w:rPr>
                <w:webHidden/>
                <w:rStyle w:val="IndexLink"/>
                <w:rtl w:val="true"/>
              </w:rPr>
              <w:t>الكلام في الأول</w:t>
            </w:r>
            <w:r>
              <w:rPr>
                <w:rStyle w:val="IndexLink"/>
                <w:rtl w:val="true"/>
              </w:rPr>
              <w:tab/>
            </w:r>
            <w:r>
              <w:rPr>
                <w:rStyle w:val="IndexLink"/>
              </w:rPr>
              <w:t>283</w:t>
            </w:r>
          </w:hyperlink>
        </w:p>
        <w:p>
          <w:pPr>
            <w:pStyle w:val="Contents5"/>
            <w:tabs>
              <w:tab w:val="clear" w:pos="7892"/>
              <w:tab w:val="right" w:pos="9026" w:leader="dot"/>
            </w:tabs>
            <w:rPr/>
          </w:pPr>
          <w:hyperlink w:anchor="__RefHeading___Toc2465286_2870459653">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2465288_2870459653">
            <w:r>
              <w:rPr>
                <w:webHidden/>
                <w:rStyle w:val="IndexLink"/>
                <w:rtl w:val="true"/>
              </w:rPr>
              <w:t>الوجه الأول</w:t>
            </w:r>
            <w:r>
              <w:rPr>
                <w:rStyle w:val="IndexLink"/>
                <w:rtl w:val="true"/>
              </w:rPr>
              <w:tab/>
            </w:r>
            <w:r>
              <w:rPr>
                <w:rStyle w:val="IndexLink"/>
              </w:rPr>
              <w:t>283</w:t>
            </w:r>
          </w:hyperlink>
        </w:p>
        <w:p>
          <w:pPr>
            <w:pStyle w:val="Contents5"/>
            <w:tabs>
              <w:tab w:val="clear" w:pos="7892"/>
              <w:tab w:val="right" w:pos="9026" w:leader="dot"/>
            </w:tabs>
            <w:rPr/>
          </w:pPr>
          <w:hyperlink w:anchor="__RefHeading___Toc2465290_2870459653">
            <w:r>
              <w:rPr>
                <w:webHidden/>
                <w:rStyle w:val="IndexLink"/>
                <w:rtl w:val="true"/>
              </w:rPr>
              <w:t>الوجه الثاني</w:t>
            </w:r>
            <w:r>
              <w:rPr>
                <w:rStyle w:val="IndexLink"/>
                <w:rtl w:val="true"/>
              </w:rPr>
              <w:tab/>
            </w:r>
            <w:r>
              <w:rPr>
                <w:rStyle w:val="IndexLink"/>
              </w:rPr>
              <w:t>284</w:t>
            </w:r>
          </w:hyperlink>
        </w:p>
        <w:p>
          <w:pPr>
            <w:pStyle w:val="Contents5"/>
            <w:tabs>
              <w:tab w:val="clear" w:pos="7892"/>
              <w:tab w:val="right" w:pos="9026" w:leader="dot"/>
            </w:tabs>
            <w:rPr/>
          </w:pPr>
          <w:hyperlink w:anchor="__RefHeading___Toc2465292_2870459653">
            <w:r>
              <w:rPr>
                <w:webHidden/>
                <w:rStyle w:val="IndexLink"/>
                <w:rtl w:val="true"/>
              </w:rPr>
              <w:t>الوجه الثالث</w:t>
            </w:r>
            <w:r>
              <w:rPr>
                <w:rStyle w:val="IndexLink"/>
                <w:rtl w:val="true"/>
              </w:rPr>
              <w:tab/>
            </w:r>
            <w:r>
              <w:rPr>
                <w:rStyle w:val="IndexLink"/>
              </w:rPr>
              <w:t>285</w:t>
            </w:r>
          </w:hyperlink>
        </w:p>
        <w:p>
          <w:pPr>
            <w:pStyle w:val="Contents4"/>
            <w:tabs>
              <w:tab w:val="clear" w:pos="8176"/>
              <w:tab w:val="right" w:pos="9026" w:leader="dot"/>
            </w:tabs>
            <w:rPr/>
          </w:pPr>
          <w:hyperlink w:anchor="__RefHeading___Toc2465294_2870459653">
            <w:r>
              <w:rPr>
                <w:webHidden/>
                <w:rStyle w:val="IndexLink"/>
                <w:rtl w:val="true"/>
              </w:rPr>
              <w:t>الكلام في الثاني</w:t>
            </w:r>
            <w:r>
              <w:rPr>
                <w:rStyle w:val="IndexLink"/>
                <w:rtl w:val="true"/>
              </w:rPr>
              <w:tab/>
            </w:r>
            <w:r>
              <w:rPr>
                <w:rStyle w:val="IndexLink"/>
              </w:rPr>
              <w:t>285</w:t>
            </w:r>
          </w:hyperlink>
        </w:p>
        <w:p>
          <w:pPr>
            <w:pStyle w:val="Contents5"/>
            <w:tabs>
              <w:tab w:val="clear" w:pos="7892"/>
              <w:tab w:val="right" w:pos="9026" w:leader="dot"/>
            </w:tabs>
            <w:rPr/>
          </w:pPr>
          <w:hyperlink w:anchor="__RefHeading___Toc2465296_2870459653">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2465298_2870459653">
            <w:r>
              <w:rPr>
                <w:webHidden/>
                <w:rStyle w:val="IndexLink"/>
                <w:rtl w:val="true"/>
              </w:rPr>
              <w:t>الوجه الأول</w:t>
            </w:r>
            <w:r>
              <w:rPr>
                <w:rStyle w:val="IndexLink"/>
                <w:rtl w:val="true"/>
              </w:rPr>
              <w:tab/>
            </w:r>
            <w:r>
              <w:rPr>
                <w:rStyle w:val="IndexLink"/>
              </w:rPr>
              <w:t>285</w:t>
            </w:r>
          </w:hyperlink>
        </w:p>
        <w:p>
          <w:pPr>
            <w:pStyle w:val="Contents5"/>
            <w:tabs>
              <w:tab w:val="clear" w:pos="7892"/>
              <w:tab w:val="right" w:pos="9026" w:leader="dot"/>
            </w:tabs>
            <w:rPr/>
          </w:pPr>
          <w:hyperlink w:anchor="__RefHeading___Toc2465300_2870459653">
            <w:r>
              <w:rPr>
                <w:webHidden/>
                <w:rStyle w:val="IndexLink"/>
                <w:rtl w:val="true"/>
              </w:rPr>
              <w:t>الوجه الثاني</w:t>
            </w:r>
            <w:r>
              <w:rPr>
                <w:rStyle w:val="IndexLink"/>
                <w:rtl w:val="true"/>
              </w:rPr>
              <w:tab/>
            </w:r>
            <w:r>
              <w:rPr>
                <w:rStyle w:val="IndexLink"/>
              </w:rPr>
              <w:t>287</w:t>
            </w:r>
          </w:hyperlink>
        </w:p>
        <w:p>
          <w:pPr>
            <w:pStyle w:val="Contents4"/>
            <w:tabs>
              <w:tab w:val="clear" w:pos="8176"/>
              <w:tab w:val="right" w:pos="9026" w:leader="dot"/>
            </w:tabs>
            <w:rPr/>
          </w:pPr>
          <w:hyperlink w:anchor="__RefHeading___Toc2465302_2870459653">
            <w:r>
              <w:rPr>
                <w:webHidden/>
                <w:rStyle w:val="IndexLink"/>
                <w:rtl w:val="true"/>
              </w:rPr>
              <w:t>الكلام في الصنف الأول من القسم الثاني</w:t>
            </w:r>
            <w:r>
              <w:rPr>
                <w:rStyle w:val="IndexLink"/>
                <w:rtl w:val="true"/>
              </w:rPr>
              <w:tab/>
            </w:r>
            <w:r>
              <w:rPr>
                <w:rStyle w:val="IndexLink"/>
              </w:rPr>
              <w:t>288</w:t>
            </w:r>
          </w:hyperlink>
        </w:p>
        <w:p>
          <w:pPr>
            <w:pStyle w:val="Contents4"/>
            <w:tabs>
              <w:tab w:val="clear" w:pos="8176"/>
              <w:tab w:val="right" w:pos="9026" w:leader="dot"/>
            </w:tabs>
            <w:rPr/>
          </w:pPr>
          <w:hyperlink w:anchor="__RefHeading___Toc2465304_2870459653">
            <w:r>
              <w:rPr>
                <w:webHidden/>
                <w:rStyle w:val="IndexLink"/>
                <w:rtl w:val="true"/>
              </w:rPr>
              <w:t>الكلام في الصنف الثاني من القسم الثاني</w:t>
            </w:r>
            <w:r>
              <w:rPr>
                <w:rStyle w:val="IndexLink"/>
                <w:rtl w:val="true"/>
              </w:rPr>
              <w:tab/>
            </w:r>
            <w:r>
              <w:rPr>
                <w:rStyle w:val="IndexLink"/>
              </w:rPr>
              <w:t>289</w:t>
            </w:r>
          </w:hyperlink>
        </w:p>
        <w:p>
          <w:pPr>
            <w:pStyle w:val="Contents4"/>
            <w:tabs>
              <w:tab w:val="clear" w:pos="8176"/>
              <w:tab w:val="right" w:pos="9026" w:leader="dot"/>
            </w:tabs>
            <w:rPr/>
          </w:pPr>
          <w:hyperlink w:anchor="__RefHeading___Toc2465306_2870459653">
            <w:r>
              <w:rPr>
                <w:webHidden/>
                <w:rStyle w:val="IndexLink"/>
                <w:rtl w:val="true"/>
              </w:rPr>
              <w:t>فالنتيجة النهائية</w:t>
            </w:r>
            <w:r>
              <w:rPr>
                <w:rStyle w:val="IndexLink"/>
                <w:rtl w:val="true"/>
              </w:rPr>
              <w:tab/>
            </w:r>
            <w:r>
              <w:rPr>
                <w:rStyle w:val="IndexLink"/>
              </w:rPr>
              <w:t>289</w:t>
            </w:r>
          </w:hyperlink>
        </w:p>
        <w:p>
          <w:pPr>
            <w:pStyle w:val="Contents3"/>
            <w:tabs>
              <w:tab w:val="clear" w:pos="8459"/>
              <w:tab w:val="right" w:pos="9026" w:leader="dot"/>
            </w:tabs>
            <w:rPr/>
          </w:pPr>
          <w:hyperlink w:anchor="__RefHeading___Toc2465308_2870459653">
            <w:r>
              <w:rPr>
                <w:webHidden/>
                <w:rStyle w:val="IndexLink"/>
                <w:rtl w:val="true"/>
              </w:rPr>
              <w:t>الفصل الثاني</w:t>
            </w:r>
            <w:r>
              <w:rPr>
                <w:rStyle w:val="IndexLink"/>
                <w:rtl w:val="true"/>
              </w:rPr>
              <w:t xml:space="preserve">: </w:t>
            </w:r>
            <w:r>
              <w:rPr>
                <w:rStyle w:val="IndexLink"/>
                <w:rtl w:val="true"/>
              </w:rPr>
              <w:t xml:space="preserve">في المنهج العام الذي اعتمده الشيخ </w:t>
            </w:r>
            <w:r>
              <w:rPr>
                <w:rStyle w:val="IndexLink"/>
                <w:rtl w:val="true"/>
              </w:rPr>
              <w:t>(</w:t>
            </w:r>
            <w:r>
              <w:rPr>
                <w:rStyle w:val="IndexLink"/>
                <w:rtl w:val="true"/>
              </w:rPr>
              <w:t>قدس سره</w:t>
            </w:r>
            <w:r>
              <w:rPr>
                <w:rStyle w:val="IndexLink"/>
                <w:rtl w:val="true"/>
              </w:rPr>
              <w:t xml:space="preserve">) </w:t>
            </w:r>
            <w:r>
              <w:rPr>
                <w:rStyle w:val="IndexLink"/>
                <w:rtl w:val="true"/>
              </w:rPr>
              <w:t>في تصنيفه لكتابه هذا</w:t>
            </w:r>
            <w:r>
              <w:rPr>
                <w:rStyle w:val="IndexLink"/>
                <w:rtl w:val="true"/>
              </w:rPr>
              <w:tab/>
            </w:r>
            <w:r>
              <w:rPr>
                <w:rStyle w:val="IndexLink"/>
              </w:rPr>
              <w:t>290</w:t>
            </w:r>
          </w:hyperlink>
        </w:p>
        <w:p>
          <w:pPr>
            <w:pStyle w:val="Contents4"/>
            <w:tabs>
              <w:tab w:val="clear" w:pos="8176"/>
              <w:tab w:val="right" w:pos="9026" w:leader="dot"/>
            </w:tabs>
            <w:rPr/>
          </w:pPr>
          <w:hyperlink w:anchor="__RefHeading___Toc2465310_2870459653">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2465312_2870459653">
            <w:r>
              <w:rPr>
                <w:webHidden/>
                <w:rStyle w:val="IndexLink"/>
                <w:rtl w:val="true"/>
              </w:rPr>
              <w:t>المسلك الأول</w:t>
            </w:r>
            <w:r>
              <w:rPr>
                <w:rStyle w:val="IndexLink"/>
                <w:rtl w:val="true"/>
              </w:rPr>
              <w:tab/>
            </w:r>
            <w:r>
              <w:rPr>
                <w:rStyle w:val="IndexLink"/>
              </w:rPr>
              <w:t>290</w:t>
            </w:r>
          </w:hyperlink>
        </w:p>
        <w:p>
          <w:pPr>
            <w:pStyle w:val="Contents4"/>
            <w:tabs>
              <w:tab w:val="clear" w:pos="8176"/>
              <w:tab w:val="right" w:pos="9026" w:leader="dot"/>
            </w:tabs>
            <w:rPr/>
          </w:pPr>
          <w:hyperlink w:anchor="__RefHeading___Toc2465314_2870459653">
            <w:r>
              <w:rPr>
                <w:webHidden/>
                <w:rStyle w:val="IndexLink"/>
                <w:rtl w:val="true"/>
              </w:rPr>
              <w:t>المسلك الثاني</w:t>
            </w:r>
            <w:r>
              <w:rPr>
                <w:rStyle w:val="IndexLink"/>
                <w:rtl w:val="true"/>
              </w:rPr>
              <w:tab/>
            </w:r>
            <w:r>
              <w:rPr>
                <w:rStyle w:val="IndexLink"/>
              </w:rPr>
              <w:t>290</w:t>
            </w:r>
          </w:hyperlink>
        </w:p>
        <w:p>
          <w:pPr>
            <w:pStyle w:val="Contents3"/>
            <w:tabs>
              <w:tab w:val="clear" w:pos="8459"/>
              <w:tab w:val="right" w:pos="9026" w:leader="dot"/>
            </w:tabs>
            <w:rPr/>
          </w:pPr>
          <w:hyperlink w:anchor="__RefHeading___Toc2465316_2870459653">
            <w:r>
              <w:rPr>
                <w:webHidden/>
                <w:rStyle w:val="IndexLink"/>
                <w:rtl w:val="true"/>
              </w:rPr>
              <w:t>الفصل الثالث</w:t>
            </w:r>
            <w:r>
              <w:rPr>
                <w:rStyle w:val="IndexLink"/>
                <w:rtl w:val="true"/>
              </w:rPr>
              <w:t xml:space="preserve">: </w:t>
            </w:r>
            <w:r>
              <w:rPr>
                <w:rStyle w:val="IndexLink"/>
                <w:rtl w:val="true"/>
              </w:rPr>
              <w:t xml:space="preserve">في إشكاليات وجُهت إلى رجال الشيخ </w:t>
            </w:r>
            <w:r>
              <w:rPr>
                <w:rStyle w:val="IndexLink"/>
                <w:rtl w:val="true"/>
              </w:rPr>
              <w:t>(</w:t>
            </w:r>
            <w:r>
              <w:rPr>
                <w:rStyle w:val="IndexLink"/>
                <w:rtl w:val="true"/>
              </w:rPr>
              <w:t>قدس سره</w:t>
            </w:r>
            <w:r>
              <w:rPr>
                <w:rStyle w:val="IndexLink"/>
                <w:rtl w:val="true"/>
              </w:rPr>
              <w:t>)</w:t>
              <w:tab/>
            </w:r>
            <w:r>
              <w:rPr>
                <w:rStyle w:val="IndexLink"/>
              </w:rPr>
              <w:t>295</w:t>
            </w:r>
          </w:hyperlink>
        </w:p>
        <w:p>
          <w:pPr>
            <w:pStyle w:val="Contents4"/>
            <w:tabs>
              <w:tab w:val="clear" w:pos="8176"/>
              <w:tab w:val="right" w:pos="9026" w:leader="dot"/>
            </w:tabs>
            <w:rPr/>
          </w:pPr>
          <w:hyperlink w:anchor="__RefHeading___Toc2465318_2870459653">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2465320_2870459653">
            <w:r>
              <w:rPr>
                <w:webHidden/>
                <w:rStyle w:val="IndexLink"/>
                <w:rtl w:val="true"/>
              </w:rPr>
              <w:t>الجهة الأولى</w:t>
            </w:r>
            <w:r>
              <w:rPr>
                <w:rStyle w:val="IndexLink"/>
                <w:rtl w:val="true"/>
              </w:rPr>
              <w:tab/>
            </w:r>
            <w:r>
              <w:rPr>
                <w:rStyle w:val="IndexLink"/>
              </w:rPr>
              <w:t>295</w:t>
            </w:r>
          </w:hyperlink>
        </w:p>
        <w:p>
          <w:pPr>
            <w:pStyle w:val="Contents5"/>
            <w:tabs>
              <w:tab w:val="clear" w:pos="7892"/>
              <w:tab w:val="right" w:pos="9026" w:leader="dot"/>
            </w:tabs>
            <w:rPr/>
          </w:pPr>
          <w:hyperlink w:anchor="__RefHeading___Toc2465322_2870459653">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2465324_2870459653">
            <w:r>
              <w:rPr>
                <w:webHidden/>
                <w:rStyle w:val="IndexLink"/>
                <w:rtl w:val="true"/>
              </w:rPr>
              <w:t>فالكلام يقع في الناحية الأولى</w:t>
            </w:r>
            <w:r>
              <w:rPr>
                <w:rStyle w:val="IndexLink"/>
                <w:rtl w:val="true"/>
              </w:rPr>
              <w:tab/>
            </w:r>
            <w:r>
              <w:rPr>
                <w:rStyle w:val="IndexLink"/>
              </w:rPr>
              <w:t>296</w:t>
            </w:r>
          </w:hyperlink>
        </w:p>
        <w:p>
          <w:pPr>
            <w:pStyle w:val="Contents6"/>
            <w:tabs>
              <w:tab w:val="clear" w:pos="7609"/>
              <w:tab w:val="right" w:pos="9026" w:leader="dot"/>
            </w:tabs>
            <w:rPr/>
          </w:pPr>
          <w:hyperlink w:anchor="__RefHeading___Toc2465326_2870459653">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2465328_2870459653">
            <w:r>
              <w:rPr>
                <w:webHidden/>
                <w:rStyle w:val="IndexLink"/>
                <w:rtl w:val="true"/>
              </w:rPr>
              <w:t>الفرضية الأولى</w:t>
            </w:r>
            <w:r>
              <w:rPr>
                <w:rStyle w:val="IndexLink"/>
                <w:rtl w:val="true"/>
              </w:rPr>
              <w:tab/>
            </w:r>
            <w:r>
              <w:rPr>
                <w:rStyle w:val="IndexLink"/>
              </w:rPr>
              <w:t>296</w:t>
            </w:r>
          </w:hyperlink>
        </w:p>
        <w:p>
          <w:pPr>
            <w:pStyle w:val="Contents6"/>
            <w:tabs>
              <w:tab w:val="clear" w:pos="7609"/>
              <w:tab w:val="right" w:pos="9026" w:leader="dot"/>
            </w:tabs>
            <w:rPr/>
          </w:pPr>
          <w:hyperlink w:anchor="__RefHeading___Toc2465330_2870459653">
            <w:r>
              <w:rPr>
                <w:webHidden/>
                <w:rStyle w:val="IndexLink"/>
                <w:rtl w:val="true"/>
              </w:rPr>
              <w:t>الفرضية الثانية</w:t>
            </w:r>
            <w:r>
              <w:rPr>
                <w:rStyle w:val="IndexLink"/>
                <w:rtl w:val="true"/>
              </w:rPr>
              <w:tab/>
            </w:r>
            <w:r>
              <w:rPr>
                <w:rStyle w:val="IndexLink"/>
              </w:rPr>
              <w:t>297</w:t>
            </w:r>
          </w:hyperlink>
        </w:p>
        <w:p>
          <w:pPr>
            <w:pStyle w:val="Contents6"/>
            <w:tabs>
              <w:tab w:val="clear" w:pos="7609"/>
              <w:tab w:val="right" w:pos="9026" w:leader="dot"/>
            </w:tabs>
            <w:rPr/>
          </w:pPr>
          <w:hyperlink w:anchor="__RefHeading___Toc2465332_2870459653">
            <w:r>
              <w:rPr>
                <w:webHidden/>
                <w:rStyle w:val="IndexLink"/>
                <w:rtl w:val="true"/>
              </w:rPr>
              <w:t>الفرضية الثالثة</w:t>
            </w:r>
            <w:r>
              <w:rPr>
                <w:rStyle w:val="IndexLink"/>
                <w:rtl w:val="true"/>
              </w:rPr>
              <w:tab/>
            </w:r>
            <w:r>
              <w:rPr>
                <w:rStyle w:val="IndexLink"/>
              </w:rPr>
              <w:t>299</w:t>
            </w:r>
          </w:hyperlink>
        </w:p>
        <w:p>
          <w:pPr>
            <w:pStyle w:val="Contents6"/>
            <w:tabs>
              <w:tab w:val="clear" w:pos="7609"/>
              <w:tab w:val="right" w:pos="9026" w:leader="dot"/>
            </w:tabs>
            <w:rPr/>
          </w:pPr>
          <w:hyperlink w:anchor="__RefHeading___Toc2465334_2870459653">
            <w:r>
              <w:rPr>
                <w:webHidden/>
                <w:rStyle w:val="IndexLink"/>
                <w:rtl w:val="true"/>
              </w:rPr>
              <w:t>الفرضية الرابعة</w:t>
            </w:r>
            <w:r>
              <w:rPr>
                <w:rStyle w:val="IndexLink"/>
                <w:rtl w:val="true"/>
              </w:rPr>
              <w:tab/>
            </w:r>
            <w:r>
              <w:rPr>
                <w:rStyle w:val="IndexLink"/>
              </w:rPr>
              <w:t>299</w:t>
            </w:r>
          </w:hyperlink>
        </w:p>
        <w:p>
          <w:pPr>
            <w:pStyle w:val="Contents6"/>
            <w:tabs>
              <w:tab w:val="clear" w:pos="7609"/>
              <w:tab w:val="right" w:pos="9026" w:leader="dot"/>
            </w:tabs>
            <w:rPr/>
          </w:pPr>
          <w:hyperlink w:anchor="__RefHeading___Toc2465336_2870459653">
            <w:r>
              <w:rPr>
                <w:webHidden/>
                <w:rStyle w:val="IndexLink"/>
                <w:rtl w:val="true"/>
              </w:rPr>
              <w:t>الفرضية الخامسة</w:t>
            </w:r>
            <w:r>
              <w:rPr>
                <w:rStyle w:val="IndexLink"/>
                <w:rtl w:val="true"/>
              </w:rPr>
              <w:tab/>
            </w:r>
            <w:r>
              <w:rPr>
                <w:rStyle w:val="IndexLink"/>
              </w:rPr>
              <w:t>299</w:t>
            </w:r>
          </w:hyperlink>
        </w:p>
        <w:p>
          <w:pPr>
            <w:pStyle w:val="Contents5"/>
            <w:tabs>
              <w:tab w:val="clear" w:pos="7892"/>
              <w:tab w:val="right" w:pos="9026" w:leader="dot"/>
            </w:tabs>
            <w:rPr/>
          </w:pPr>
          <w:hyperlink w:anchor="__RefHeading___Toc2465338_2870459653">
            <w:r>
              <w:rPr>
                <w:webHidden/>
                <w:rStyle w:val="IndexLink"/>
                <w:rtl w:val="true"/>
              </w:rPr>
              <w:t>الناحية الثالثة</w:t>
            </w:r>
            <w:r>
              <w:rPr>
                <w:rStyle w:val="IndexLink"/>
                <w:rtl w:val="true"/>
              </w:rPr>
              <w:tab/>
            </w:r>
            <w:r>
              <w:rPr>
                <w:rStyle w:val="IndexLink"/>
              </w:rPr>
              <w:t>300</w:t>
            </w:r>
          </w:hyperlink>
        </w:p>
        <w:p>
          <w:pPr>
            <w:pStyle w:val="Contents6"/>
            <w:tabs>
              <w:tab w:val="clear" w:pos="7609"/>
              <w:tab w:val="right" w:pos="9026" w:leader="dot"/>
            </w:tabs>
            <w:rPr/>
          </w:pPr>
          <w:hyperlink w:anchor="__RefHeading___Toc2465340_2870459653">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2465342_2870459653">
            <w:r>
              <w:rPr>
                <w:webHidden/>
                <w:rStyle w:val="IndexLink"/>
                <w:rtl w:val="true"/>
              </w:rPr>
              <w:t>الفرضية الأولى</w:t>
            </w:r>
            <w:r>
              <w:rPr>
                <w:rStyle w:val="IndexLink"/>
                <w:rtl w:val="true"/>
              </w:rPr>
              <w:tab/>
            </w:r>
            <w:r>
              <w:rPr>
                <w:rStyle w:val="IndexLink"/>
              </w:rPr>
              <w:t>301</w:t>
            </w:r>
          </w:hyperlink>
        </w:p>
        <w:p>
          <w:pPr>
            <w:pStyle w:val="Contents6"/>
            <w:tabs>
              <w:tab w:val="clear" w:pos="7609"/>
              <w:tab w:val="right" w:pos="9026" w:leader="dot"/>
            </w:tabs>
            <w:rPr/>
          </w:pPr>
          <w:hyperlink w:anchor="__RefHeading___Toc2465344_2870459653">
            <w:r>
              <w:rPr>
                <w:webHidden/>
                <w:rStyle w:val="IndexLink"/>
                <w:rtl w:val="true"/>
              </w:rPr>
              <w:t>الفرضية الثانية</w:t>
            </w:r>
            <w:r>
              <w:rPr>
                <w:rStyle w:val="IndexLink"/>
                <w:rtl w:val="true"/>
              </w:rPr>
              <w:tab/>
            </w:r>
            <w:r>
              <w:rPr>
                <w:rStyle w:val="IndexLink"/>
              </w:rPr>
              <w:t>302</w:t>
            </w:r>
          </w:hyperlink>
        </w:p>
        <w:p>
          <w:pPr>
            <w:pStyle w:val="Contents6"/>
            <w:tabs>
              <w:tab w:val="clear" w:pos="7609"/>
              <w:tab w:val="right" w:pos="9026" w:leader="dot"/>
            </w:tabs>
            <w:rPr/>
          </w:pPr>
          <w:hyperlink w:anchor="__RefHeading___Toc2465346_2870459653">
            <w:r>
              <w:rPr>
                <w:webHidden/>
                <w:rStyle w:val="IndexLink"/>
                <w:rtl w:val="true"/>
              </w:rPr>
              <w:t>الفرضية الثالثة</w:t>
            </w:r>
            <w:r>
              <w:rPr>
                <w:rStyle w:val="IndexLink"/>
                <w:rtl w:val="true"/>
              </w:rPr>
              <w:tab/>
            </w:r>
            <w:r>
              <w:rPr>
                <w:rStyle w:val="IndexLink"/>
              </w:rPr>
              <w:t>303</w:t>
            </w:r>
          </w:hyperlink>
        </w:p>
        <w:p>
          <w:pPr>
            <w:pStyle w:val="Contents6"/>
            <w:tabs>
              <w:tab w:val="clear" w:pos="7609"/>
              <w:tab w:val="right" w:pos="9026" w:leader="dot"/>
            </w:tabs>
            <w:rPr/>
          </w:pPr>
          <w:hyperlink w:anchor="__RefHeading___Toc2465348_2870459653">
            <w:r>
              <w:rPr>
                <w:webHidden/>
                <w:rStyle w:val="IndexLink"/>
                <w:rtl w:val="true"/>
              </w:rPr>
              <w:t>الفرضية الرابعة والخامسة والسادسة</w:t>
            </w:r>
            <w:r>
              <w:rPr>
                <w:rStyle w:val="IndexLink"/>
                <w:rtl w:val="true"/>
              </w:rPr>
              <w:tab/>
            </w:r>
            <w:r>
              <w:rPr>
                <w:rStyle w:val="IndexLink"/>
              </w:rPr>
              <w:t>304</w:t>
            </w:r>
          </w:hyperlink>
        </w:p>
        <w:p>
          <w:pPr>
            <w:pStyle w:val="Contents4"/>
            <w:tabs>
              <w:tab w:val="clear" w:pos="8176"/>
              <w:tab w:val="right" w:pos="9026" w:leader="dot"/>
            </w:tabs>
            <w:rPr/>
          </w:pPr>
          <w:hyperlink w:anchor="__RefHeading___Toc2465350_2870459653">
            <w:r>
              <w:rPr>
                <w:webHidden/>
                <w:rStyle w:val="IndexLink"/>
                <w:rtl w:val="true"/>
              </w:rPr>
              <w:t>الجهة الثانية</w:t>
            </w:r>
            <w:r>
              <w:rPr>
                <w:rStyle w:val="IndexLink"/>
                <w:rtl w:val="true"/>
              </w:rPr>
              <w:tab/>
            </w:r>
            <w:r>
              <w:rPr>
                <w:rStyle w:val="IndexLink"/>
              </w:rPr>
              <w:t>304</w:t>
            </w:r>
          </w:hyperlink>
        </w:p>
        <w:p>
          <w:pPr>
            <w:pStyle w:val="Contents5"/>
            <w:tabs>
              <w:tab w:val="clear" w:pos="7892"/>
              <w:tab w:val="right" w:pos="9026" w:leader="dot"/>
            </w:tabs>
            <w:rPr/>
          </w:pPr>
          <w:hyperlink w:anchor="__RefHeading___Toc2465352_2870459653">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2465354_2870459653">
            <w:r>
              <w:rPr>
                <w:webHidden/>
                <w:rStyle w:val="IndexLink"/>
                <w:rtl w:val="true"/>
              </w:rPr>
              <w:t>الفرضية الأولى</w:t>
            </w:r>
            <w:r>
              <w:rPr>
                <w:rStyle w:val="IndexLink"/>
                <w:rtl w:val="true"/>
              </w:rPr>
              <w:tab/>
            </w:r>
            <w:r>
              <w:rPr>
                <w:rStyle w:val="IndexLink"/>
              </w:rPr>
              <w:t>304</w:t>
            </w:r>
          </w:hyperlink>
        </w:p>
        <w:p>
          <w:pPr>
            <w:pStyle w:val="Contents5"/>
            <w:tabs>
              <w:tab w:val="clear" w:pos="7892"/>
              <w:tab w:val="right" w:pos="9026" w:leader="dot"/>
            </w:tabs>
            <w:rPr/>
          </w:pPr>
          <w:hyperlink w:anchor="__RefHeading___Toc2465356_2870459653">
            <w:r>
              <w:rPr>
                <w:webHidden/>
                <w:rStyle w:val="IndexLink"/>
                <w:rtl w:val="true"/>
              </w:rPr>
              <w:t>الفرضية الثانية</w:t>
            </w:r>
            <w:r>
              <w:rPr>
                <w:rStyle w:val="IndexLink"/>
                <w:rtl w:val="true"/>
              </w:rPr>
              <w:tab/>
            </w:r>
            <w:r>
              <w:rPr>
                <w:rStyle w:val="IndexLink"/>
              </w:rPr>
              <w:t>306</w:t>
            </w:r>
          </w:hyperlink>
        </w:p>
        <w:p>
          <w:pPr>
            <w:pStyle w:val="Contents5"/>
            <w:tabs>
              <w:tab w:val="clear" w:pos="7892"/>
              <w:tab w:val="right" w:pos="9026" w:leader="dot"/>
            </w:tabs>
            <w:rPr/>
          </w:pPr>
          <w:hyperlink w:anchor="__RefHeading___Toc2465358_2870459653">
            <w:r>
              <w:rPr>
                <w:webHidden/>
                <w:rStyle w:val="IndexLink"/>
                <w:rtl w:val="true"/>
              </w:rPr>
              <w:t>الفرضية الثالثة</w:t>
            </w:r>
            <w:r>
              <w:rPr>
                <w:rStyle w:val="IndexLink"/>
                <w:rtl w:val="true"/>
              </w:rPr>
              <w:tab/>
            </w:r>
            <w:r>
              <w:rPr>
                <w:rStyle w:val="IndexLink"/>
              </w:rPr>
              <w:t>307</w:t>
            </w:r>
          </w:hyperlink>
        </w:p>
        <w:p>
          <w:pPr>
            <w:pStyle w:val="Contents5"/>
            <w:tabs>
              <w:tab w:val="clear" w:pos="7892"/>
              <w:tab w:val="right" w:pos="9026" w:leader="dot"/>
            </w:tabs>
            <w:rPr/>
          </w:pPr>
          <w:hyperlink w:anchor="__RefHeading___Toc2465360_2870459653">
            <w:r>
              <w:rPr>
                <w:webHidden/>
                <w:rStyle w:val="IndexLink"/>
                <w:rtl w:val="true"/>
              </w:rPr>
              <w:t>الفرضية الرابعة</w:t>
            </w:r>
            <w:r>
              <w:rPr>
                <w:rStyle w:val="IndexLink"/>
                <w:rtl w:val="true"/>
              </w:rPr>
              <w:tab/>
            </w:r>
            <w:r>
              <w:rPr>
                <w:rStyle w:val="IndexLink"/>
              </w:rPr>
              <w:t>308</w:t>
            </w:r>
          </w:hyperlink>
        </w:p>
        <w:p>
          <w:pPr>
            <w:pStyle w:val="Contents5"/>
            <w:tabs>
              <w:tab w:val="clear" w:pos="7892"/>
              <w:tab w:val="right" w:pos="9026" w:leader="dot"/>
            </w:tabs>
            <w:rPr/>
          </w:pPr>
          <w:hyperlink w:anchor="__RefHeading___Toc2465362_2870459653">
            <w:r>
              <w:rPr>
                <w:webHidden/>
                <w:rStyle w:val="IndexLink"/>
                <w:rtl w:val="true"/>
              </w:rPr>
              <w:t>الفرضية الخامسة</w:t>
            </w:r>
            <w:r>
              <w:rPr>
                <w:rStyle w:val="IndexLink"/>
                <w:rtl w:val="true"/>
              </w:rPr>
              <w:tab/>
            </w:r>
            <w:r>
              <w:rPr>
                <w:rStyle w:val="IndexLink"/>
              </w:rPr>
              <w:t>310</w:t>
            </w:r>
          </w:hyperlink>
        </w:p>
        <w:p>
          <w:pPr>
            <w:pStyle w:val="Contents6"/>
            <w:tabs>
              <w:tab w:val="clear" w:pos="7609"/>
              <w:tab w:val="right" w:pos="9026" w:leader="dot"/>
            </w:tabs>
            <w:rPr/>
          </w:pPr>
          <w:hyperlink w:anchor="__RefHeading___Toc2465364_2870459653">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2465366_2870459653">
            <w:r>
              <w:rPr>
                <w:webHidden/>
                <w:rStyle w:val="IndexLink"/>
                <w:rtl w:val="true"/>
              </w:rPr>
              <w:t>المقدمة الأولى</w:t>
            </w:r>
            <w:r>
              <w:rPr>
                <w:rStyle w:val="IndexLink"/>
                <w:rtl w:val="true"/>
              </w:rPr>
              <w:tab/>
            </w:r>
            <w:r>
              <w:rPr>
                <w:rStyle w:val="IndexLink"/>
              </w:rPr>
              <w:t>310</w:t>
            </w:r>
          </w:hyperlink>
        </w:p>
        <w:p>
          <w:pPr>
            <w:pStyle w:val="Contents6"/>
            <w:tabs>
              <w:tab w:val="clear" w:pos="7609"/>
              <w:tab w:val="right" w:pos="9026" w:leader="dot"/>
            </w:tabs>
            <w:rPr/>
          </w:pPr>
          <w:hyperlink w:anchor="__RefHeading___Toc2465368_2870459653">
            <w:r>
              <w:rPr>
                <w:webHidden/>
                <w:rStyle w:val="IndexLink"/>
                <w:rtl w:val="true"/>
              </w:rPr>
              <w:t>المقدمة الثانية</w:t>
            </w:r>
            <w:r>
              <w:rPr>
                <w:rStyle w:val="IndexLink"/>
                <w:rtl w:val="true"/>
              </w:rPr>
              <w:tab/>
            </w:r>
            <w:r>
              <w:rPr>
                <w:rStyle w:val="IndexLink"/>
              </w:rPr>
              <w:t>311</w:t>
            </w:r>
          </w:hyperlink>
        </w:p>
        <w:p>
          <w:pPr>
            <w:pStyle w:val="Contents6"/>
            <w:tabs>
              <w:tab w:val="clear" w:pos="7609"/>
              <w:tab w:val="right" w:pos="9026" w:leader="dot"/>
            </w:tabs>
            <w:rPr/>
          </w:pPr>
          <w:hyperlink w:anchor="__RefHeading___Toc2465370_2870459653">
            <w:r>
              <w:rPr>
                <w:webHidden/>
                <w:rStyle w:val="IndexLink"/>
                <w:rtl w:val="true"/>
              </w:rPr>
              <w:t>المقدمة الثالثة</w:t>
            </w:r>
            <w:r>
              <w:rPr>
                <w:rStyle w:val="IndexLink"/>
                <w:rtl w:val="true"/>
              </w:rPr>
              <w:tab/>
            </w:r>
            <w:r>
              <w:rPr>
                <w:rStyle w:val="IndexLink"/>
              </w:rPr>
              <w:t>311</w:t>
            </w:r>
          </w:hyperlink>
        </w:p>
        <w:p>
          <w:pPr>
            <w:pStyle w:val="Contents4"/>
            <w:tabs>
              <w:tab w:val="clear" w:pos="8176"/>
              <w:tab w:val="right" w:pos="9026" w:leader="dot"/>
            </w:tabs>
            <w:rPr/>
          </w:pPr>
          <w:hyperlink w:anchor="__RefHeading___Toc2465372_2870459653">
            <w:r>
              <w:rPr>
                <w:webHidden/>
                <w:rStyle w:val="IndexLink"/>
                <w:rtl w:val="true"/>
              </w:rPr>
              <w:t>الجهة الثالثة</w:t>
            </w:r>
            <w:r>
              <w:rPr>
                <w:rStyle w:val="IndexLink"/>
                <w:rtl w:val="true"/>
              </w:rPr>
              <w:tab/>
            </w:r>
            <w:r>
              <w:rPr>
                <w:rStyle w:val="IndexLink"/>
              </w:rPr>
              <w:t>312</w:t>
            </w:r>
          </w:hyperlink>
        </w:p>
        <w:p>
          <w:pPr>
            <w:pStyle w:val="Contents3"/>
            <w:tabs>
              <w:tab w:val="clear" w:pos="8459"/>
              <w:tab w:val="right" w:pos="9026" w:leader="dot"/>
            </w:tabs>
            <w:rPr/>
          </w:pPr>
          <w:hyperlink w:anchor="__RefHeading___Toc2465374_2870459653">
            <w:r>
              <w:rPr>
                <w:webHidden/>
                <w:rStyle w:val="IndexLink"/>
                <w:rtl w:val="true"/>
              </w:rPr>
              <w:t>الفصل الرابع</w:t>
            </w:r>
            <w:r>
              <w:rPr>
                <w:rStyle w:val="IndexLink"/>
                <w:rtl w:val="true"/>
              </w:rPr>
              <w:t xml:space="preserve">: </w:t>
            </w:r>
            <w:r>
              <w:rPr>
                <w:rStyle w:val="IndexLink"/>
                <w:rtl w:val="true"/>
              </w:rPr>
              <w:t>في الجرح والتعديل في رجال الشيخ</w:t>
            </w:r>
            <w:r>
              <w:rPr>
                <w:rStyle w:val="IndexLink"/>
                <w:rtl w:val="true"/>
              </w:rPr>
              <w:tab/>
            </w:r>
            <w:r>
              <w:rPr>
                <w:rStyle w:val="IndexLink"/>
              </w:rPr>
              <w:t>314</w:t>
            </w:r>
          </w:hyperlink>
        </w:p>
        <w:p>
          <w:pPr>
            <w:pStyle w:val="Contents4"/>
            <w:tabs>
              <w:tab w:val="clear" w:pos="8176"/>
              <w:tab w:val="right" w:pos="9026" w:leader="dot"/>
            </w:tabs>
            <w:rPr/>
          </w:pPr>
          <w:hyperlink w:anchor="__RefHeading___Toc2465376_287045965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2465378_2870459653">
            <w:r>
              <w:rPr>
                <w:webHidden/>
                <w:rStyle w:val="IndexLink"/>
                <w:rtl w:val="true"/>
              </w:rPr>
              <w:t>الوجه الأول</w:t>
            </w:r>
            <w:r>
              <w:rPr>
                <w:rStyle w:val="IndexLink"/>
                <w:rtl w:val="true"/>
              </w:rPr>
              <w:tab/>
            </w:r>
            <w:r>
              <w:rPr>
                <w:rStyle w:val="IndexLink"/>
              </w:rPr>
              <w:t>315</w:t>
            </w:r>
          </w:hyperlink>
        </w:p>
        <w:p>
          <w:pPr>
            <w:pStyle w:val="Contents4"/>
            <w:tabs>
              <w:tab w:val="clear" w:pos="8176"/>
              <w:tab w:val="right" w:pos="9026" w:leader="dot"/>
            </w:tabs>
            <w:rPr/>
          </w:pPr>
          <w:hyperlink w:anchor="__RefHeading___Toc2465380_2870459653">
            <w:r>
              <w:rPr>
                <w:webHidden/>
                <w:rStyle w:val="IndexLink"/>
                <w:rtl w:val="true"/>
              </w:rPr>
              <w:t>الوجه الثاني</w:t>
            </w:r>
            <w:r>
              <w:rPr>
                <w:rStyle w:val="IndexLink"/>
                <w:rtl w:val="true"/>
              </w:rPr>
              <w:tab/>
            </w:r>
            <w:r>
              <w:rPr>
                <w:rStyle w:val="IndexLink"/>
              </w:rPr>
              <w:t>318</w:t>
            </w:r>
          </w:hyperlink>
        </w:p>
        <w:p>
          <w:pPr>
            <w:pStyle w:val="Contents3"/>
            <w:tabs>
              <w:tab w:val="clear" w:pos="8459"/>
              <w:tab w:val="right" w:pos="9026" w:leader="dot"/>
            </w:tabs>
            <w:rPr/>
          </w:pPr>
          <w:hyperlink w:anchor="__RefHeading___Toc2465382_2870459653">
            <w:r>
              <w:rPr>
                <w:webHidden/>
                <w:rStyle w:val="IndexLink"/>
                <w:rtl w:val="true"/>
              </w:rPr>
              <w:t>الفصل الخامس</w:t>
            </w:r>
            <w:r>
              <w:rPr>
                <w:rStyle w:val="IndexLink"/>
                <w:rtl w:val="true"/>
              </w:rPr>
              <w:t xml:space="preserve">: </w:t>
            </w:r>
            <w:r>
              <w:rPr>
                <w:rStyle w:val="IndexLink"/>
                <w:rtl w:val="true"/>
              </w:rPr>
              <w:t>في نسخ الكتاب هذا</w:t>
            </w:r>
            <w:r>
              <w:rPr>
                <w:rStyle w:val="IndexLink"/>
                <w:rtl w:val="true"/>
              </w:rPr>
              <w:tab/>
            </w:r>
            <w:r>
              <w:rPr>
                <w:rStyle w:val="IndexLink"/>
              </w:rPr>
              <w:t>319</w:t>
            </w:r>
          </w:hyperlink>
        </w:p>
        <w:p>
          <w:pPr>
            <w:pStyle w:val="Contents3"/>
            <w:tabs>
              <w:tab w:val="clear" w:pos="8459"/>
              <w:tab w:val="right" w:pos="9026" w:leader="dot"/>
            </w:tabs>
            <w:rPr/>
          </w:pPr>
          <w:hyperlink w:anchor="__RefHeading___Toc2465384_2870459653">
            <w:r>
              <w:rPr>
                <w:webHidden/>
                <w:rStyle w:val="IndexLink"/>
                <w:rtl w:val="true"/>
              </w:rPr>
              <w:t>الفصل السادس</w:t>
            </w:r>
            <w:r>
              <w:rPr>
                <w:rStyle w:val="IndexLink"/>
                <w:rtl w:val="true"/>
              </w:rPr>
              <w:t xml:space="preserve">: </w:t>
            </w:r>
            <w:r>
              <w:rPr>
                <w:rStyle w:val="IndexLink"/>
                <w:rtl w:val="true"/>
              </w:rPr>
              <w:t>في تأخر رجال الشيخ عن فهرسته وتقدمه على الاختيار</w:t>
            </w:r>
            <w:r>
              <w:rPr>
                <w:rStyle w:val="IndexLink"/>
                <w:rtl w:val="true"/>
              </w:rPr>
              <w:tab/>
            </w:r>
            <w:r>
              <w:rPr>
                <w:rStyle w:val="IndexLink"/>
              </w:rPr>
              <w:t>322</w:t>
            </w:r>
          </w:hyperlink>
        </w:p>
        <w:p>
          <w:pPr>
            <w:pStyle w:val="Contents3"/>
            <w:tabs>
              <w:tab w:val="clear" w:pos="8459"/>
              <w:tab w:val="right" w:pos="9026" w:leader="dot"/>
            </w:tabs>
            <w:rPr/>
          </w:pPr>
          <w:hyperlink w:anchor="__RefHeading___Toc2465386_2870459653">
            <w:r>
              <w:rPr>
                <w:webHidden/>
                <w:rStyle w:val="IndexLink"/>
                <w:rtl w:val="true"/>
              </w:rPr>
              <w:t>خاتمة</w:t>
            </w:r>
            <w:r>
              <w:rPr>
                <w:rStyle w:val="IndexLink"/>
                <w:rtl w:val="true"/>
              </w:rPr>
              <w:tab/>
            </w:r>
            <w:r>
              <w:rPr>
                <w:rStyle w:val="IndexLink"/>
              </w:rPr>
              <w:t>326</w:t>
            </w:r>
          </w:hyperlink>
        </w:p>
        <w:p>
          <w:pPr>
            <w:pStyle w:val="Contents3"/>
            <w:tabs>
              <w:tab w:val="clear" w:pos="8459"/>
              <w:tab w:val="right" w:pos="9026" w:leader="dot"/>
            </w:tabs>
            <w:rPr/>
          </w:pPr>
          <w:hyperlink w:anchor="__RefHeading___Toc2465388_2870459653">
            <w:r>
              <w:rPr>
                <w:webHidden/>
                <w:rStyle w:val="IndexLink"/>
                <w:rtl w:val="true"/>
              </w:rPr>
              <w:t>أهم المصادر</w:t>
            </w:r>
            <w:r>
              <w:rPr>
                <w:rStyle w:val="IndexLink"/>
                <w:rtl w:val="true"/>
              </w:rPr>
              <w:tab/>
            </w:r>
            <w:r>
              <w:rPr>
                <w:rStyle w:val="IndexLink"/>
              </w:rPr>
              <w:t>327</w:t>
            </w:r>
          </w:hyperlink>
        </w:p>
        <w:p>
          <w:pPr>
            <w:pStyle w:val="Contents2"/>
            <w:tabs>
              <w:tab w:val="clear" w:pos="8743"/>
              <w:tab w:val="right" w:pos="9026" w:leader="dot"/>
            </w:tabs>
            <w:rPr/>
          </w:pPr>
          <w:hyperlink w:anchor="__RefHeading___Toc2465390_2870459653">
            <w:r>
              <w:rPr>
                <w:webHidden/>
                <w:rStyle w:val="IndexLink"/>
                <w:rtl w:val="true"/>
              </w:rPr>
              <w:t xml:space="preserve">قطعة من رسالة الشرائع للفقیه الأقدم علی بن بابویة القمی </w:t>
            </w:r>
            <w:r>
              <w:rPr>
                <w:rStyle w:val="IndexLink"/>
                <w:rtl w:val="true"/>
              </w:rPr>
              <w:t>(</w:t>
            </w:r>
            <w:r>
              <w:rPr>
                <w:rStyle w:val="IndexLink"/>
                <w:rtl w:val="true"/>
              </w:rPr>
              <w:t>قدس سره</w:t>
            </w:r>
            <w:r>
              <w:rPr>
                <w:rStyle w:val="IndexLink"/>
                <w:rtl w:val="true"/>
              </w:rPr>
              <w:t xml:space="preserve">) - </w:t>
            </w:r>
            <w:r>
              <w:rPr>
                <w:rStyle w:val="IndexLink"/>
                <w:rtl w:val="true"/>
              </w:rPr>
              <w:t>الشيخ كريم مسير و الشيخ شاكر المحمدي</w:t>
            </w:r>
            <w:r>
              <w:rPr>
                <w:rStyle w:val="IndexLink"/>
                <w:rtl w:val="true"/>
              </w:rPr>
              <w:tab/>
            </w:r>
            <w:r>
              <w:rPr>
                <w:rStyle w:val="IndexLink"/>
              </w:rPr>
              <w:t>330</w:t>
            </w:r>
          </w:hyperlink>
        </w:p>
        <w:p>
          <w:pPr>
            <w:pStyle w:val="Contents3"/>
            <w:tabs>
              <w:tab w:val="clear" w:pos="8459"/>
              <w:tab w:val="right" w:pos="9026" w:leader="dot"/>
            </w:tabs>
            <w:rPr/>
          </w:pPr>
          <w:hyperlink w:anchor="__RefHeading___Toc2465392_2870459653">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2465394_2870459653">
            <w:r>
              <w:rPr>
                <w:webHidden/>
                <w:rStyle w:val="IndexLink"/>
                <w:rtl w:val="true"/>
              </w:rPr>
              <w:t>مقدمة التحقيق</w:t>
            </w:r>
            <w:r>
              <w:rPr>
                <w:rStyle w:val="IndexLink"/>
                <w:rtl w:val="true"/>
              </w:rPr>
              <w:tab/>
            </w:r>
            <w:r>
              <w:rPr>
                <w:rStyle w:val="IndexLink"/>
              </w:rPr>
              <w:t>332</w:t>
            </w:r>
          </w:hyperlink>
        </w:p>
        <w:p>
          <w:pPr>
            <w:pStyle w:val="Contents4"/>
            <w:tabs>
              <w:tab w:val="clear" w:pos="8176"/>
              <w:tab w:val="right" w:pos="9026" w:leader="dot"/>
            </w:tabs>
            <w:rPr/>
          </w:pPr>
          <w:hyperlink w:anchor="__RefHeading___Toc2465396_2870459653">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2465398_2870459653">
            <w:r>
              <w:rPr>
                <w:webHidden/>
                <w:rStyle w:val="IndexLink"/>
                <w:rtl w:val="true"/>
              </w:rPr>
              <w:t>الباب الأول</w:t>
            </w:r>
            <w:r>
              <w:rPr>
                <w:rStyle w:val="IndexLink"/>
                <w:rtl w:val="true"/>
              </w:rPr>
              <w:t xml:space="preserve">: </w:t>
            </w:r>
            <w:r>
              <w:rPr>
                <w:rStyle w:val="IndexLink"/>
                <w:rtl w:val="true"/>
              </w:rPr>
              <w:t xml:space="preserve">سيرة المصنِّف </w:t>
            </w:r>
            <w:r>
              <w:rPr>
                <w:rStyle w:val="IndexLink"/>
                <w:rtl w:val="true"/>
              </w:rPr>
              <w:t>(</w:t>
            </w:r>
            <w:r>
              <w:rPr>
                <w:rStyle w:val="IndexLink"/>
                <w:rtl w:val="true"/>
              </w:rPr>
              <w:t>رحمة الله</w:t>
            </w:r>
            <w:r>
              <w:rPr>
                <w:rStyle w:val="IndexLink"/>
                <w:rtl w:val="true"/>
              </w:rPr>
              <w:t>)</w:t>
              <w:tab/>
            </w:r>
            <w:r>
              <w:rPr>
                <w:rStyle w:val="IndexLink"/>
              </w:rPr>
              <w:t>332</w:t>
            </w:r>
          </w:hyperlink>
        </w:p>
        <w:p>
          <w:pPr>
            <w:pStyle w:val="Contents5"/>
            <w:tabs>
              <w:tab w:val="clear" w:pos="7892"/>
              <w:tab w:val="right" w:pos="9026" w:leader="dot"/>
            </w:tabs>
            <w:rPr/>
          </w:pPr>
          <w:hyperlink w:anchor="__RefHeading___Toc2465400_2870459653">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2465402_2870459653">
            <w:r>
              <w:rPr>
                <w:webHidden/>
                <w:rStyle w:val="IndexLink"/>
                <w:rtl w:val="true"/>
              </w:rPr>
              <w:t>المطلب الأوّل</w:t>
            </w:r>
            <w:r>
              <w:rPr>
                <w:rStyle w:val="IndexLink"/>
                <w:rtl w:val="true"/>
              </w:rPr>
              <w:t xml:space="preserve">: </w:t>
            </w:r>
            <w:r>
              <w:rPr>
                <w:rStyle w:val="IndexLink"/>
                <w:rtl w:val="true"/>
              </w:rPr>
              <w:t>سيرته الشخصيّة</w:t>
            </w:r>
            <w:r>
              <w:rPr>
                <w:rStyle w:val="IndexLink"/>
                <w:rtl w:val="true"/>
              </w:rPr>
              <w:tab/>
            </w:r>
            <w:r>
              <w:rPr>
                <w:rStyle w:val="IndexLink"/>
              </w:rPr>
              <w:t>332</w:t>
            </w:r>
          </w:hyperlink>
        </w:p>
        <w:p>
          <w:pPr>
            <w:pStyle w:val="Contents6"/>
            <w:tabs>
              <w:tab w:val="clear" w:pos="7609"/>
              <w:tab w:val="right" w:pos="9026" w:leader="dot"/>
            </w:tabs>
            <w:rPr/>
          </w:pPr>
          <w:hyperlink w:anchor="__RefHeading___Toc2465404_2870459653">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2465406_2870459653">
            <w:r>
              <w:rPr>
                <w:webHidden/>
                <w:rStyle w:val="IndexLink"/>
                <w:rtl w:val="true"/>
              </w:rPr>
              <w:t>أوّلاً</w:t>
            </w:r>
            <w:r>
              <w:rPr>
                <w:rStyle w:val="IndexLink"/>
                <w:rtl w:val="true"/>
              </w:rPr>
              <w:t xml:space="preserve">: </w:t>
            </w:r>
            <w:r>
              <w:rPr>
                <w:rStyle w:val="IndexLink"/>
                <w:rtl w:val="true"/>
              </w:rPr>
              <w:t>نسبه وكنيته وولادته</w:t>
            </w:r>
            <w:r>
              <w:rPr>
                <w:rStyle w:val="IndexLink"/>
                <w:rtl w:val="true"/>
              </w:rPr>
              <w:tab/>
            </w:r>
            <w:r>
              <w:rPr>
                <w:rStyle w:val="IndexLink"/>
              </w:rPr>
              <w:t>333</w:t>
            </w:r>
          </w:hyperlink>
        </w:p>
        <w:p>
          <w:pPr>
            <w:pStyle w:val="Contents6"/>
            <w:tabs>
              <w:tab w:val="clear" w:pos="7609"/>
              <w:tab w:val="right" w:pos="9026" w:leader="dot"/>
            </w:tabs>
            <w:rPr/>
          </w:pPr>
          <w:hyperlink w:anchor="__RefHeading___Toc2465408_2870459653">
            <w:r>
              <w:rPr>
                <w:webHidden/>
                <w:rStyle w:val="IndexLink"/>
                <w:rtl w:val="true"/>
              </w:rPr>
              <w:t>نسبه وكنيته</w:t>
            </w:r>
            <w:r>
              <w:rPr>
                <w:rStyle w:val="IndexLink"/>
                <w:rtl w:val="true"/>
              </w:rPr>
              <w:tab/>
            </w:r>
            <w:r>
              <w:rPr>
                <w:rStyle w:val="IndexLink"/>
              </w:rPr>
              <w:t>333</w:t>
            </w:r>
          </w:hyperlink>
        </w:p>
        <w:p>
          <w:pPr>
            <w:pStyle w:val="Contents6"/>
            <w:tabs>
              <w:tab w:val="clear" w:pos="7609"/>
              <w:tab w:val="right" w:pos="9026" w:leader="dot"/>
            </w:tabs>
            <w:rPr/>
          </w:pPr>
          <w:hyperlink w:anchor="__RefHeading___Toc2465410_2870459653">
            <w:r>
              <w:rPr>
                <w:webHidden/>
                <w:rStyle w:val="IndexLink"/>
                <w:rtl w:val="true"/>
              </w:rPr>
              <w:t>ولادته</w:t>
            </w:r>
            <w:r>
              <w:rPr>
                <w:rStyle w:val="IndexLink"/>
                <w:rtl w:val="true"/>
              </w:rPr>
              <w:tab/>
            </w:r>
            <w:r>
              <w:rPr>
                <w:rStyle w:val="IndexLink"/>
              </w:rPr>
              <w:t>333</w:t>
            </w:r>
          </w:hyperlink>
        </w:p>
        <w:p>
          <w:pPr>
            <w:pStyle w:val="Contents6"/>
            <w:tabs>
              <w:tab w:val="clear" w:pos="7609"/>
              <w:tab w:val="right" w:pos="9026" w:leader="dot"/>
            </w:tabs>
            <w:rPr/>
          </w:pPr>
          <w:hyperlink w:anchor="__RefHeading___Toc2465412_2870459653">
            <w:r>
              <w:rPr>
                <w:webHidden/>
                <w:rStyle w:val="IndexLink"/>
                <w:rtl w:val="true"/>
              </w:rPr>
              <w:t>ثانياً</w:t>
            </w:r>
            <w:r>
              <w:rPr>
                <w:rStyle w:val="IndexLink"/>
                <w:rtl w:val="true"/>
              </w:rPr>
              <w:t xml:space="preserve">: </w:t>
            </w:r>
            <w:r>
              <w:rPr>
                <w:rStyle w:val="IndexLink"/>
                <w:rtl w:val="true"/>
              </w:rPr>
              <w:t>أسرته وأولاده</w:t>
            </w:r>
            <w:r>
              <w:rPr>
                <w:rStyle w:val="IndexLink"/>
                <w:rtl w:val="true"/>
              </w:rPr>
              <w:tab/>
            </w:r>
            <w:r>
              <w:rPr>
                <w:rStyle w:val="IndexLink"/>
              </w:rPr>
              <w:t>334</w:t>
            </w:r>
          </w:hyperlink>
        </w:p>
        <w:p>
          <w:pPr>
            <w:pStyle w:val="Contents6"/>
            <w:tabs>
              <w:tab w:val="clear" w:pos="7609"/>
              <w:tab w:val="right" w:pos="9026" w:leader="dot"/>
            </w:tabs>
            <w:rPr/>
          </w:pPr>
          <w:hyperlink w:anchor="__RefHeading___Toc2465414_2870459653">
            <w:r>
              <w:rPr>
                <w:webHidden/>
                <w:rStyle w:val="IndexLink"/>
                <w:rtl w:val="true"/>
              </w:rPr>
              <w:t>أسرته</w:t>
            </w:r>
            <w:r>
              <w:rPr>
                <w:rStyle w:val="IndexLink"/>
                <w:rtl w:val="true"/>
              </w:rPr>
              <w:tab/>
            </w:r>
            <w:r>
              <w:rPr>
                <w:rStyle w:val="IndexLink"/>
              </w:rPr>
              <w:t>334</w:t>
            </w:r>
          </w:hyperlink>
        </w:p>
        <w:p>
          <w:pPr>
            <w:pStyle w:val="Contents6"/>
            <w:tabs>
              <w:tab w:val="clear" w:pos="7609"/>
              <w:tab w:val="right" w:pos="9026" w:leader="dot"/>
            </w:tabs>
            <w:rPr/>
          </w:pPr>
          <w:hyperlink w:anchor="__RefHeading___Toc2465416_2870459653">
            <w:r>
              <w:rPr>
                <w:webHidden/>
                <w:rStyle w:val="IndexLink"/>
                <w:rtl w:val="true"/>
              </w:rPr>
              <w:t>أولاده</w:t>
            </w:r>
            <w:r>
              <w:rPr>
                <w:rStyle w:val="IndexLink"/>
                <w:rtl w:val="true"/>
              </w:rPr>
              <w:tab/>
            </w:r>
            <w:r>
              <w:rPr>
                <w:rStyle w:val="IndexLink"/>
              </w:rPr>
              <w:t>335</w:t>
            </w:r>
          </w:hyperlink>
        </w:p>
        <w:p>
          <w:pPr>
            <w:pStyle w:val="Contents6"/>
            <w:tabs>
              <w:tab w:val="clear" w:pos="7609"/>
              <w:tab w:val="right" w:pos="9026" w:leader="dot"/>
            </w:tabs>
            <w:rPr/>
          </w:pPr>
          <w:hyperlink w:anchor="__RefHeading___Toc2465418_2870459653">
            <w:r>
              <w:rPr>
                <w:webHidden/>
                <w:rStyle w:val="IndexLink"/>
                <w:rtl w:val="true"/>
              </w:rPr>
              <w:t>ثالثاً</w:t>
            </w:r>
            <w:r>
              <w:rPr>
                <w:rStyle w:val="IndexLink"/>
                <w:rtl w:val="true"/>
              </w:rPr>
              <w:t xml:space="preserve">: </w:t>
            </w:r>
            <w:r>
              <w:rPr>
                <w:rStyle w:val="IndexLink"/>
                <w:rtl w:val="true"/>
              </w:rPr>
              <w:t>عصره ومعاصروه</w:t>
            </w:r>
            <w:r>
              <w:rPr>
                <w:rStyle w:val="IndexLink"/>
                <w:rtl w:val="true"/>
              </w:rPr>
              <w:tab/>
            </w:r>
            <w:r>
              <w:rPr>
                <w:rStyle w:val="IndexLink"/>
              </w:rPr>
              <w:t>336</w:t>
            </w:r>
          </w:hyperlink>
        </w:p>
        <w:p>
          <w:pPr>
            <w:pStyle w:val="Contents6"/>
            <w:tabs>
              <w:tab w:val="clear" w:pos="7609"/>
              <w:tab w:val="right" w:pos="9026" w:leader="dot"/>
            </w:tabs>
            <w:rPr/>
          </w:pPr>
          <w:hyperlink w:anchor="__RefHeading___Toc2465420_2870459653">
            <w:r>
              <w:rPr>
                <w:webHidden/>
                <w:rStyle w:val="IndexLink"/>
                <w:rtl w:val="true"/>
              </w:rPr>
              <w:t>عصره</w:t>
            </w:r>
            <w:r>
              <w:rPr>
                <w:rStyle w:val="IndexLink"/>
                <w:rtl w:val="true"/>
              </w:rPr>
              <w:tab/>
            </w:r>
            <w:r>
              <w:rPr>
                <w:rStyle w:val="IndexLink"/>
              </w:rPr>
              <w:t>336</w:t>
            </w:r>
          </w:hyperlink>
        </w:p>
        <w:p>
          <w:pPr>
            <w:pStyle w:val="Contents6"/>
            <w:tabs>
              <w:tab w:val="clear" w:pos="7609"/>
              <w:tab w:val="right" w:pos="9026" w:leader="dot"/>
            </w:tabs>
            <w:rPr/>
          </w:pPr>
          <w:hyperlink w:anchor="__RefHeading___Toc2465422_2870459653">
            <w:r>
              <w:rPr>
                <w:webHidden/>
                <w:rStyle w:val="IndexLink"/>
                <w:rtl w:val="true"/>
              </w:rPr>
              <w:t>معاصروه</w:t>
            </w:r>
            <w:r>
              <w:rPr>
                <w:rStyle w:val="IndexLink"/>
                <w:rtl w:val="true"/>
              </w:rPr>
              <w:tab/>
            </w:r>
            <w:r>
              <w:rPr>
                <w:rStyle w:val="IndexLink"/>
              </w:rPr>
              <w:t>337</w:t>
            </w:r>
          </w:hyperlink>
        </w:p>
        <w:p>
          <w:pPr>
            <w:pStyle w:val="Contents6"/>
            <w:tabs>
              <w:tab w:val="clear" w:pos="7609"/>
              <w:tab w:val="right" w:pos="9026" w:leader="dot"/>
            </w:tabs>
            <w:rPr/>
          </w:pPr>
          <w:hyperlink w:anchor="__RefHeading___Toc2465424_2870459653">
            <w:r>
              <w:rPr>
                <w:webHidden/>
                <w:rStyle w:val="IndexLink"/>
                <w:rtl w:val="true"/>
              </w:rPr>
              <w:t>رابعاً</w:t>
            </w:r>
            <w:r>
              <w:rPr>
                <w:rStyle w:val="IndexLink"/>
                <w:rtl w:val="true"/>
              </w:rPr>
              <w:t xml:space="preserve">: </w:t>
            </w:r>
            <w:r>
              <w:rPr>
                <w:rStyle w:val="IndexLink"/>
                <w:rtl w:val="true"/>
              </w:rPr>
              <w:t>وفاته</w:t>
            </w:r>
            <w:r>
              <w:rPr>
                <w:rStyle w:val="IndexLink"/>
                <w:rtl w:val="true"/>
              </w:rPr>
              <w:tab/>
            </w:r>
            <w:r>
              <w:rPr>
                <w:rStyle w:val="IndexLink"/>
              </w:rPr>
              <w:t>338</w:t>
            </w:r>
          </w:hyperlink>
        </w:p>
        <w:p>
          <w:pPr>
            <w:pStyle w:val="Contents5"/>
            <w:tabs>
              <w:tab w:val="clear" w:pos="7892"/>
              <w:tab w:val="right" w:pos="9026" w:leader="dot"/>
            </w:tabs>
            <w:rPr/>
          </w:pPr>
          <w:hyperlink w:anchor="__RefHeading___Toc2465426_2870459653">
            <w:r>
              <w:rPr>
                <w:webHidden/>
                <w:rStyle w:val="IndexLink"/>
                <w:rtl w:val="true"/>
              </w:rPr>
              <w:t>المطلب الثاني</w:t>
            </w:r>
            <w:r>
              <w:rPr>
                <w:rStyle w:val="IndexLink"/>
                <w:rtl w:val="true"/>
              </w:rPr>
              <w:t xml:space="preserve">: </w:t>
            </w:r>
            <w:r>
              <w:rPr>
                <w:rStyle w:val="IndexLink"/>
                <w:rtl w:val="true"/>
              </w:rPr>
              <w:t>سيرته العلميّة</w:t>
            </w:r>
            <w:r>
              <w:rPr>
                <w:rStyle w:val="IndexLink"/>
                <w:rtl w:val="true"/>
              </w:rPr>
              <w:tab/>
            </w:r>
            <w:r>
              <w:rPr>
                <w:rStyle w:val="IndexLink"/>
              </w:rPr>
              <w:t>339</w:t>
            </w:r>
          </w:hyperlink>
        </w:p>
        <w:p>
          <w:pPr>
            <w:pStyle w:val="Contents6"/>
            <w:tabs>
              <w:tab w:val="clear" w:pos="7609"/>
              <w:tab w:val="right" w:pos="9026" w:leader="dot"/>
            </w:tabs>
            <w:rPr/>
          </w:pPr>
          <w:hyperlink w:anchor="__RefHeading___Toc2465428_2870459653">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2465430_2870459653">
            <w:r>
              <w:rPr>
                <w:webHidden/>
                <w:rStyle w:val="IndexLink"/>
                <w:rtl w:val="true"/>
              </w:rPr>
              <w:t>توطئة</w:t>
            </w:r>
            <w:r>
              <w:rPr>
                <w:rStyle w:val="IndexLink"/>
                <w:rtl w:val="true"/>
              </w:rPr>
              <w:tab/>
            </w:r>
            <w:r>
              <w:rPr>
                <w:rStyle w:val="IndexLink"/>
              </w:rPr>
              <w:t>339</w:t>
            </w:r>
          </w:hyperlink>
        </w:p>
        <w:p>
          <w:pPr>
            <w:pStyle w:val="Contents6"/>
            <w:tabs>
              <w:tab w:val="clear" w:pos="7609"/>
              <w:tab w:val="right" w:pos="9026" w:leader="dot"/>
            </w:tabs>
            <w:rPr/>
          </w:pPr>
          <w:hyperlink w:anchor="__RefHeading___Toc2465432_2870459653">
            <w:r>
              <w:rPr>
                <w:webHidden/>
                <w:rStyle w:val="IndexLink"/>
                <w:rtl w:val="true"/>
              </w:rPr>
              <w:t>أوّلاً</w:t>
            </w:r>
            <w:r>
              <w:rPr>
                <w:rStyle w:val="IndexLink"/>
                <w:rtl w:val="true"/>
              </w:rPr>
              <w:t xml:space="preserve">: </w:t>
            </w:r>
            <w:r>
              <w:rPr>
                <w:rStyle w:val="IndexLink"/>
                <w:rtl w:val="true"/>
              </w:rPr>
              <w:t>أساتذته ومشايخه</w:t>
            </w:r>
            <w:r>
              <w:rPr>
                <w:rStyle w:val="IndexLink"/>
                <w:rtl w:val="true"/>
              </w:rPr>
              <w:tab/>
            </w:r>
            <w:r>
              <w:rPr>
                <w:rStyle w:val="IndexLink"/>
              </w:rPr>
              <w:t>340</w:t>
            </w:r>
          </w:hyperlink>
        </w:p>
        <w:p>
          <w:pPr>
            <w:pStyle w:val="Contents6"/>
            <w:tabs>
              <w:tab w:val="clear" w:pos="7609"/>
              <w:tab w:val="right" w:pos="9026" w:leader="dot"/>
            </w:tabs>
            <w:rPr/>
          </w:pPr>
          <w:hyperlink w:anchor="__RefHeading___Toc2465434_2870459653">
            <w:r>
              <w:rPr>
                <w:webHidden/>
                <w:rStyle w:val="IndexLink"/>
                <w:rtl w:val="true"/>
              </w:rPr>
              <w:t>ثانياً</w:t>
            </w:r>
            <w:r>
              <w:rPr>
                <w:rStyle w:val="IndexLink"/>
                <w:rtl w:val="true"/>
              </w:rPr>
              <w:t xml:space="preserve">: </w:t>
            </w:r>
            <w:r>
              <w:rPr>
                <w:rStyle w:val="IndexLink"/>
                <w:rtl w:val="true"/>
              </w:rPr>
              <w:t>تلامذته والرواة عنه</w:t>
            </w:r>
            <w:r>
              <w:rPr>
                <w:rStyle w:val="IndexLink"/>
                <w:rtl w:val="true"/>
              </w:rPr>
              <w:tab/>
            </w:r>
            <w:r>
              <w:rPr>
                <w:rStyle w:val="IndexLink"/>
              </w:rPr>
              <w:t>344</w:t>
            </w:r>
          </w:hyperlink>
        </w:p>
        <w:p>
          <w:pPr>
            <w:pStyle w:val="Contents6"/>
            <w:tabs>
              <w:tab w:val="clear" w:pos="7609"/>
              <w:tab w:val="right" w:pos="9026" w:leader="dot"/>
            </w:tabs>
            <w:rPr/>
          </w:pPr>
          <w:hyperlink w:anchor="__RefHeading___Toc2465436_2870459653">
            <w:r>
              <w:rPr>
                <w:webHidden/>
                <w:rStyle w:val="IndexLink"/>
                <w:rtl w:val="true"/>
              </w:rPr>
              <w:t>ثالثاً</w:t>
            </w:r>
            <w:r>
              <w:rPr>
                <w:rStyle w:val="IndexLink"/>
                <w:rtl w:val="true"/>
              </w:rPr>
              <w:t xml:space="preserve">: </w:t>
            </w:r>
            <w:r>
              <w:rPr>
                <w:rStyle w:val="IndexLink"/>
                <w:rtl w:val="true"/>
              </w:rPr>
              <w:t>مرجعيّته الدينيّة، ومكانته العلميّة والاجتماعيّة</w:t>
            </w:r>
            <w:r>
              <w:rPr>
                <w:rStyle w:val="IndexLink"/>
                <w:rtl w:val="true"/>
              </w:rPr>
              <w:tab/>
            </w:r>
            <w:r>
              <w:rPr>
                <w:rStyle w:val="IndexLink"/>
              </w:rPr>
              <w:t>345</w:t>
            </w:r>
          </w:hyperlink>
        </w:p>
        <w:p>
          <w:pPr>
            <w:pStyle w:val="Contents6"/>
            <w:tabs>
              <w:tab w:val="clear" w:pos="7609"/>
              <w:tab w:val="right" w:pos="9026" w:leader="dot"/>
            </w:tabs>
            <w:rPr/>
          </w:pPr>
          <w:hyperlink w:anchor="__RefHeading___Toc2465438_2870459653">
            <w:r>
              <w:rPr>
                <w:webHidden/>
                <w:rStyle w:val="IndexLink"/>
                <w:rtl w:val="true"/>
              </w:rPr>
              <w:t>رابعاً</w:t>
            </w:r>
            <w:r>
              <w:rPr>
                <w:rStyle w:val="IndexLink"/>
                <w:rtl w:val="true"/>
              </w:rPr>
              <w:t xml:space="preserve">: </w:t>
            </w:r>
            <w:r>
              <w:rPr>
                <w:rStyle w:val="IndexLink"/>
                <w:rtl w:val="true"/>
              </w:rPr>
              <w:t>مؤلّفاته</w:t>
            </w:r>
            <w:r>
              <w:rPr>
                <w:rStyle w:val="IndexLink"/>
                <w:rtl w:val="true"/>
              </w:rPr>
              <w:tab/>
            </w:r>
            <w:r>
              <w:rPr>
                <w:rStyle w:val="IndexLink"/>
              </w:rPr>
              <w:t>348</w:t>
            </w:r>
          </w:hyperlink>
        </w:p>
        <w:p>
          <w:pPr>
            <w:pStyle w:val="Contents6"/>
            <w:tabs>
              <w:tab w:val="clear" w:pos="7609"/>
              <w:tab w:val="right" w:pos="9026" w:leader="dot"/>
            </w:tabs>
            <w:rPr/>
          </w:pPr>
          <w:hyperlink w:anchor="__RefHeading___Toc2465440_2870459653">
            <w:r>
              <w:rPr>
                <w:webHidden/>
                <w:rStyle w:val="IndexLink"/>
                <w:rtl w:val="true"/>
              </w:rPr>
              <w:t>خامساً</w:t>
            </w:r>
            <w:r>
              <w:rPr>
                <w:rStyle w:val="IndexLink"/>
                <w:rtl w:val="true"/>
              </w:rPr>
              <w:t xml:space="preserve">: </w:t>
            </w:r>
            <w:r>
              <w:rPr>
                <w:rStyle w:val="IndexLink"/>
                <w:rtl w:val="true"/>
              </w:rPr>
              <w:t>أقوال العلماء فيه</w:t>
            </w:r>
            <w:r>
              <w:rPr>
                <w:rStyle w:val="IndexLink"/>
                <w:rtl w:val="true"/>
              </w:rPr>
              <w:tab/>
            </w:r>
            <w:r>
              <w:rPr>
                <w:rStyle w:val="IndexLink"/>
              </w:rPr>
              <w:t>349</w:t>
            </w:r>
          </w:hyperlink>
        </w:p>
        <w:p>
          <w:pPr>
            <w:pStyle w:val="Contents4"/>
            <w:tabs>
              <w:tab w:val="clear" w:pos="8176"/>
              <w:tab w:val="right" w:pos="9026" w:leader="dot"/>
            </w:tabs>
            <w:rPr/>
          </w:pPr>
          <w:hyperlink w:anchor="__RefHeading___Toc2465442_2870459653">
            <w:r>
              <w:rPr>
                <w:webHidden/>
                <w:rStyle w:val="IndexLink"/>
                <w:rtl w:val="true"/>
              </w:rPr>
              <w:t>الباب الثاني</w:t>
            </w:r>
            <w:r>
              <w:rPr>
                <w:rStyle w:val="IndexLink"/>
                <w:rtl w:val="true"/>
              </w:rPr>
              <w:t xml:space="preserve">: </w:t>
            </w:r>
            <w:r>
              <w:rPr>
                <w:rStyle w:val="IndexLink"/>
                <w:rtl w:val="true"/>
              </w:rPr>
              <w:t>دراسة عن الرسالة</w:t>
            </w:r>
            <w:r>
              <w:rPr>
                <w:rStyle w:val="IndexLink"/>
                <w:rtl w:val="true"/>
              </w:rPr>
              <w:tab/>
            </w:r>
            <w:r>
              <w:rPr>
                <w:rStyle w:val="IndexLink"/>
              </w:rPr>
              <w:t>351</w:t>
            </w:r>
          </w:hyperlink>
        </w:p>
        <w:p>
          <w:pPr>
            <w:pStyle w:val="Contents5"/>
            <w:tabs>
              <w:tab w:val="clear" w:pos="7892"/>
              <w:tab w:val="right" w:pos="9026" w:leader="dot"/>
            </w:tabs>
            <w:rPr/>
          </w:pPr>
          <w:hyperlink w:anchor="__RefHeading___Toc2465444_2870459653">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2465446_2870459653">
            <w:r>
              <w:rPr>
                <w:webHidden/>
                <w:rStyle w:val="IndexLink"/>
                <w:rtl w:val="true"/>
              </w:rPr>
              <w:t>المطلب الأول</w:t>
            </w:r>
            <w:r>
              <w:rPr>
                <w:rStyle w:val="IndexLink"/>
                <w:rtl w:val="true"/>
              </w:rPr>
              <w:tab/>
            </w:r>
            <w:r>
              <w:rPr>
                <w:rStyle w:val="IndexLink"/>
              </w:rPr>
              <w:t>352</w:t>
            </w:r>
          </w:hyperlink>
        </w:p>
        <w:p>
          <w:pPr>
            <w:pStyle w:val="Contents5"/>
            <w:tabs>
              <w:tab w:val="clear" w:pos="7892"/>
              <w:tab w:val="right" w:pos="9026" w:leader="dot"/>
            </w:tabs>
            <w:rPr/>
          </w:pPr>
          <w:hyperlink w:anchor="__RefHeading___Toc2465448_2870459653">
            <w:r>
              <w:rPr>
                <w:webHidden/>
                <w:rStyle w:val="IndexLink"/>
                <w:rtl w:val="true"/>
              </w:rPr>
              <w:t>مميزات الرسالة</w:t>
            </w:r>
            <w:r>
              <w:rPr>
                <w:rStyle w:val="IndexLink"/>
                <w:rtl w:val="true"/>
              </w:rPr>
              <w:tab/>
            </w:r>
            <w:r>
              <w:rPr>
                <w:rStyle w:val="IndexLink"/>
              </w:rPr>
              <w:t>367</w:t>
            </w:r>
          </w:hyperlink>
        </w:p>
        <w:p>
          <w:pPr>
            <w:pStyle w:val="Contents6"/>
            <w:tabs>
              <w:tab w:val="clear" w:pos="7609"/>
              <w:tab w:val="right" w:pos="9026" w:leader="dot"/>
            </w:tabs>
            <w:rPr/>
          </w:pPr>
          <w:hyperlink w:anchor="__RefHeading___Toc2465450_2870459653">
            <w:r>
              <w:rPr>
                <w:webHidden/>
                <w:rStyle w:val="IndexLink"/>
                <w:rtl w:val="true"/>
              </w:rPr>
              <w:t>المطلب الثاني</w:t>
            </w:r>
            <w:r>
              <w:rPr>
                <w:rStyle w:val="IndexLink"/>
                <w:rtl w:val="true"/>
              </w:rPr>
              <w:t xml:space="preserve">: </w:t>
            </w:r>
            <w:r>
              <w:rPr>
                <w:rStyle w:val="IndexLink"/>
                <w:rtl w:val="true"/>
              </w:rPr>
              <w:t>في أهمية الرسالة</w:t>
            </w:r>
            <w:r>
              <w:rPr>
                <w:rStyle w:val="IndexLink"/>
                <w:rtl w:val="true"/>
              </w:rPr>
              <w:tab/>
            </w:r>
            <w:r>
              <w:rPr>
                <w:rStyle w:val="IndexLink"/>
              </w:rPr>
              <w:t>367</w:t>
            </w:r>
          </w:hyperlink>
        </w:p>
        <w:p>
          <w:pPr>
            <w:pStyle w:val="Contents6"/>
            <w:tabs>
              <w:tab w:val="clear" w:pos="7609"/>
              <w:tab w:val="right" w:pos="9026" w:leader="dot"/>
            </w:tabs>
            <w:rPr/>
          </w:pPr>
          <w:hyperlink w:anchor="__RefHeading___Toc2465452_2870459653">
            <w:r>
              <w:rPr>
                <w:webHidden/>
                <w:rStyle w:val="IndexLink"/>
                <w:rtl w:val="true"/>
              </w:rPr>
              <w:t>المطلب الثالث</w:t>
            </w:r>
            <w:r>
              <w:rPr>
                <w:rStyle w:val="IndexLink"/>
                <w:rtl w:val="true"/>
              </w:rPr>
              <w:tab/>
            </w:r>
            <w:r>
              <w:rPr>
                <w:rStyle w:val="IndexLink"/>
              </w:rPr>
              <w:t>378</w:t>
            </w:r>
          </w:hyperlink>
        </w:p>
        <w:p>
          <w:pPr>
            <w:pStyle w:val="Contents5"/>
            <w:tabs>
              <w:tab w:val="clear" w:pos="7892"/>
              <w:tab w:val="right" w:pos="9026" w:leader="dot"/>
            </w:tabs>
            <w:rPr/>
          </w:pPr>
          <w:hyperlink w:anchor="__RefHeading___Toc2465454_2870459653">
            <w:r>
              <w:rPr>
                <w:webHidden/>
                <w:rStyle w:val="IndexLink"/>
                <w:rtl w:val="true"/>
              </w:rPr>
              <w:t>خاتمة</w:t>
            </w:r>
            <w:r>
              <w:rPr>
                <w:rStyle w:val="IndexLink"/>
                <w:rtl w:val="true"/>
              </w:rPr>
              <w:tab/>
            </w:r>
            <w:r>
              <w:rPr>
                <w:rStyle w:val="IndexLink"/>
              </w:rPr>
              <w:t>384</w:t>
            </w:r>
          </w:hyperlink>
        </w:p>
        <w:p>
          <w:pPr>
            <w:pStyle w:val="Contents4"/>
            <w:tabs>
              <w:tab w:val="clear" w:pos="8176"/>
              <w:tab w:val="right" w:pos="9026" w:leader="dot"/>
            </w:tabs>
            <w:rPr/>
          </w:pPr>
          <w:hyperlink w:anchor="__RefHeading___Toc2465456_2870459653">
            <w:r>
              <w:rPr>
                <w:webHidden/>
                <w:rStyle w:val="IndexLink"/>
                <w:rtl w:val="true"/>
              </w:rPr>
              <w:t>الباب الثالث</w:t>
            </w:r>
            <w:r>
              <w:rPr>
                <w:rStyle w:val="IndexLink"/>
                <w:rtl w:val="true"/>
              </w:rPr>
              <w:t xml:space="preserve">: </w:t>
            </w:r>
            <w:r>
              <w:rPr>
                <w:rStyle w:val="IndexLink"/>
                <w:rtl w:val="true"/>
              </w:rPr>
              <w:t>فيما يتعلَّق بالتحقيق</w:t>
            </w:r>
            <w:r>
              <w:rPr>
                <w:rStyle w:val="IndexLink"/>
                <w:rtl w:val="true"/>
              </w:rPr>
              <w:tab/>
            </w:r>
            <w:r>
              <w:rPr>
                <w:rStyle w:val="IndexLink"/>
              </w:rPr>
              <w:t>407</w:t>
            </w:r>
          </w:hyperlink>
        </w:p>
        <w:p>
          <w:pPr>
            <w:pStyle w:val="Contents5"/>
            <w:tabs>
              <w:tab w:val="clear" w:pos="7892"/>
              <w:tab w:val="right" w:pos="9026" w:leader="dot"/>
            </w:tabs>
            <w:rPr/>
          </w:pPr>
          <w:hyperlink w:anchor="__RefHeading___Toc2465458_2870459653">
            <w:r>
              <w:rPr>
                <w:webHidden/>
                <w:rStyle w:val="IndexLink"/>
              </w:rPr>
              <w:t>1</w:t>
            </w:r>
            <w:r>
              <w:rPr>
                <w:rStyle w:val="IndexLink"/>
                <w:rtl w:val="true"/>
              </w:rPr>
              <w:t xml:space="preserve">- </w:t>
            </w:r>
            <w:r>
              <w:rPr>
                <w:rStyle w:val="IndexLink"/>
                <w:rtl w:val="true"/>
              </w:rPr>
              <w:t>النسخة المعتمدة في التحقيق</w:t>
            </w:r>
            <w:r>
              <w:rPr>
                <w:rStyle w:val="IndexLink"/>
                <w:rtl w:val="true"/>
              </w:rPr>
              <w:tab/>
            </w:r>
            <w:r>
              <w:rPr>
                <w:rStyle w:val="IndexLink"/>
              </w:rPr>
              <w:t>407</w:t>
            </w:r>
          </w:hyperlink>
        </w:p>
        <w:p>
          <w:pPr>
            <w:pStyle w:val="Contents5"/>
            <w:tabs>
              <w:tab w:val="clear" w:pos="7892"/>
              <w:tab w:val="right" w:pos="9026" w:leader="dot"/>
            </w:tabs>
            <w:rPr/>
          </w:pPr>
          <w:hyperlink w:anchor="__RefHeading___Toc2465460_2870459653">
            <w:r>
              <w:rPr>
                <w:webHidden/>
                <w:rStyle w:val="IndexLink"/>
              </w:rPr>
              <w:t>2</w:t>
            </w:r>
            <w:r>
              <w:rPr>
                <w:rStyle w:val="IndexLink"/>
                <w:rtl w:val="true"/>
              </w:rPr>
              <w:t xml:space="preserve">- </w:t>
            </w:r>
            <w:r>
              <w:rPr>
                <w:rStyle w:val="IndexLink"/>
                <w:rtl w:val="true"/>
              </w:rPr>
              <w:t>عملنا في التحقيق</w:t>
            </w:r>
            <w:r>
              <w:rPr>
                <w:rStyle w:val="IndexLink"/>
                <w:rtl w:val="true"/>
              </w:rPr>
              <w:tab/>
            </w:r>
            <w:r>
              <w:rPr>
                <w:rStyle w:val="IndexLink"/>
              </w:rPr>
              <w:t>412</w:t>
            </w:r>
          </w:hyperlink>
        </w:p>
        <w:p>
          <w:pPr>
            <w:pStyle w:val="Contents3"/>
            <w:tabs>
              <w:tab w:val="clear" w:pos="8459"/>
              <w:tab w:val="right" w:pos="9026" w:leader="dot"/>
            </w:tabs>
            <w:rPr/>
          </w:pPr>
          <w:hyperlink w:anchor="__RefHeading___Toc2465462_2870459653">
            <w:r>
              <w:rPr>
                <w:webHidden/>
                <w:rStyle w:val="IndexLink"/>
                <w:rtl w:val="true"/>
              </w:rPr>
              <w:t>متن الرسالة</w:t>
            </w:r>
            <w:r>
              <w:rPr>
                <w:rStyle w:val="IndexLink"/>
                <w:rtl w:val="true"/>
              </w:rPr>
              <w:tab/>
            </w:r>
            <w:r>
              <w:rPr>
                <w:rStyle w:val="IndexLink"/>
              </w:rPr>
              <w:t>422</w:t>
            </w:r>
          </w:hyperlink>
        </w:p>
        <w:p>
          <w:pPr>
            <w:pStyle w:val="Contents4"/>
            <w:tabs>
              <w:tab w:val="clear" w:pos="8176"/>
              <w:tab w:val="right" w:pos="9026" w:leader="dot"/>
            </w:tabs>
            <w:rPr/>
          </w:pPr>
          <w:hyperlink w:anchor="__RefHeading___Toc2465464_2870459653">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2465466_2870459653">
            <w:r>
              <w:rPr>
                <w:webHidden/>
                <w:rStyle w:val="IndexLink"/>
                <w:rtl w:val="true"/>
              </w:rPr>
              <w:t>باب دخول الخلاء</w:t>
            </w:r>
            <w:r>
              <w:rPr>
                <w:rStyle w:val="IndexLink"/>
                <w:rtl w:val="true"/>
              </w:rPr>
              <w:tab/>
            </w:r>
            <w:r>
              <w:rPr>
                <w:rStyle w:val="IndexLink"/>
              </w:rPr>
              <w:t>427</w:t>
            </w:r>
          </w:hyperlink>
        </w:p>
        <w:p>
          <w:pPr>
            <w:pStyle w:val="Contents4"/>
            <w:tabs>
              <w:tab w:val="clear" w:pos="8176"/>
              <w:tab w:val="right" w:pos="9026" w:leader="dot"/>
            </w:tabs>
            <w:rPr/>
          </w:pPr>
          <w:hyperlink w:anchor="__RefHeading___Toc2465468_2870459653">
            <w:r>
              <w:rPr>
                <w:webHidden/>
                <w:rStyle w:val="IndexLink"/>
                <w:rtl w:val="true"/>
              </w:rPr>
              <w:t>باب الوضوء</w:t>
            </w:r>
            <w:r>
              <w:rPr>
                <w:rStyle w:val="IndexLink"/>
                <w:rtl w:val="true"/>
              </w:rPr>
              <w:tab/>
            </w:r>
            <w:r>
              <w:rPr>
                <w:rStyle w:val="IndexLink"/>
              </w:rPr>
              <w:t>430</w:t>
            </w:r>
          </w:hyperlink>
        </w:p>
        <w:p>
          <w:pPr>
            <w:pStyle w:val="Contents4"/>
            <w:tabs>
              <w:tab w:val="clear" w:pos="8176"/>
              <w:tab w:val="right" w:pos="9026" w:leader="dot"/>
            </w:tabs>
            <w:rPr/>
          </w:pPr>
          <w:hyperlink w:anchor="__RefHeading___Toc2465470_2870459653">
            <w:r>
              <w:rPr>
                <w:webHidden/>
                <w:rStyle w:val="IndexLink"/>
                <w:rtl w:val="true"/>
              </w:rPr>
              <w:t>باب التيمم</w:t>
            </w:r>
            <w:r>
              <w:rPr>
                <w:rStyle w:val="IndexLink"/>
                <w:rtl w:val="true"/>
              </w:rPr>
              <w:tab/>
            </w:r>
            <w:r>
              <w:rPr>
                <w:rStyle w:val="IndexLink"/>
              </w:rPr>
              <w:t>439</w:t>
            </w:r>
          </w:hyperlink>
        </w:p>
        <w:p>
          <w:pPr>
            <w:pStyle w:val="Contents4"/>
            <w:tabs>
              <w:tab w:val="clear" w:pos="8176"/>
              <w:tab w:val="right" w:pos="9026" w:leader="dot"/>
            </w:tabs>
            <w:rPr/>
          </w:pPr>
          <w:hyperlink w:anchor="__RefHeading___Toc2465472_2870459653">
            <w:r>
              <w:rPr>
                <w:webHidden/>
                <w:rStyle w:val="IndexLink"/>
                <w:rtl w:val="true"/>
              </w:rPr>
              <w:t>باب الأواني والأواعي</w:t>
            </w:r>
            <w:r>
              <w:rPr>
                <w:rStyle w:val="IndexLink"/>
                <w:rtl w:val="true"/>
              </w:rPr>
              <w:tab/>
            </w:r>
            <w:r>
              <w:rPr>
                <w:rStyle w:val="IndexLink"/>
              </w:rPr>
              <w:t>441</w:t>
            </w:r>
          </w:hyperlink>
        </w:p>
        <w:p>
          <w:pPr>
            <w:pStyle w:val="Contents4"/>
            <w:tabs>
              <w:tab w:val="clear" w:pos="8176"/>
              <w:tab w:val="right" w:pos="9026" w:leader="dot"/>
            </w:tabs>
            <w:rPr/>
          </w:pPr>
          <w:hyperlink w:anchor="__RefHeading___Toc2465474_2870459653">
            <w:r>
              <w:rPr>
                <w:webHidden/>
                <w:rStyle w:val="IndexLink"/>
                <w:rtl w:val="true"/>
              </w:rPr>
              <w:t xml:space="preserve">باب ما يقع في البئر من الناس والبهائم والطيور والبول </w:t>
            </w:r>
            <w:r>
              <w:rPr>
                <w:rStyle w:val="IndexLink"/>
                <w:rtl w:val="true"/>
              </w:rPr>
              <w:t>[</w:t>
            </w:r>
            <w:r>
              <w:rPr>
                <w:rStyle w:val="IndexLink"/>
                <w:rtl w:val="true"/>
              </w:rPr>
              <w:t>وغير ذلك</w:t>
            </w:r>
            <w:r>
              <w:rPr>
                <w:rStyle w:val="IndexLink"/>
                <w:rtl w:val="true"/>
              </w:rPr>
              <w:t>]</w:t>
              <w:tab/>
            </w:r>
            <w:r>
              <w:rPr>
                <w:rStyle w:val="IndexLink"/>
              </w:rPr>
              <w:t>444</w:t>
            </w:r>
          </w:hyperlink>
        </w:p>
        <w:p>
          <w:pPr>
            <w:pStyle w:val="Contents4"/>
            <w:tabs>
              <w:tab w:val="clear" w:pos="8176"/>
              <w:tab w:val="right" w:pos="9026" w:leader="dot"/>
            </w:tabs>
            <w:rPr/>
          </w:pPr>
          <w:hyperlink w:anchor="__RefHeading___Toc2465476_2870459653">
            <w:r>
              <w:rPr>
                <w:webHidden/>
                <w:rStyle w:val="IndexLink"/>
                <w:rtl w:val="true"/>
              </w:rPr>
              <w:t>باب غسل الجنابة وغيرها</w:t>
            </w:r>
            <w:r>
              <w:rPr>
                <w:rStyle w:val="IndexLink"/>
                <w:rtl w:val="true"/>
              </w:rPr>
              <w:tab/>
            </w:r>
            <w:r>
              <w:rPr>
                <w:rStyle w:val="IndexLink"/>
              </w:rPr>
              <w:t>451</w:t>
            </w:r>
          </w:hyperlink>
        </w:p>
        <w:p>
          <w:pPr>
            <w:pStyle w:val="Contents4"/>
            <w:tabs>
              <w:tab w:val="clear" w:pos="8176"/>
              <w:tab w:val="right" w:pos="9026" w:leader="dot"/>
            </w:tabs>
            <w:rPr/>
          </w:pPr>
          <w:hyperlink w:anchor="__RefHeading___Toc2465478_2870459653">
            <w:r>
              <w:rPr>
                <w:webHidden/>
                <w:rStyle w:val="IndexLink"/>
                <w:rtl w:val="true"/>
              </w:rPr>
              <w:t>باب دم الحيض والاستحاضة ودم القرحة والعذرة</w:t>
            </w:r>
            <w:r>
              <w:rPr>
                <w:rStyle w:val="IndexLink"/>
                <w:rtl w:val="true"/>
              </w:rPr>
              <w:tab/>
            </w:r>
            <w:r>
              <w:rPr>
                <w:rStyle w:val="IndexLink"/>
              </w:rPr>
              <w:t>458</w:t>
            </w:r>
          </w:hyperlink>
        </w:p>
        <w:p>
          <w:pPr>
            <w:pStyle w:val="Contents4"/>
            <w:tabs>
              <w:tab w:val="clear" w:pos="8176"/>
              <w:tab w:val="right" w:pos="9026" w:leader="dot"/>
            </w:tabs>
            <w:rPr/>
          </w:pPr>
          <w:hyperlink w:anchor="__RefHeading___Toc2465480_2870459653">
            <w:r>
              <w:rPr>
                <w:webHidden/>
                <w:rStyle w:val="IndexLink"/>
                <w:rtl w:val="true"/>
              </w:rPr>
              <w:t>باب دم النفاس</w:t>
            </w:r>
            <w:r>
              <w:rPr>
                <w:rStyle w:val="IndexLink"/>
                <w:rtl w:val="true"/>
              </w:rPr>
              <w:tab/>
            </w:r>
            <w:r>
              <w:rPr>
                <w:rStyle w:val="IndexLink"/>
              </w:rPr>
              <w:t>462</w:t>
            </w:r>
          </w:hyperlink>
        </w:p>
        <w:p>
          <w:pPr>
            <w:pStyle w:val="Contents4"/>
            <w:tabs>
              <w:tab w:val="clear" w:pos="8176"/>
              <w:tab w:val="right" w:pos="9026" w:leader="dot"/>
            </w:tabs>
            <w:rPr/>
          </w:pPr>
          <w:hyperlink w:anchor="__RefHeading___Toc2465482_2870459653">
            <w:r>
              <w:rPr>
                <w:webHidden/>
                <w:rStyle w:val="IndexLink"/>
                <w:rtl w:val="true"/>
              </w:rPr>
              <w:t>باب غسل الميت</w:t>
            </w:r>
            <w:r>
              <w:rPr>
                <w:rStyle w:val="IndexLink"/>
                <w:rtl w:val="true"/>
              </w:rPr>
              <w:tab/>
            </w:r>
            <w:r>
              <w:rPr>
                <w:rStyle w:val="IndexLink"/>
              </w:rPr>
              <w:t>463</w:t>
            </w:r>
          </w:hyperlink>
        </w:p>
        <w:p>
          <w:pPr>
            <w:pStyle w:val="Contents4"/>
            <w:tabs>
              <w:tab w:val="clear" w:pos="8176"/>
              <w:tab w:val="right" w:pos="9026" w:leader="dot"/>
            </w:tabs>
            <w:rPr/>
          </w:pPr>
          <w:hyperlink w:anchor="__RefHeading___Toc2465484_2870459653">
            <w:r>
              <w:rPr>
                <w:webHidden/>
                <w:rStyle w:val="IndexLink"/>
                <w:rtl w:val="true"/>
              </w:rPr>
              <w:t>باب الصلاة</w:t>
            </w:r>
            <w:r>
              <w:rPr>
                <w:rStyle w:val="IndexLink"/>
                <w:rtl w:val="true"/>
              </w:rPr>
              <w:tab/>
            </w:r>
            <w:r>
              <w:rPr>
                <w:rStyle w:val="IndexLink"/>
              </w:rPr>
              <w:t>479</w:t>
            </w:r>
          </w:hyperlink>
        </w:p>
        <w:p>
          <w:pPr>
            <w:pStyle w:val="Contents4"/>
            <w:tabs>
              <w:tab w:val="clear" w:pos="8176"/>
              <w:tab w:val="right" w:pos="9026" w:leader="dot"/>
            </w:tabs>
            <w:rPr/>
          </w:pPr>
          <w:hyperlink w:anchor="__RefHeading___Toc2465486_2870459653">
            <w:r>
              <w:rPr>
                <w:webHidden/>
                <w:rStyle w:val="IndexLink"/>
                <w:rtl w:val="true"/>
              </w:rPr>
              <w:t>باب الشك</w:t>
            </w:r>
            <w:r>
              <w:rPr>
                <w:rStyle w:val="IndexLink"/>
                <w:rtl w:val="true"/>
              </w:rPr>
              <w:tab/>
            </w:r>
            <w:r>
              <w:rPr>
                <w:rStyle w:val="IndexLink"/>
              </w:rPr>
              <w:t>483</w:t>
            </w:r>
          </w:hyperlink>
        </w:p>
        <w:p>
          <w:pPr>
            <w:pStyle w:val="Contents4"/>
            <w:tabs>
              <w:tab w:val="clear" w:pos="8176"/>
              <w:tab w:val="right" w:pos="9026" w:leader="dot"/>
            </w:tabs>
            <w:rPr/>
          </w:pPr>
          <w:hyperlink w:anchor="__RefHeading___Toc2465488_2870459653">
            <w:r>
              <w:rPr>
                <w:webHidden/>
                <w:rStyle w:val="IndexLink"/>
                <w:rtl w:val="true"/>
              </w:rPr>
              <w:t>باب الصلاة في الفراء والخز والابريسم</w:t>
            </w:r>
            <w:r>
              <w:rPr>
                <w:rStyle w:val="IndexLink"/>
                <w:rtl w:val="true"/>
              </w:rPr>
              <w:tab/>
            </w:r>
            <w:r>
              <w:rPr>
                <w:rStyle w:val="IndexLink"/>
              </w:rPr>
              <w:t>488</w:t>
            </w:r>
          </w:hyperlink>
        </w:p>
        <w:p>
          <w:pPr>
            <w:pStyle w:val="Contents4"/>
            <w:tabs>
              <w:tab w:val="clear" w:pos="8176"/>
              <w:tab w:val="right" w:pos="9026" w:leader="dot"/>
            </w:tabs>
            <w:rPr/>
          </w:pPr>
          <w:hyperlink w:anchor="__RefHeading___Toc2465490_2870459653">
            <w:r>
              <w:rPr>
                <w:webHidden/>
                <w:rStyle w:val="IndexLink"/>
                <w:rtl w:val="true"/>
              </w:rPr>
              <w:t>باب صلاة الجمعة</w:t>
            </w:r>
            <w:r>
              <w:rPr>
                <w:rStyle w:val="IndexLink"/>
                <w:rtl w:val="true"/>
              </w:rPr>
              <w:tab/>
            </w:r>
            <w:r>
              <w:rPr>
                <w:rStyle w:val="IndexLink"/>
              </w:rPr>
              <w:t>489</w:t>
            </w:r>
          </w:hyperlink>
        </w:p>
        <w:p>
          <w:pPr>
            <w:pStyle w:val="Contents3"/>
            <w:tabs>
              <w:tab w:val="clear" w:pos="8459"/>
              <w:tab w:val="right" w:pos="9026" w:leader="dot"/>
            </w:tabs>
            <w:rPr/>
          </w:pPr>
          <w:hyperlink w:anchor="__RefHeading___Toc2465492_2870459653">
            <w:r>
              <w:rPr>
                <w:webHidden/>
                <w:rStyle w:val="IndexLink"/>
                <w:rtl w:val="true"/>
              </w:rPr>
              <w:t>المصادر المعتمدة في التحقيق والمقدمة</w:t>
            </w:r>
            <w:r>
              <w:rPr>
                <w:rStyle w:val="IndexLink"/>
                <w:rtl w:val="true"/>
              </w:rPr>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67_79591"/>
      <w:bookmarkStart w:id="1" w:name="pg9067_79591"/>
      <w:bookmarkEnd w:id="1"/>
    </w:p>
    <w:p>
      <w:pPr>
        <w:pStyle w:val="Heading2"/>
        <w:numPr>
          <w:ilvl w:val="1"/>
          <w:numId w:val="1"/>
        </w:numPr>
        <w:rPr/>
      </w:pPr>
      <w:bookmarkStart w:id="2" w:name="pg9067_79591"/>
      <w:bookmarkStart w:id="3" w:name="__RefHeading___Toc2464858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مجلة تعنى بالأبحاث التخصصية في الحوزة العلمية</w:t>
      </w:r>
    </w:p>
    <w:p>
      <w:pPr>
        <w:pStyle w:val="BookText"/>
        <w:rPr/>
      </w:pPr>
      <w:r>
        <w:rPr>
          <w:rFonts w:ascii="Amiri" w:hAnsi="Amiri" w:eastAsia="Amiri" w:cs="Amiri"/>
          <w:color w:val="111111"/>
          <w:sz w:val="28"/>
          <w:sz w:val="28"/>
          <w:szCs w:val="28"/>
          <w:rtl w:val="true"/>
          <w:lang w:bidi="ar-SA"/>
        </w:rPr>
        <w:t xml:space="preserve">نصف سنوية 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p>
    <w:p>
      <w:pPr>
        <w:pStyle w:val="BookText"/>
        <w:rPr/>
      </w:pPr>
      <w:r>
        <w:rPr>
          <w:rFonts w:ascii="Amiri" w:hAnsi="Amiri" w:eastAsia="Amiri" w:cs="Amiri"/>
          <w:color w:val="111111"/>
          <w:sz w:val="28"/>
          <w:sz w:val="28"/>
          <w:szCs w:val="28"/>
          <w:rtl w:val="true"/>
          <w:lang w:bidi="ar-SA"/>
        </w:rPr>
        <w:t>العددان التجريبيان الثاني والثالث</w:t>
      </w:r>
    </w:p>
    <w:p>
      <w:pPr>
        <w:pStyle w:val="BookText"/>
        <w:rPr/>
      </w:pP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486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7" w:name="pg9067_79594"/>
    </w:p>
    <w:p>
      <w:pPr>
        <w:pStyle w:val="Heading2"/>
        <w:numPr>
          <w:ilvl w:val="1"/>
          <w:numId w:val="1"/>
        </w:numPr>
        <w:rPr/>
      </w:pPr>
      <w:bookmarkStart w:id="8" w:name="__RefHeading___Toc2464862_2870459653"/>
      <w:bookmarkStart w:id="9" w:name="_Toc3"/>
      <w:bookmarkEnd w:id="7"/>
      <w:bookmarkEnd w:id="8"/>
      <w:r>
        <w:rPr>
          <w:rtl w:val="true"/>
        </w:rPr>
        <w:t>الأسس المعتمدة للنشر</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ترحب المجلة بإسهامات الباحثين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رواد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الاخوند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الاصدار تجريباً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المجالات التي تهم طالب الأبحاث العليا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بخطٍ متوسط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عن ذلك يمكن تقسيمه الى أكثر من حلقة شريطة أن تتسلَّمَ المجلةُ البحثَ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يخضع البحث لمراجعة هيئة 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إلى صاحبه سواء نُشر أم لم يُنشر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للمجلة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ترتيب البحوث المنشورة في المجلة لإعتبارات فنية لا علاقة لها بمكانة الكاتب أو أهمية الموضوع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يُنشر في المجلة لا يعدو كونه مطارحات علمية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بالضرورة عن رأي المجلة</w:t>
      </w:r>
      <w:r>
        <w:rPr>
          <w:rFonts w:eastAsia="Amiri" w:cs="Amiri" w:ascii="Amiri" w:hAnsi="Amiri"/>
          <w:color w:val="111111"/>
          <w:sz w:val="28"/>
          <w:szCs w:val="28"/>
          <w:rtl w:val="true"/>
          <w:lang w:bidi="ar-SA"/>
        </w:rPr>
        <w:t xml:space="preserve">. </w:t>
      </w:r>
      <w:bookmarkStart w:id="10" w:name="pg9067_79595"/>
    </w:p>
    <w:p>
      <w:pPr>
        <w:pStyle w:val="Heading2"/>
        <w:numPr>
          <w:ilvl w:val="1"/>
          <w:numId w:val="1"/>
        </w:numPr>
        <w:rPr/>
      </w:pPr>
      <w:bookmarkStart w:id="11" w:name="__RefHeading___Toc2464864_2870459653"/>
      <w:bookmarkStart w:id="12" w:name="_Toc4"/>
      <w:bookmarkEnd w:id="10"/>
      <w:bookmarkEnd w:id="11"/>
      <w:r>
        <w:rPr>
          <w:rtl w:val="true"/>
        </w:rPr>
        <w:t>مقدِّمة الطَّبعة الثَّانية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قديماً عن النجاح في الأهداف الطموحة لغير الأفراد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ثمرة تعاون الأيدي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السر في تنامي الشُّعور بالثقة والأمل بمواصلة السعي في العمل الدؤوب في أعداد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بدا هذا التعاون من قبل الكتاب وهيأتي الإدارة والتحرير واللجنة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من نسيج حاضرة الحوزة العلمية المباركة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يتبلور في أعداد لفتت انتباه المختصين والمهتمين فأشاروا بالتقدير إلى الجهد النوعي المبذول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ذلك الاهتمام قد انعكس في الأوساط العلمية في الرغبة في زيادة كمية النسخ المطبوعة من أ ن أعداد المجلة حتى تكرّر الطلب بعد نفاد النسخ فلم يسعنا إِلَّا أَنْ نعيد طباعتها ثانيةً مع تصحيح ما فاتنا في الطبعة الأولى من أخطاء طباعية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وكلنا أمل في أن تقع موضع الرضا من عين القارئ اللبيب ونكون قد وافينا المتشوق لما تطلع إليه من مضمونها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 xml:space="preserve">) </w:t>
      </w:r>
      <w:bookmarkStart w:id="13" w:name="pg9067_79596"/>
    </w:p>
    <w:p>
      <w:pPr>
        <w:pStyle w:val="Heading2"/>
        <w:numPr>
          <w:ilvl w:val="1"/>
          <w:numId w:val="1"/>
        </w:numPr>
        <w:rPr/>
      </w:pPr>
      <w:bookmarkStart w:id="14" w:name="__RefHeading___Toc2464866_2870459653"/>
      <w:bookmarkStart w:id="15" w:name="_Toc5"/>
      <w:bookmarkEnd w:id="13"/>
      <w:bookmarkEnd w:id="14"/>
      <w:r>
        <w:rPr>
          <w:rtl w:val="true"/>
        </w:rPr>
        <w:t>محتويات العدد</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الافتتاحية</w:t>
      </w:r>
    </w:p>
    <w:p>
      <w:pPr>
        <w:pStyle w:val="BookText"/>
        <w:rPr/>
      </w:pPr>
      <w:r>
        <w:rPr>
          <w:rFonts w:ascii="Amiri" w:hAnsi="Amiri" w:eastAsia="Amiri" w:cs="Amiri"/>
          <w:color w:val="111111"/>
          <w:sz w:val="28"/>
          <w:sz w:val="28"/>
          <w:szCs w:val="28"/>
          <w:rtl w:val="true"/>
          <w:lang w:bidi="ar-SA"/>
        </w:rPr>
        <w:t xml:space="preserve">هيأة إصدار المجلة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البرلمانات في ظل الأنظمة السياسية المعاصرة</w:t>
      </w:r>
    </w:p>
    <w:p>
      <w:pPr>
        <w:pStyle w:val="BookText"/>
        <w:rPr/>
      </w:pPr>
      <w:r>
        <w:rPr>
          <w:rFonts w:ascii="Amiri" w:hAnsi="Amiri" w:eastAsia="Amiri" w:cs="Amiri"/>
          <w:color w:val="111111"/>
          <w:sz w:val="28"/>
          <w:sz w:val="28"/>
          <w:szCs w:val="28"/>
          <w:rtl w:val="true"/>
          <w:lang w:bidi="ar-SA"/>
        </w:rPr>
        <w:t xml:space="preserve">الشيخ حيدر السهلاني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العمد بين الفقه الإسلامي وقانون العقوبات العراقي</w:t>
      </w:r>
    </w:p>
    <w:p>
      <w:pPr>
        <w:pStyle w:val="BookText"/>
        <w:rPr/>
      </w:pPr>
      <w:r>
        <w:rPr>
          <w:rFonts w:ascii="Amiri" w:hAnsi="Amiri" w:eastAsia="Amiri" w:cs="Amiri"/>
          <w:color w:val="111111"/>
          <w:sz w:val="28"/>
          <w:sz w:val="28"/>
          <w:szCs w:val="28"/>
          <w:rtl w:val="true"/>
          <w:lang w:bidi="ar-SA"/>
        </w:rPr>
        <w:t xml:space="preserve">الشيخ يحيى السعداوي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الأذان عند الجمع بين الفريضتين</w:t>
      </w:r>
    </w:p>
    <w:p>
      <w:pPr>
        <w:pStyle w:val="BookText"/>
        <w:rPr/>
      </w:pPr>
      <w:r>
        <w:rPr>
          <w:rFonts w:ascii="Amiri" w:hAnsi="Amiri" w:eastAsia="Amiri" w:cs="Amiri"/>
          <w:color w:val="111111"/>
          <w:sz w:val="28"/>
          <w:sz w:val="28"/>
          <w:szCs w:val="28"/>
          <w:rtl w:val="true"/>
          <w:lang w:bidi="ar-SA"/>
        </w:rPr>
        <w:t xml:space="preserve">الشيخ جاسم الفهيد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العقاب بلا بيان والاحتياط العقلي</w:t>
      </w:r>
    </w:p>
    <w:p>
      <w:pPr>
        <w:pStyle w:val="BookText"/>
        <w:rPr/>
      </w:pPr>
      <w:r>
        <w:rPr>
          <w:rFonts w:ascii="Amiri" w:hAnsi="Amiri" w:eastAsia="Amiri" w:cs="Amiri"/>
          <w:color w:val="111111"/>
          <w:sz w:val="28"/>
          <w:sz w:val="28"/>
          <w:szCs w:val="28"/>
          <w:rtl w:val="true"/>
          <w:lang w:bidi="ar-SA"/>
        </w:rPr>
        <w:t xml:space="preserve">السيد علي البعاج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w:t>
      </w:r>
    </w:p>
    <w:p>
      <w:pPr>
        <w:pStyle w:val="BookText"/>
        <w:rPr/>
      </w:pPr>
      <w:r>
        <w:rPr>
          <w:rFonts w:ascii="Amiri" w:hAnsi="Amiri" w:eastAsia="Amiri" w:cs="Amiri"/>
          <w:color w:val="111111"/>
          <w:sz w:val="28"/>
          <w:sz w:val="28"/>
          <w:szCs w:val="28"/>
          <w:rtl w:val="true"/>
          <w:lang w:bidi="ar-SA"/>
        </w:rPr>
        <w:t xml:space="preserve">الشيخ منذر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نجم الترابي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أقدم نص فقهي إمامي معتبر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كريم مسير والشيخ شاكر المحمدي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16" w:name="pg9067_79597"/>
    </w:p>
    <w:p>
      <w:pPr>
        <w:pStyle w:val="Heading2"/>
        <w:numPr>
          <w:ilvl w:val="1"/>
          <w:numId w:val="1"/>
        </w:numPr>
        <w:rPr/>
      </w:pPr>
      <w:bookmarkStart w:id="17" w:name="__RefHeading___Toc2464868_2870459653"/>
      <w:bookmarkStart w:id="18" w:name="_Toc6"/>
      <w:bookmarkEnd w:id="16"/>
      <w:bookmarkEnd w:id="17"/>
      <w:r>
        <w:rPr>
          <w:rtl w:val="true"/>
        </w:rPr>
        <w:t>افتتاحية العدد</w:t>
      </w:r>
      <w:bookmarkEnd w:id="18"/>
    </w:p>
    <w:p>
      <w:pPr>
        <w:pStyle w:val="BookText"/>
        <w:rPr/>
      </w:pPr>
      <w:r>
        <w:rPr>
          <w:rFonts w:ascii="Amiri" w:hAnsi="Amiri" w:eastAsia="Amiri" w:cs="Amiri"/>
          <w:color w:val="111111"/>
          <w:sz w:val="28"/>
          <w:sz w:val="28"/>
          <w:szCs w:val="28"/>
          <w:rtl w:val="true"/>
          <w:lang w:bidi="ar-SA"/>
        </w:rPr>
        <w:t xml:space="preserve">وسط مناخ من الارتياح والرضا جاءت به عبارات الثناء وإشارات الإمضاء من أهل العلم والفضل للعدد الأول من مجلتنا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واصلنا عملنا بمعونة المساهمين من أهل الهمة والعمل من طلبة حوزتنا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معونة الله سبحانه وتعالى لنُخرج العددين التجريبيين الثاني والثالث منها وفيهما شذرات من بحوث الفقه والأصول والرجال أبدعتها قرائح الباحثين الكرام متيمنين بحسن طالع التجربة ومؤمنين بما يصبو إليه الجميع من ضرورة إخراج الجهد التفاعلي في مجتمعنا العلمي إلى صفحة النشر والتدوين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علامة على رغبة أتباع هذه المدرسة وإصرارهم على إظهار تمازج البحث العلمي القديم والحديث في هيئة حديثة تقترب من لمس النتائج المرجحة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سيجد القارئ الفاضل مستراحه في ما عقده ثلّة من الباحثين من التحقيق في مخطوطة لنصّ يُعدّ من أقدم النصوص الفقهية لأصحابنا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رسالة عُرفت في الأوساط العلمية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طالما ارتبط ذكرها بالكتاب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ليخرجوا علينا بنتائج نترك تلمسها لجهد القارئ في تتبعها في ذلك التحقيق</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الأمور التي نجدها تُلقي بظلالها على عملنا وأحببنا التنويه عليها ولفت أنظار من نتطلّع نحوهم في الكتابة والإفادة أن تصرف وجوه بحوثهم نحو التوسعة في أفق المعالجة لموضوعاتهم من زوايا لم تترجم لها بحوث وعناوين سابقة إنْ كان البحث في موضوعات معروفة قد سبق أن بحثها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تثري جانبا في الموضوعات المستجدة والمبتكرة لم تجرِ نحوها قدم أو ندر ما تناولها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فنكون بذلك قد سعينا لمواطن أدلتها </w:t>
      </w:r>
    </w:p>
    <w:p>
      <w:pPr>
        <w:pStyle w:val="BookText"/>
        <w:rPr/>
      </w:pPr>
      <w:r>
        <w:rPr>
          <w:rFonts w:ascii="Amiri" w:hAnsi="Amiri" w:eastAsia="Amiri" w:cs="Amiri"/>
          <w:color w:val="111111"/>
          <w:sz w:val="28"/>
          <w:sz w:val="28"/>
          <w:szCs w:val="28"/>
          <w:rtl w:val="true"/>
          <w:lang w:bidi="ar-SA"/>
        </w:rPr>
        <w:t>وفتحنا الباب لخطة مبتكرة في مداركها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بذلك فقط تجد البحوث طريقها نحو الهدف المنشود الذي من أجله أنشئت المجلة وقامت عليها سيرة المجلات في مختلف الاختصاصات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وأذان منا لأهل القرائح البكر من طلبة المدرسة العلمية أن لا يفوّتوا فرصة البحث وولوج ميدان التفكير والكتابة فكم من دارس مثلهم اغتنم الفرصة ورصد فكرةً أو موضوعاً وتتبعه فلما استتم عزمه أسعفه التوفيق وخرج بنتائج طيبة وبحوث قيّمة خدم بها دينَه وأضاف لنهر المسيرة العلمية جدولاً ورفع لمذهبه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نرَ مَن عاد من محاولته نادما والله سبحانه وعد الساعين للعلم بالنصرة والمعونة فلا نرى بعد ذلك لتردد البعض مسوغا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ونَرْبَأُ بالبعض أن يظهر بهذا العمل لونا غير ضروري في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يتوقف عالم أو فاضل في عَدّ الكتابة والنشر ركنين مهمين يتعيّن على كل مدرسة فكرية الاعتناء بهما وترويجهما باللغة العلمية الميسرة التي تلامس الأذهان ولا ينثلم بها الجوهر العلمي الرصين لأن رسالة العلم في كل عصر هي رسالة للعالم وللمتلقي الذي تخاطبه ولا زلنا نرى شريحة كبيرة لم يصل إليها الخطاب المبني على الأسس العلمية والمكتوب بشكل منتظم في نوع من الانتقاء والموضوعية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يعزز الحاجة إلى هذا النوع من الكتابة أن العالم حولنا اليوم يعيش جوا مفتوحا وأُفقاً رحبا في التعبير عن الأفكار والعلوم وبأساليب مختلفة فأصحاب كل طريقة ومذهب يحاولون إثبات رصانة منهجهم وصحة أدلتهم ويبتكرون ذرائع لترويج بضاعتهم وسبب ذلك تقارب المسافات بين المجتمعات والدول واحتكاك العقول والمعتقدات مع الثورة العلمية التي ولدت مفاهيم جديدة لا يكون لبعضها واقعٌ </w:t>
      </w:r>
    </w:p>
    <w:p>
      <w:pPr>
        <w:pStyle w:val="BookText"/>
        <w:rPr/>
      </w:pPr>
      <w:r>
        <w:rPr>
          <w:rFonts w:ascii="Amiri" w:hAnsi="Amiri" w:eastAsia="Amiri" w:cs="Amiri"/>
          <w:color w:val="111111"/>
          <w:sz w:val="28"/>
          <w:sz w:val="28"/>
          <w:szCs w:val="28"/>
          <w:rtl w:val="true"/>
          <w:lang w:bidi="ar-SA"/>
        </w:rPr>
        <w:t>تأصيلي ولا تعدو كونها انتزاعاً من تراكم تنوع ألوان المعيشة والاتساع في أسبابها في ظل المدنية الحديثة المتطورة فاختلطت المفاهيم الثابتة بالمتغيرة واتسع الجدل والنقاش في كل شيء واختلط الصائب بالعاطب من الآراء في مشهد معقد ومتداخل لدرجة يُضطر معها صاحب العلم إلى الاستدلال على أشياء ومعانٍ كانت في ما مضى من الواضحات أو الضروريات وأصبح صاحب الغاية العلمية مسؤولاً ومعنياً بتحوير أدواته وتطويرها وتصريف لغة علمه وتدويرها وإعادة إنتاج منظومته المعرفية وتخريج براهينها على الأسلوب والصبغة التي اصطبغت بها أفكار الناس وألفوها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يسعفنا مثالاً لِما نتكلم عنه إلا ظهور علم النحو وقواعده على 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لمّا كانت سليقة العربي في الكلام ولسانه لا يميلان إلى اللحن لم يكن بحاجة لأنْ يدون له قواعد 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لمّا تلبلبت الألسن للأسباب المعروفة ألقى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أوليات النحو لأبي الأسود الدؤلي وأمره بالنحو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زالوا من بعده يضيفون ويقننون ويضبطون 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وإن اتسمت بالحركة والحياة إلا أن التغيرات الطارئة عليها تستغرق أعصاراً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بتبلبل الأفكار ونزوع النفس البشرية لكل جديد وحادث في هذا الوقع المتسارع الذي يحتاج في كل آونة إلى تصحيح مسار سلوكه الفكري والعملي بتقرير قواعده وتحرير أصوله على منهج الشريعة الإلهية والحكمة المعنوية لرسالة الإسلام وبطريقة مستنبطة أو مبتكرة في طور يشبه تقويم لسان نطقه بقواعد مستنبطة أو 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يكتب التوفيق للباحثين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بأيدي غيرهم ممن ندعو لأنْ يحذوا حذوهم وما توفيقنا إلا بالله السميع العليم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هيأة إصدار المجلة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9067_79601"/>
      <w:bookmarkStart w:id="20" w:name="pg9067_79601"/>
      <w:bookmarkEnd w:id="20"/>
    </w:p>
    <w:p>
      <w:pPr>
        <w:pStyle w:val="Heading2"/>
        <w:numPr>
          <w:ilvl w:val="1"/>
          <w:numId w:val="1"/>
        </w:numPr>
        <w:rPr/>
      </w:pPr>
      <w:bookmarkStart w:id="21" w:name="pg9067_79601"/>
      <w:bookmarkStart w:id="22" w:name="__RefHeading___Toc2464870_2870459653"/>
      <w:bookmarkStart w:id="23" w:name="_Toc7"/>
      <w:bookmarkEnd w:id="21"/>
      <w:bookmarkEnd w:id="22"/>
      <w:r>
        <w:rPr>
          <w:rtl w:val="true"/>
        </w:rPr>
        <w:t xml:space="preserve">مشروعية البرلمانات في ظل الأنظمة السياسية المعاصرة </w:t>
      </w:r>
      <w:r>
        <w:rPr>
          <w:rtl w:val="true"/>
        </w:rPr>
        <w:t xml:space="preserve">- </w:t>
      </w:r>
      <w:r>
        <w:rPr>
          <w:rtl w:val="true"/>
        </w:rPr>
        <w:t xml:space="preserve">الشيخ حيدر السهلاني </w:t>
      </w:r>
      <w:r>
        <w:rPr>
          <w:rtl w:val="true"/>
        </w:rPr>
        <w:t>(</w:t>
      </w:r>
      <w:r>
        <w:rPr>
          <w:rtl w:val="true"/>
        </w:rPr>
        <w:t>دام عزه</w:t>
      </w:r>
      <w:r>
        <w:rPr>
          <w:rtl w:val="true"/>
        </w:rPr>
        <w:t>)</w:t>
      </w:r>
      <w:bookmarkEnd w:id="23"/>
    </w:p>
    <w:p>
      <w:pPr>
        <w:pStyle w:val="Heading3"/>
        <w:numPr>
          <w:ilvl w:val="2"/>
          <w:numId w:val="1"/>
        </w:numPr>
        <w:rPr/>
      </w:pPr>
      <w:bookmarkStart w:id="24" w:name="__RefHeading___Toc2464872_2870459653"/>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دراسة تبحث في مدى شرعية سلطة البرلمان في عصر الغيبة وفي ظل غياب الدولة الدينية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الذي أعطى لتلك السلطة هذا الدور من تشريع القوانين مع العلم أن أغلب أعضاء تلك المجالس ليسوا أهل اختصاص في تشريع وسن القوانين</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9067_79603"/>
      <w:bookmarkStart w:id="27" w:name="pg9067_79603"/>
      <w:bookmarkEnd w:id="27"/>
    </w:p>
    <w:p>
      <w:pPr>
        <w:pStyle w:val="BookText"/>
        <w:rPr/>
      </w:pPr>
      <w:bookmarkStart w:id="28" w:name="pg9067_79603"/>
      <w:bookmarkEnd w:id="28"/>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لا يخفى أن البرلمانات أو مجالس الشعب من الأمور المستحدثة في بناء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تأسيس شرعي يحددها ويضع أسس التعامل معها من الناحية الشرعية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فظهورها مع ظهور تجربة الديمقراطية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حكم الشعب نفسه بنفسه ومن خلال البرلمانات المنتخبة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أسس الغرب لهذه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واعتمدها في بناء الدولة وجعلها قاعدة ثابتة في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على هذا النهج بعض الدول الإسلامية التي اعتمدت الديمقراطية في بناء الدولة ومنها تجربتنا البرلمانية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مدى مشروعية قيام تلك السلطة في ظل غياب الدولة الدينية ؟</w:t>
      </w:r>
    </w:p>
    <w:p>
      <w:pPr>
        <w:pStyle w:val="BookText"/>
        <w:rPr/>
      </w:pPr>
      <w:r>
        <w:rPr>
          <w:rFonts w:ascii="Amiri" w:hAnsi="Amiri" w:eastAsia="Amiri" w:cs="Amiri"/>
          <w:color w:val="111111"/>
          <w:sz w:val="28"/>
          <w:sz w:val="28"/>
          <w:szCs w:val="28"/>
          <w:rtl w:val="true"/>
          <w:lang w:bidi="ar-SA"/>
        </w:rPr>
        <w:t>ومَن الذي أعطى لتلك السلطة هذا الدور من تشريع القوانين مع العلم أن أغلب أعضاء تلك المجالس ليسوا أهل اختصاص في تشريع وسن القوانين ؟</w:t>
      </w:r>
    </w:p>
    <w:p>
      <w:pPr>
        <w:pStyle w:val="BookText"/>
        <w:rPr/>
      </w:pPr>
      <w:r>
        <w:rPr>
          <w:rFonts w:ascii="Amiri" w:hAnsi="Amiri" w:eastAsia="Amiri" w:cs="Amiri"/>
          <w:color w:val="111111"/>
          <w:sz w:val="28"/>
          <w:sz w:val="28"/>
          <w:szCs w:val="28"/>
          <w:rtl w:val="true"/>
          <w:lang w:bidi="ar-SA"/>
        </w:rPr>
        <w:t>هذه الدراسة تجيب عن تلك الأسئلة ضمن مبحثين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464874_2870459653"/>
      <w:bookmarkStart w:id="30" w:name="_Toc9"/>
      <w:bookmarkEnd w:id="29"/>
      <w:r>
        <w:rPr>
          <w:rtl w:val="true"/>
        </w:rPr>
        <w:t>المبحث الأول</w:t>
      </w:r>
      <w:bookmarkEnd w:id="30"/>
    </w:p>
    <w:p>
      <w:pPr>
        <w:pStyle w:val="BookText"/>
        <w:rPr/>
      </w:pPr>
      <w:r>
        <w:rPr>
          <w:rFonts w:ascii="Amiri" w:hAnsi="Amiri" w:eastAsia="Amiri" w:cs="Amiri"/>
          <w:color w:val="111111"/>
          <w:sz w:val="28"/>
          <w:sz w:val="28"/>
          <w:szCs w:val="28"/>
          <w:rtl w:val="true"/>
          <w:lang w:bidi="ar-SA"/>
        </w:rPr>
        <w:t>مشروعية الدولة في عصر الغيبة إذا لم تكن الدولة دينية بل دولة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شكل الحكومة وسلطتها على الفرد والمجتمع في عصر الغيبة اتجاهين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إقامة الحكومة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أي دولة لا يمكن إعطاؤها صفة الشرعية 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الشارع المقدس أبقى الدولة منوطة </w:t>
      </w:r>
    </w:p>
    <w:p>
      <w:pPr>
        <w:pStyle w:val="BookText"/>
        <w:rPr/>
      </w:pPr>
      <w:r>
        <w:rPr>
          <w:rFonts w:ascii="Amiri" w:hAnsi="Amiri" w:eastAsia="Amiri" w:cs="Amiri"/>
          <w:color w:val="111111"/>
          <w:sz w:val="28"/>
          <w:sz w:val="28"/>
          <w:szCs w:val="28"/>
          <w:rtl w:val="true"/>
          <w:lang w:bidi="ar-SA"/>
        </w:rPr>
        <w:t xml:space="preserve">بالإمام الغائب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بعض علماء الامامية بتحريم إقامة السلطة من قبل السلطان وبعدم مشروعيتها تحت عنوان أنها غصبية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الرؤية صرح بها 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وأجمعت الروافض على إبطال الخروج وإنكار السيف ولو قتلت حتى يظهر لها الإمام الغائب وحتى يأمر بذلك</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وسبب رؤية فقهاء الامامية في هذا الاتجاه بعدم التصدي هو رؤية 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إقامة نص الحكومة الإسلامية هو حق خاص بالإمام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ولاية للفقيه على الحكم ولا شورى للأمة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حقيقة السلطة قائمة على أساس العدل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والمتصدون لها أمناء عليها بعدم التجاوز على تلك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تتوافر في المتصدي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وأعلى وسيلة يمكننا تصورها في حفظ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هذه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عن الارتكابات الشهوية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والاستئثارات الاستبدادية هي العصمة العاصمة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هذه المَلكة غير متوافرة في المتصدين فالنعت بالغصبية يصح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الواردة والحاثة على الرجوع إلى الفقهاء منها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الكليني عن محمد بن يحيى عن محمد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الحصين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من أصحابنا بينهما منازعة في دين أو ميراث فتحاكما إلى السلطان وإلى القضاء أيحل ذلك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تحاكم إليهم في حق أو باطل فإنما تحاكم إلى الطاغوت وما يحكم له فإنما يأخذ سحتاً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حقه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أخذه بحكم الطاغوت وقد أمر الله أن يُكفر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يصنعان؟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إلى مَن كان منكم ممن قد روى 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في حلالنا وعرف أحكامنا فليرضوا به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حكم بحكمنا فلم يقبل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استخف بحكم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وعلينا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والراد علينا كالراد على الله وهو على حد الشرك بالله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من الرواية ثبوت الولاية للفقهاء وذلك من خلال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يفصل بين الخصومات فقط لان هذا المنصب من تعيين الحاكم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 الجمال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الطوسي بإسناده عن محمد بن علي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الجهم عن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إذا وقعت بينكم خصومة أو تداري – أي تدافع في الخصومة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بينكم في شيء من الأخذ والعطاء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تتحاكموا إلى أحد من هؤلاء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بينكم رجلا ممّن قد عرف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قد جعلته قاضياً وإياكم أن </w:t>
      </w:r>
    </w:p>
    <w:p>
      <w:pPr>
        <w:pStyle w:val="BookText"/>
        <w:rPr/>
      </w:pPr>
      <w:r>
        <w:rPr>
          <w:rFonts w:ascii="Amiri" w:hAnsi="Amiri" w:eastAsia="Amiri" w:cs="Amiri"/>
          <w:color w:val="111111"/>
          <w:sz w:val="28"/>
          <w:sz w:val="28"/>
          <w:szCs w:val="28"/>
          <w:rtl w:val="true"/>
          <w:lang w:bidi="ar-SA"/>
        </w:rPr>
        <w:t>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الرواية أن الشارع المقدس جعل للفقيه الجامع للشرائط منصب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المنصب يوجب منحه جميع صلاحية الولاية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المقابلة بأن تلك الوظائف كانت لسلاطين الجور فما كان من شأن سلاطين الجور فهو ثابت للفقيه العادل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الصادر من الإمام الحجة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غالب الرازي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محمداً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النائب الثاني لإمام العصر في عصر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 لي كتابا قد سألت فيه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التوقيع بخط مولانا 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كسابقتها من حيث جعل الفقيه ذا ولاية لأنهم أصحاب حجة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 جلّ الفقهاء في تلك الروايات وغيرها ولم يحملوها على منح الولاية العامة للفقيه بل هي تشير بالرجوع إلى الفقيه في الأمور الحسبية المقيّدة كرعاية القاصر وحفظ مال السفيه والنظارة على الأوقاف والقضاء والفتوى وغيرها </w:t>
      </w:r>
    </w:p>
    <w:p>
      <w:pPr>
        <w:pStyle w:val="BookText"/>
        <w:rPr/>
      </w:pPr>
      <w:r>
        <w:rPr>
          <w:rFonts w:ascii="Amiri" w:hAnsi="Amiri" w:eastAsia="Amiri" w:cs="Amiri"/>
          <w:color w:val="111111"/>
          <w:sz w:val="28"/>
          <w:sz w:val="28"/>
          <w:szCs w:val="28"/>
          <w:rtl w:val="true"/>
          <w:lang w:bidi="ar-SA"/>
        </w:rPr>
        <w:t>وليست في مقام إثبات الولاية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تثبت الولاية للفقهاء في عصر الغيبة بأي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الولاية تختص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يمكن إثباته من الروايات أن للفقهاء أمرين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القضاء وحجية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لهم حق التصرف في أموال القاصرين وغيرهم من شؤون الولاية إلا في الأمور الحسبية التي لهم الولاية فيها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السلطة وإقامة الدولة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الاتجاه يؤمن بالنظريات التي تؤسس لشرعية الدولة في عصر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عدة نظريات أو أنظمة تجمع بين الاجتهاد والنظام النيابي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ويؤسس لعلاقة بين المجتهد والبرلمان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ينظّرون لقيام تلك الدولة على أساس تنظيرين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التنظير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الدينية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حازت الدولة على الشرعية الدينية من قبل الجهات الدينية فتكون دينية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الملتزمة في ادائها السياسي القانوني والاقتصادي فهي دينية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الدولة في الفكر السياسي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منها الدولة الدينية التي تكون حكومتها الثيوقراطية ونظامها السياسي المستند على التفويض الإلهي الخارج عن إرادة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يختار الله الرؤساء مباشرة لحكم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المراد ﻫو النظام السياسي الذي يكون على رأس سلطته الفقيه الجامع للشرائط</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وللمرجعية الشيعية عدة نظريات</w:t>
      </w:r>
      <w:r>
        <w:rPr>
          <w:rStyle w:val="FootnoteAnchor"/>
          <w:rtl w:val="true"/>
        </w:rPr>
        <w:footnoteReference w:id="11"/>
      </w:r>
      <w:r>
        <w:rPr>
          <w:rFonts w:ascii="Amiri" w:hAnsi="Amiri" w:eastAsia="Amiri" w:cs="Amiri"/>
          <w:color w:val="111111"/>
          <w:sz w:val="28"/>
          <w:sz w:val="28"/>
          <w:szCs w:val="28"/>
          <w:rtl w:val="true"/>
          <w:lang w:bidi="ar-SA"/>
        </w:rPr>
        <w:t>أشهرها نظرية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النظرية التي </w:t>
      </w:r>
    </w:p>
    <w:p>
      <w:pPr>
        <w:pStyle w:val="BookText"/>
        <w:rPr/>
      </w:pPr>
      <w:r>
        <w:rPr>
          <w:rFonts w:ascii="IRNazanin" w:hAnsi="IRNazanin" w:eastAsia="IRNazanin"/>
          <w:color w:val="111111"/>
          <w:sz w:val="28"/>
          <w:sz w:val="28"/>
          <w:szCs w:val="28"/>
          <w:rtl w:val="true"/>
          <w:lang w:bidi="fa-IR"/>
        </w:rPr>
        <w:t xml:space="preserve">منحت الفقيه الجامع لشرائط الفتوى أن يكون نائباً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الغيبة ليس في الأمور الحسبية المقيدة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جميع ما للنيابة من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نظّر لهذه النظرية الشهيد الأول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 بنيابة الفقيه عن الإمام في صلاة الجمعة في زمن الغيبة</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ويُعد المحقق الثاني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فقيه يتقلّد منصب النيابة العامة فعلياً والمصدر الرئيس لإمضاء الشرعية على السلطة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وتحولت هذه الولاية من كونها موقفاً فقهياً إلى نظرية سياسية فقهية متكاملة على يد المحقق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رموزها حيث أثبت أن كل ما كان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الولاية فهو ثابت للفقيه</w:t>
      </w:r>
      <w:r>
        <w:rPr>
          <w:rStyle w:val="FootnoteAnchor"/>
          <w:rtl w:val="true"/>
        </w:rPr>
        <w:footnoteReference w:id="15"/>
      </w:r>
      <w:r>
        <w:rPr>
          <w:rFonts w:ascii="Amiri" w:hAnsi="Amiri" w:eastAsia="Amiri" w:cs="Amiri"/>
          <w:color w:val="111111"/>
          <w:sz w:val="28"/>
          <w:sz w:val="28"/>
          <w:szCs w:val="28"/>
          <w:rtl w:val="true"/>
          <w:lang w:bidi="ar-SA"/>
        </w:rPr>
        <w:t xml:space="preserve">وتصبح الولاية في عصر الغيبة من البديهيات وخاصة عند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أثبت أنها من الأمور التي لا يحتاج إثباتها إلى برهان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نريد الدخول في مناقشات الأدلة النقلية والعقلية إثباتاً أو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موكول إلى محله</w:t>
      </w:r>
      <w:r>
        <w:rPr>
          <w:rStyle w:val="FootnoteAnchor"/>
          <w:rtl w:val="true"/>
        </w:rPr>
        <w:footnoteReference w:id="17"/>
      </w:r>
      <w:r>
        <w:rPr>
          <w:rFonts w:ascii="Amiri" w:hAnsi="Amiri" w:eastAsia="Amiri" w:cs="Amiri"/>
          <w:color w:val="111111"/>
          <w:sz w:val="28"/>
          <w:sz w:val="28"/>
          <w:szCs w:val="28"/>
          <w:rtl w:val="true"/>
          <w:lang w:bidi="ar-SA"/>
        </w:rPr>
        <w:t>بقدر ما أريد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الدولة في عصر الغيبة المعتمدة على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مشروعية الفصل بين السلطات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ومنحت المشروعية لسلطة البرلمان والحق في سنّ القوانين وتشريعها على أساس مشروعية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التنظير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وللمرجعية الدينية أيضاً عدة نظريات عالجت فيها قضية السلطة في عصر الغيبة عندما لا يكون على رأسها الولي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في نفس الوقت أمضوا عمل السلطات بما فيها السلطة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الحكومة المشروطة بإذن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بدايات القرن الرابع الهجري حركة تطالب بالدستور وسميت هذه الحركة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يعتبر العلامة الميرزا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مفكر الحركة المشروطة والمنظّر لها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الأمة وتنزيه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جمع فيه عشرات الأدلة على مشروعية الحكومة المشروطة ورد إشكالات المعارضين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أول عمل نظري ومعمق في مجال الحياة السياسية الدستورية الشعبية وفي تأهيل المجتمع الإسلامي لتقبل الديمقراطية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مرحلة من مراحل بروز الأسس النظرية للنظام الإسلامي والقول به والخروج من مرحلة القول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يؤسس فيها لحكومة إسلامية شرعية تعتمد القانون أو الدستور أساسا لعملها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البديل البشري الاضطراري لمقام العصمة لغاية رفع الاستبداد وإنشاء حكومة 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الأمران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والحكمة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متيسرين ولا مطردين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البديل الممكن هوإيجاد وسائل أخرى تساعد على توفير الحدّ المقبول من الصفات في الحاكم والسلطة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الوسائل التي تساعد على رفع الاستبداد وإنشاء حكومة عادلة عنده توجد ضمانتان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مجموعة من القوانين التي تحدد طبيعة السلطة وواجباتها وتميّز السلطات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وتؤسس لعدم التعدي والتجاوز على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لفظ الدستور مصطلح غربي حديث على مسامع العامة ومثير للشبهات والتشكيكات الخاصة أورده الشيخ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تقريبية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منزلة هذا الدستور ومكانته أشبه بالرسائل العملية حتى يكون العامة على علم بحرمة مخالفة بنوده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وتتكفل الرد على الاتهامات التي سجلت على نظريته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اللوائح ضمن الدستور الغاية منها مقاومة الاستبداد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السلطات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القضائية والتنفيذية والتشريعية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تتميز الوظائف التي يلزم السلطات بإقامتها عن المجالات التي لا يحق له التدخل فيها والتصرف بها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بمبدأ الشورى</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نظرية الشورى في الحكم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 البعض منهج المعادين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وافدة من الغرب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كاظم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الحكومة الإسلامية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ولاية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ولاية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تبناها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يقود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الاتجاه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بنظرية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دعا لها الميرزا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احدى لوائح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بها الشيخ شمس الدين،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لا تكون معادية لولاية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تصح خلافة المنازعين له لوجود النص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عصر الإجتهاد فالنصوص الدالة على منح الفقيه سلطات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محل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والأخذ بهذا المبدأ يكون مقتضاه الأخذ برأي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الأخذ من لوازم الشورى وبه يتحقق النظام العام وهو حفظه وتحقق </w:t>
      </w:r>
    </w:p>
    <w:p>
      <w:pPr>
        <w:pStyle w:val="BookText"/>
        <w:rPr/>
      </w:pPr>
      <w:r>
        <w:rPr>
          <w:rFonts w:ascii="Amiri" w:hAnsi="Amiri" w:eastAsia="Amiri" w:cs="Amiri"/>
          <w:color w:val="111111"/>
          <w:sz w:val="28"/>
          <w:sz w:val="28"/>
          <w:szCs w:val="28"/>
          <w:rtl w:val="true"/>
          <w:lang w:bidi="ar-SA"/>
        </w:rPr>
        <w:t>الحرية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الجزء الثاني والمهم في مقارعة الاستبداد وتصحيح عمل السلطة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البرلمان مكوّناً من مجموعة من المجتهدين أو من ينوب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نقل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الدستوري الشيعي من الانحسار في المشروعية السياسية إلى المشروعية المدنية المستمدة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نظريته بتشكيل حكومة عدل نسبية تتم عن طريق الانتخاب والبرلمان والدستور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عجزنا عن التمتع بحكومة العدل المطلق للمعصوم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النقل للخطاب الديني لا يعني تخلي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القول بولاية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تخلٍ عن الثابت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وﻫو أنه يمكن أن تنفك عن الفقيه الجامع للشرائط وأن تكون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فقيهاً ولكن تحت إشرافه وإمضائه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ولاية الأمة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النظرية التي أسس لها الشيخ 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استدل على نظريته بعدة أدلة اعتبرها أصلا أولياً </w:t>
      </w:r>
    </w:p>
    <w:p>
      <w:pPr>
        <w:pStyle w:val="BookText"/>
        <w:rPr/>
      </w:pPr>
      <w:r>
        <w:rPr>
          <w:rFonts w:ascii="Amiri" w:hAnsi="Amiri" w:eastAsia="Amiri" w:cs="Amiri"/>
          <w:color w:val="111111"/>
          <w:sz w:val="28"/>
          <w:sz w:val="28"/>
          <w:szCs w:val="28"/>
          <w:rtl w:val="true"/>
          <w:lang w:bidi="ar-SA"/>
        </w:rPr>
        <w:t>سواء على مستوى الأدلة العقلية أو النقلية وهو عدم ولاية أحد على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الأولي العقلي والنقلي في قضية السلطة على البشر من قبل أي شخص كان هو عدم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ولاية لأحد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ولاية لأحد على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مجتمع ولا ولاية لجماعة أو مجتمع على أحد</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هذا الأصل يجعل إمكانية إعماله في زمن الغيبة دون زمن 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بعضهم أولياء بعض</w:t>
      </w:r>
      <w:r>
        <w:rPr>
          <w:rStyle w:val="FootnoteAnchor"/>
          <w:rtl w:val="true"/>
        </w:rPr>
        <w:footnoteReference w:id="25"/>
      </w:r>
      <w:r>
        <w:rPr>
          <w:rFonts w:ascii="Amiri" w:hAnsi="Amiri" w:eastAsia="Amiri" w:cs="Amiri"/>
          <w:color w:val="111111"/>
          <w:sz w:val="28"/>
          <w:sz w:val="28"/>
          <w:szCs w:val="28"/>
          <w:rtl w:val="true"/>
          <w:lang w:bidi="ar-SA"/>
        </w:rPr>
        <w:t xml:space="preserve">وسّعت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لتشمل معنى التدبير السياسي وعدم الاقتصار على النصر والمعونة؛ لأن الأمة في مطلق الأحوال معنية بتدبير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يُعقل ترك الأمة من دون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يحق للأمة من خلال ممارستها للسلطة إنشاء المؤسسات الإدارية وتعيين الأشخاص الذين يمارسون السلطات على الأنفس والأموال من دون أن يتوقف ذلك على فتوى الفقيه لعدم وجود دليل قطعي من الكتاب أو السنة يمنحان الفقيه سلطات المعصوم في حقل التشريع والسياسة نحو الحاكمية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الأدلة الأخرى التي اعتمد عليها الشيخ شمس الدين أصل ثابت عند فقهاء </w:t>
      </w:r>
    </w:p>
    <w:p>
      <w:pPr>
        <w:pStyle w:val="BookText"/>
        <w:rPr/>
      </w:pPr>
      <w:r>
        <w:rPr>
          <w:rFonts w:ascii="IRNazanin" w:hAnsi="IRNazanin" w:eastAsia="IRNazanin"/>
          <w:color w:val="111111"/>
          <w:sz w:val="28"/>
          <w:sz w:val="28"/>
          <w:szCs w:val="28"/>
          <w:rtl w:val="true"/>
          <w:lang w:bidi="fa-IR"/>
        </w:rPr>
        <w:t xml:space="preserve">المذاهب والإمامية وهو وجوب الشورى أو المشاورة وجعله أصلاً آخراً على مشروعية ولاية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الشورى في الشؤون العامة من أهم المبادئ الدستورية السياسية على الإطلاق عند جميع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الشيعة الامامية في عصر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أهل السنة وسائر المسلمين منذ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تستقيم شرعية أي حكم سياسي لحاكم غير معصوم ولا تستقيم شرعية أي تصرف في الشؤون العامة للمجتمع دون أن يكون قائماً على الشورى</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كان القرآن الكريم قد بيّن ضرورة إجراء الشورى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فإن الناس أحوج ما يكونون إلى ذلك في عصر غياب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إرادة الأمة</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قراءة هذه النظرية من خلال ثنايا البحوث الفقهية والأصولية والفتاوى التي تعالج الوضع السياسي وخاصة الوضع العراقي بعد سقوط النظام الدكتاتوري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حيث أوجب على المرجعية الدينية العليا في النجف الاشرف الإلقاء بثقلها للإرشاد إلى نوع الحكم الذي يصلح للمحافظة على المصالح العليا وأهمها رفع الظلم وتحقيق العدل والمساواة وضمان إمرار دستور وتشريعات روحها المحافظة على الهوية الدينية للأغلبية المسلمة وضمان حقوق الأقليات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يكشف عن أنها تقول بالولاية ولكن ليست الولاية المطلقة فهي تمسك عصا الولاية من المنتصف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الولاية العامة التي تكون بين المطلقة وبين الأمور الحسبية </w:t>
      </w:r>
    </w:p>
    <w:p>
      <w:pPr>
        <w:pStyle w:val="BookText"/>
        <w:rPr/>
      </w:pPr>
      <w:r>
        <w:rPr>
          <w:rFonts w:ascii="Amiri" w:hAnsi="Amiri" w:eastAsia="Amiri" w:cs="Amiri"/>
          <w:color w:val="111111"/>
          <w:sz w:val="28"/>
          <w:sz w:val="28"/>
          <w:szCs w:val="28"/>
          <w:rtl w:val="true"/>
          <w:lang w:bidi="ar-SA"/>
        </w:rPr>
        <w:t>في أدنى درجاتها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الولاية العامة فإنها تميّز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في الأمور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والولاية العامة تكون ثابتة في المواضيع التي لا يتوقف عليها حفظ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تكون أحكاماً أولية قائمة على أساس المصالح والمفاسد في ذوات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ويلحظها الشارع المقدس ويصدر حكمه فيها ويكون طريق إيجادها بالرجوع إلى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الولاية في الأمور العامة التي توجب تدخّل الفقيه المنتخب من قبل الفقهاء وبحسب تصديه في تلك الأمور التي يتوقف عليها حفظ النظام من باب الأحكام الولائية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ويعلّل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قلع نخلة سَمرة بن جندب وبناء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بأن يكون فعله في قلع النخلة ولائياً بلحاظ ولايته في الأمور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صارت وسيلة للإضرار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وقلعُها من الأمور العامة التي يتوقف عليها حفظ النظام</w:t>
      </w:r>
      <w:r>
        <w:rPr>
          <w:rStyle w:val="FootnoteAnchor"/>
          <w:rtl w:val="true"/>
        </w:rPr>
        <w:footnoteReference w:id="30"/>
      </w:r>
      <w:r>
        <w:rPr>
          <w:rFonts w:ascii="Amiri" w:hAnsi="Amiri" w:eastAsia="Amiri" w:cs="Amiri"/>
          <w:color w:val="111111"/>
          <w:sz w:val="28"/>
          <w:sz w:val="28"/>
          <w:szCs w:val="28"/>
          <w:rtl w:val="true"/>
          <w:lang w:bidi="ar-SA"/>
        </w:rPr>
        <w:t>وليس من باب الولاية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يجوز التصرف في مال أحد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الحكم الولائي ينشؤه الولي على أساس المصالح العامة لحفظ النظام والملاكات الأهم التي يدركها الحاكم الشرعي وفقاً لمقتضيات المصلحة ويُعلن إنشاء تطبيق لا من جهة تنجيز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إنشاء تكليف واقعي على المجتمع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التمييز بين الولايتين لا يمكن اكتشاف رأي المرجعية الدينية العليا وأنها تقول بالولاية العامة أو لا تقول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فلعلّها تقول بها ولكن لا تعمل بها لوجود موانع منها تعدد أطياف الشعب العراقي ممّن لا يعترف بها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الأمة تنافي فرض واقع علمي أو عملي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مباني نظرية إرادة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قراءة هذه النظرية لتتضح معالمها من خلال ثلاثة أسس</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الأساس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بالعهود والمواثيق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يحقّق الإنسان إرادة نفسه ويكون مُلزماً لنفسه بفعل أو ترك نحو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على المخالفة حكماً جزائياً مقابل التزام الغير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لتحقيق إرادته من الالتزام بالعهود والمواثيق التي يجعلها على نفسه انطلاقا من حقيقة أولوية كل أحد بالنسبة إلى نفسه وما يعد من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وجود ولاية لأحد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الحق بالإلزام والالتزام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يترتب عليه من الأحكام قد يمارسه الإنسان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يفوضه للغير من قبيل إعطاء ولاية الحكم في مقام التحكيم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التفويض تستمد شرعية الحكم من فئة من الشعب للشعب وينسجم مع الأصول التشريعية للمسلمين وتشمله أدلة </w:t>
      </w:r>
      <w:r>
        <w:rPr>
          <w:rFonts w:ascii="IRNazanin" w:hAnsi="IRNazanin" w:eastAsia="IRNazanin"/>
          <w:color w:val="111111"/>
          <w:sz w:val="28"/>
          <w:sz w:val="28"/>
          <w:szCs w:val="28"/>
          <w:rtl w:val="true"/>
          <w:lang w:bidi="fa-IR"/>
        </w:rPr>
        <w:t>وأوفوا بالعقود</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إلا شرطاً محلا للحرام أو محرّماً للحلال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لا تكون هذه الولاية في عَرض ولاية الله سبحانه الثابتة له في الحكم لا تكون الأحكام الصادرة بموجب تلك الولاية محلّلة للحرام ومحرّمة للحلال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تتصادم مع التشريع الإلهي في الوقائع في مرحلة سنّ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تكون في طول عدم إمكان ثبوت الولاية من الله سبحانه للفقيه الجامع للشرائط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رأي الأكثرية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والشورى في النظام الديمقراطي تعني وجوب الأخذ بمبدأ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موافقة للشورى الإسلامية من جهة وجوب العمل بها لا من جهة وجوب الأخذ بمبدأ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جعلت المرجعية الدينية العليا كلا الوجوبين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معتمدة ومراهنة على إرادة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والمتمثلة بالشعب العراقي ذي الغالبية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المؤكّد أنهم سيختارون من خلال مجالسهم الشوروية نظاماً يحترم الشريعة الإسلامية مع حماية الأقليات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جعل الشورى أحد الأسس التي يجب أن يقوم عليها عراق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الشورى والتعددية والتداول السلمي للسلطة في جنب مبدأ العدالة والمساواة بين أبناء البلاد في الحقوق 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أغلبية الشعب العراقي من المسلمين فمن المؤكد أنهم سيختارون نظاما يحترم ثوابت الشريعة الإسلامية مع حماية الأقليات</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ومبدأ هذا الأساس موجود في الأساس الأول بمقتضى ولاية الإنسان على نفسه في تفويض الحكم للغير وإنما اعتمد رأي الأكثرية لكونه من الناحية العقلية موضع رضا الجميع وملزماً لهم باعترافهم والتزامهم ويحصل التصالح به بين جميع الفئات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التفويض لاختيار الأكثرية لا مانع منه في مجال تشريع القوانين مادامت الأكثرية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تختر ما يصدم ثوابت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الشرط والعقد الذي يحصل بموجبه أصل التفويض أو تحكيم الأكثرية في التفويض لمن له الحكم والتنفيذ لا يحلل حراماً ولا يحرم حلالا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الأساس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بمبدأ الانتخاب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بمعنى الاختيار</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القانون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تدبير قانوني يتم من خلاله اختيار شخص أو عدة أشخاص من بين مرشحين لمنصب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التصويت عليه بواسطة أوراق تحمل أسماء المرشحين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وتودع في صندوق الاقتراع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ليصار عند انتهاء فرزها إعلان نتيجة الاقتراع</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المكلف بحاجة إلى مَن يُعينه في إدارة شؤونه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تدعو إليه الضرورة لاستنقاذ حق أو دفع باطل كان بإمكانه وتبعا لإرادة نفسه أن يفوّض أو ينيب غيره من الأكفاء على إدارة المﻫمة بآلية الانتخاب في مجال تشريع القوانين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اعتماد مبدأ الانتخاب مبدأ تعويضياً عن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فيه المكلف ممارسة حقه بحسب ولايته على نفسه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قبول المرجعية الدينية العليا في النجف الأشرف بحق الانتخاب على وفق مبدأ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كآلية عمل من خلال ممارسة الأمة لدورها وتقبلها أيضاً كمصطلح وافد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 الآخر ويرغمه على تنفيذها خصوصا بعد معارضة القوى السياسية الانتخابات معارضة شديدة بحجج واهية استطاعت المرجعية الدينية العليا إبطالها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جعلت فتاوى الانتخاب كحق معبّر عن إرادة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لهم الولاية على أنفسهم في اختيار شكل الحكومة ومَن يمثلهم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تلك الفتاوى من قبل المرجعية </w:t>
      </w:r>
    </w:p>
    <w:p>
      <w:pPr>
        <w:pStyle w:val="BookText"/>
        <w:rPr/>
      </w:pPr>
      <w:r>
        <w:rPr>
          <w:rFonts w:ascii="Amiri" w:hAnsi="Amiri" w:eastAsia="Amiri" w:cs="Amiri"/>
          <w:color w:val="111111"/>
          <w:sz w:val="28"/>
          <w:sz w:val="28"/>
          <w:szCs w:val="28"/>
          <w:rtl w:val="true"/>
          <w:lang w:bidi="ar-SA"/>
        </w:rPr>
        <w:t>الدينية العليا لتؤكد على 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فتوى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بوجوب الانتخابات للمجلس التشريعي لكي يكتب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بديل عن إجراء انتخابات عامة لكتابة الدستور واختيار أعضاء المؤتمر الدستوري</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الانتخابات هي الطريقة المثلى لتمكين الشعب العراقي من تشكيل حكومة ترعى مصالحه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مكتب المرجعية الدينية العليا مراراً على ضرورة أن تكون الحكومة العراقية ذات سيادة منبثقة من انتخابات حرة ونزيهة يشارك فيها أبناء الشعب العراقي بصورة عامة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أوجب المكتب التحقق من إدراج أسماء الناخبين المؤهلين بصورة صحيحة للتصويت من الذكور والإناث في سجل الناخبين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هذا وغيره في سبيل أن يشارك أبناء الشعب مشاركة واسعة ويعبّرون فيها عن إرادتهم وولايتهم على أنفسهم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أهم النظريات التي تؤسس لمشروعية الدولة في ظل الأنظمة الوضعية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يميّز هذه النظريات الثلاث التي اتفقت في النتيجة من حيث جعل الشورى أساساً للحكم في عصر الغيبة وإن اختلفت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الأمة من الأمور التي تحتاج إلى إمضاء من الفقيه في الأمور الحسبية الراجعة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وسّع الشيخ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ممارسة السلطة من دون الرجوع إلى الفقيه وولايته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القول إن نظرية المرجعية الدينية العليا في النجف الأشرف جمعت بين الإمضاء من قبل الحاكم الشرعي للسلطة التي ذهب إليها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ولاية الأمة على نفسها التي قال بها الشيخ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وفق رهان الإرادة المعبّرة عن ضمير الأمة على أساس ثوابت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أوجبت تلك الإرادة تدخّل الفقيه في الأمور العامة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ما تجاوزت الأمة حدودها وانحرفت إرادتها في اختيار نظام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يميل إلى النظريات البديلة عن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متى ما تحققت عند زوال المانع من إقامتها كانت لها الصدارة في قيادة الأمة 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ما تقدم من مبانٍ للنظريات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عدد من الأدلة التي توجب تقدم النظريات البديلة على نظرية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والعمومات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وأوفوا بالعقود</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وأوفوا بالعهد إن العهد كان مسؤولا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الإطلاقات والعمومات الفوقانية توجب على المسلم الوفاء بالشرط بمقتضى العقد الاجتماعي إلا ما خالف كتاب الله عز وجلّ أو 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في نظرية إرادة الأمة كما مر الإيعاز إليه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يحكم بوجوب حفظ النظام وقبح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تحقيق هذا الغرض حتى على أساس النظريات غير الشرعية فضلا عن نظرية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شرعية لمَن لا شرعية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الفقيه غير ثابتة عند مَن يقول بكفاية أدلة </w:t>
      </w:r>
    </w:p>
    <w:p>
      <w:pPr>
        <w:pStyle w:val="BookText"/>
        <w:rPr/>
      </w:pPr>
      <w:r>
        <w:rPr>
          <w:rFonts w:ascii="IRNazanin" w:hAnsi="IRNazanin" w:eastAsia="IRNazanin"/>
          <w:color w:val="111111"/>
          <w:sz w:val="28"/>
          <w:sz w:val="28"/>
          <w:szCs w:val="28"/>
          <w:rtl w:val="true"/>
          <w:lang w:bidi="fa-IR"/>
        </w:rPr>
        <w:t>الولاية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ويعضد هذا الدليل اللابدية العقلية المروية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أمير برّ أو فاجر</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ومفادها أن العقل العملي مثلا حكم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يحق لأحد التصرف به إلا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الأولى أن تكون له السلطة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لأحد أن يحدّ من حرياته إلا إذا كان هناك تفويض من قبله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التفويض هو الانتخاب نفسه الذي أشارت إليه النظريات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ليس التزاحم المصطلح بين واجبين يعجز عن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قيام دستور يحكم البلاد تكون له الأولوية في إدارة شؤون حكم الدولة وقيامها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يزاحم قيام دولة يحكم فيها المستبد ويكون أهلها عرضة لمطامع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الثانوية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كتقديم المرجوح على الراجح أو تقديم الفاسد على الأفسد وغيرها من العناوين المبتنية على المصالح الناشئة عن الظروف الجديدة في إعطاء الأمة حقها الدستوري لتقرير ما يحقق لها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السلطة في عصر الغيبة كما يظهر من ثنايا نظرية ولاية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أباح الميرزا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الحق الدستوري حتى مع افتراض المغصوبية لمقام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الغيبة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الأخذ بنظرية الشورى أو ولاية وإرادة الإنسان على نفسه والتنازل عن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إعمال هذه الولاية لجهات خارجية يوجب على الأمة </w:t>
      </w:r>
    </w:p>
    <w:p>
      <w:pPr>
        <w:pStyle w:val="BookText"/>
        <w:rPr/>
      </w:pPr>
      <w:r>
        <w:rPr>
          <w:rFonts w:ascii="Amiri" w:hAnsi="Amiri" w:eastAsia="Amiri" w:cs="Amiri"/>
          <w:color w:val="111111"/>
          <w:sz w:val="28"/>
          <w:sz w:val="28"/>
          <w:szCs w:val="28"/>
          <w:rtl w:val="true"/>
          <w:lang w:bidi="ar-SA"/>
        </w:rPr>
        <w:t>العمل بها ما دام لم يكن هناك نص خاص خلاف ما تقدم من نظريات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للأمة صلاحية ممارسة أمورﻫا عن طريق الشورى ما لم يرد نص خاص خلاف ذلك</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فيصح الأخذ بمبدأ الشورى عند الإمامية خصوصاً بعد ما ميّزوا بين عصر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وعصر الاجتهاد</w:t>
      </w:r>
      <w:r>
        <w:rPr>
          <w:rFonts w:eastAsia="IRNazanin" w:cs="IRNazanin"/>
          <w:color w:val="111111"/>
          <w:sz w:val="28"/>
          <w:szCs w:val="28"/>
          <w:rtl w:val="true"/>
          <w:lang w:bidi="fa-IR"/>
        </w:rPr>
        <w:t xml:space="preserve">. </w:t>
      </w:r>
      <w:bookmarkStart w:id="31" w:name="pg9067_79622"/>
    </w:p>
    <w:p>
      <w:pPr>
        <w:pStyle w:val="Heading3"/>
        <w:numPr>
          <w:ilvl w:val="2"/>
          <w:numId w:val="1"/>
        </w:numPr>
        <w:rPr/>
      </w:pPr>
      <w:bookmarkStart w:id="32" w:name="__RefHeading___Toc2464876_2870459653"/>
      <w:bookmarkStart w:id="33" w:name="_Toc10"/>
      <w:bookmarkEnd w:id="31"/>
      <w:bookmarkEnd w:id="32"/>
      <w:r>
        <w:rPr>
          <w:rtl w:val="true"/>
        </w:rPr>
        <w:t>المبحث الثاني</w:t>
      </w:r>
      <w:bookmarkEnd w:id="33"/>
    </w:p>
    <w:p>
      <w:pPr>
        <w:pStyle w:val="BookText"/>
        <w:rPr/>
      </w:pPr>
      <w:r>
        <w:rPr>
          <w:rFonts w:ascii="Amiri" w:hAnsi="Amiri" w:eastAsia="Amiri" w:cs="Amiri"/>
          <w:color w:val="111111"/>
          <w:sz w:val="28"/>
          <w:sz w:val="28"/>
          <w:szCs w:val="28"/>
          <w:rtl w:val="true"/>
          <w:lang w:bidi="ar-SA"/>
        </w:rPr>
        <w:t xml:space="preserve">أدلة شرعية إقامة المجالس النيابية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فرض تمكين الحاكم بالانتخاب وغيره للنظم السياسية المعاصرة وإضفاء الصفة الشرعية لتوليه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بالأخير يعكس مشروعية السلطات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السلطة النيابية المتولّدة عن التمثيل النيابي بالانتخاب لإدارة شؤون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يمكن الاستدلال على أصل مشروعية إنشاء المجالس النيابية أو قيامها بدليل شرعي أو عقلي أو عُرفي بما يفرضه واقع التجربة الميدانية خلال مسيرة الأمم وقد أمضاه الشارع المقدس وهذا ما يجيب عليه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أثبتنا مشروعية المجالس النيابية والبرلمان بالتفويض ممّن كان لهم الحق في التفويض للغير في الحكم وصحة الالتزام بين الناخبين والمنتخبين ونفوذه حتى في عرض القول بولاية الفقيه العامة ووجود الدليل عليها ولكن في حال عدم القدرة على إقامتها لأسباب خارجية قاهرة أو عدم ثبوت أصل الولاية العامة للفقيه وقصور الأدلة عن إثباتها أو إثبات مجلس فقهاء منتخب يقع الكلام في أدلة شرعية إقامة تلك المجالس وصحة تصرفاتها وتشريعاتها الملزمة والتي تكون موضوعا لأحكام شرعية بعدم جواز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والاطلاقات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امنوا أوفوا بالعقود</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وأوفوا بالعهد إن العهد كان مسؤولا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 الدلالة فيهما أن الله سبحانه وتعالى أمر بالوفاء بالعقود والعهود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كلمتان عامتان تشملان كل عقد مسمّى أو غير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بالوفاء دليل على مشروعيتهما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شرط شَرَطه الإنسان على نفسه في شيء يفعله في المستقبل يلزم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والتعامل مع إنشاء المجالس النيابية وقيامها بواسطة نوابها يمكننا ومن خلال تلك العمومات الفوقانية الإلزام والالتزام بموجبها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شطر من الكلام حول الاستدلال بالآية في المبحث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الدخول في مجالس النواب يمكن أن يكون من باب ما لأفراد المجتمع من دور فعال وكبير في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عيني</w:t>
      </w:r>
      <w:r>
        <w:rPr>
          <w:rStyle w:val="FootnoteAnchor"/>
          <w:rtl w:val="true"/>
        </w:rPr>
        <w:footnoteReference w:id="4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مراتبه يوجب على كل فرد يشعر بأن هذا الواجب ملقى في عاتقه التصدي والامتثال له في موارده كنتم خير امة أخرجت للناس تأمرون بالمعروف وتنهون عن المنكر</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تلك الموارد الدخول في تلك المجالس من باب أداء الوظيفة العامة في رقابة الأمة على الشأن العام السياسي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الرقابة وظيفة عامة كفائية بأدلة الأمر بالمعروف والنهي عن المنكر لمنع استبداد الحاكم والقوى 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وإصدار القوانين الجائرة والمخالفة لتعاليم الدين والدستور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دخول الجميع متعذراً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النيابة عنهم للبعض في توليف شؤون الأمة وتوكيلهم في ما أقرّ الدستور لما لهم من أعمال وصلاحيات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فتخير لهم المكنة على إتيان هذا العمل على أساس إحياء هذه الشعيرة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والتمكين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عند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الحاوي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مكنته وتمكنت منه فتمكن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القدرة على التمكين – المكنة– فالآية الكريمة المتقدمة لا توجب الاختصاص بالحاكم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بالحكم يختص بجميع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علماء الأصول من أن الوصف لا مفهوم 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فالتقييد بالمكنة وحصره بالحاكم السياسي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وجوبية وعينية</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الأمر بالمعروف والنهي عن المنكر مع عدم وجود الحاكم العادل على كل فرد من الأفراد المكلفين ولكن يؤدى بقدر الاستطاعة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والنظرية الإسلامية للأمر بالمعروف والنهي عن المنكر قائمة على أساس أن الحق واحد والعدل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أساس التعددية في رغبات الناس وميولهم ومصالحهم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الأحكام تابعة للمصالح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يختار الإنسان الأشياء على خلاف مصلحته ومصلحة الجماعة إذا كانت رغبته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قضية تحريم الخمر في أمريكا من سنة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حرّم الكونغرس الأمريكي الخمر بقرار؛ لأن مصلحة </w:t>
      </w:r>
    </w:p>
    <w:p>
      <w:pPr>
        <w:pStyle w:val="BookText"/>
        <w:rPr/>
      </w:pPr>
      <w:r>
        <w:rPr>
          <w:rFonts w:ascii="Amiri" w:hAnsi="Amiri" w:eastAsia="Amiri" w:cs="Amiri"/>
          <w:color w:val="111111"/>
          <w:sz w:val="28"/>
          <w:sz w:val="28"/>
          <w:szCs w:val="28"/>
          <w:rtl w:val="true"/>
          <w:lang w:bidi="ar-SA"/>
        </w:rPr>
        <w:t xml:space="preserve">الحكومة والناس أن لا يتناولوا الخمر واستمر التحريم حتى سنة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تبيّن أن القرار بعد تلك المدة على خلاف إرادة الناس ورغباتهم اتخذ الكونغرس مرة أخرى قرارا بإلغاء التحريم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جوّز الفقهاء المشاركة مع السلطان العادل على نحو الاستحباب أو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 الأمر من قبل 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بالمعروف والناهي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الواضع الأشياء ومواضعها جائز 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بلغ حدّ الوجوب لما في ذلك من التمكين من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الأشياء مواضعها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لهذا الوجه بعدة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لحاكمية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العقلاء</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شبهة في تحريم التولي والتصدي للأمور من قبل 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الارتباط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صيرورته واليا على قوم منصوبا من قبله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الرتبة من الولاية حكم الفقهاء بالجملة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وبلا خلاف</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عن غير واحد دعوى الإجماع عليه</w:t>
      </w:r>
      <w:r>
        <w:rPr>
          <w:rStyle w:val="FootnoteAnchor"/>
          <w:rtl w:val="true"/>
        </w:rPr>
        <w:footnoteReference w:id="6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إعانة للظالم موجبة لتقويته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وإعلاء لشانه </w:t>
      </w:r>
    </w:p>
    <w:p>
      <w:pPr>
        <w:pStyle w:val="BookText"/>
        <w:rPr/>
      </w:pPr>
      <w:r>
        <w:rPr>
          <w:rFonts w:ascii="Amiri" w:hAnsi="Amiri" w:eastAsia="Amiri" w:cs="Amiri"/>
          <w:color w:val="111111"/>
          <w:sz w:val="28"/>
          <w:sz w:val="28"/>
          <w:szCs w:val="28"/>
          <w:rtl w:val="true"/>
          <w:lang w:bidi="ar-SA"/>
        </w:rPr>
        <w:t>وشوكته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فوضوحه يكمن في أن الظلم مثلما هو في حدّ ذاته قبيح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فتقوية الظالم قبيحة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فمن الكتاب فقد وردت عدَّة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الكشاف أن النهي الوارد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متناول للانحطاط في هواهم والاندفاع إليهم ومصاحبتهم ومجالستهم وزيارتهم ومداهنتهم والرضا بأعمالهم والتشبّه بهم والتزيّن بزيهم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العين إلى زهرتهم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بما فيه تعظيم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قوله ولا تركنوا فإن الركون هو الميل اليسير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الذين وجد منهم الظلم ولم يقل إلى الظالمين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الركون إلى الشيء هو السكون إليه بالمحبة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والإنصات إليه ونقيضه النفور عنه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الواردة في المقام فكثيرة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عقد صاحب الوسائل لها باباً خاصا في أبواب ما يكتسب به</w:t>
      </w:r>
      <w:r>
        <w:rPr>
          <w:rStyle w:val="FootnoteAnchor"/>
          <w:rtl w:val="true"/>
        </w:rPr>
        <w:footnoteReference w:id="64"/>
      </w:r>
      <w:r>
        <w:rPr>
          <w:rFonts w:ascii="Amiri" w:hAnsi="Amiri" w:eastAsia="Amiri" w:cs="Amiri"/>
          <w:color w:val="111111"/>
          <w:sz w:val="28"/>
          <w:sz w:val="28"/>
          <w:szCs w:val="28"/>
          <w:rtl w:val="true"/>
          <w:lang w:bidi="ar-SA"/>
        </w:rPr>
        <w:t>وهي مسألة الولاية من قبل الجائر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سليمان الجعفري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أعمال السلطان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الدخول في أعمالهم والعون لهم والسعي في حوائجهم </w:t>
      </w:r>
    </w:p>
    <w:p>
      <w:pPr>
        <w:pStyle w:val="BookText"/>
        <w:rPr/>
      </w:pPr>
      <w:r>
        <w:rPr>
          <w:rFonts w:ascii="Amiri" w:hAnsi="Amiri" w:eastAsia="Amiri" w:cs="Amiri"/>
          <w:color w:val="111111"/>
          <w:sz w:val="28"/>
          <w:sz w:val="28"/>
          <w:szCs w:val="28"/>
          <w:rtl w:val="true"/>
          <w:lang w:bidi="ar-SA"/>
        </w:rPr>
        <w:t>عديل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إليهم على العمد من الكبائر التي يستحق بها النار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السكوني عن جعفر بن محمد عن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أعوان الظلمة ؟ ومن لاق بهم دواة أو ربط كيساً أو مدّ لهم مدة قلم فاحشروهم معهم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وبالمقابل هناك من الروايات الدالة والحاثة في بعض الأحيان على جواز التولي للمؤمنين من قبل السلطان وإن كان جائراً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قيّدت بشروط تكفلتها طوائف من الروايات منها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من دون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الجواز بشرط إذن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دخالة النية والقصد في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بشرط الاحتجاز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في صورة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بشرط الاتقاء من أموال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بشرط نفع المؤمنين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بشرط كون القصد هو إدخال المكروه على عدوهم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الطوائف من الروايات المعتمدة مع غيرها تدل على جواز الولاية من قبل 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في مقام محاكمة الروايات متناً وسنداً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تفاصيل تلك الولاية وشروطها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نحن بصدد تصحيح عمل المجالس بنية الأمر بالمعروف ودفع الفساد والمنكر مع ملاحظة جميع الأقوال في شرعية قيام الدولة مع غياب الفقيه 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على تقدير كون مثل هذه الدولة جائرة بالاصطلاح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أوجد الفقهاء صيغة جمع بين تلك الروايات المانعة والمجوّزة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المجوّزة أو تصحيحها في حالتين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الدخول للقيام بمصالح المؤمنين وعدم ارتكاب ما يخالف الشرع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ذلك ما ذكره جماعة</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من توقف الأمر بالمعروف والنهي عن المنكر في الوسط العام على التوالي والاستمرار وهي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تبارك وتعالى مع السلطان أولياء يدفع بهم عن أوليائه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عمل السلطان قضاء حوائج الإخوان</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زياد بن أبي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إنك لتعمل عند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لي مروءة وعليّ عيال وليس وراء ظهري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لئن </w:t>
      </w:r>
    </w:p>
    <w:p>
      <w:pPr>
        <w:pStyle w:val="BookText"/>
        <w:rPr/>
      </w:pPr>
      <w:r>
        <w:rPr>
          <w:rFonts w:ascii="Amiri" w:hAnsi="Amiri" w:eastAsia="Amiri" w:cs="Amiri"/>
          <w:color w:val="111111"/>
          <w:sz w:val="28"/>
          <w:sz w:val="28"/>
          <w:szCs w:val="28"/>
          <w:rtl w:val="true"/>
          <w:lang w:bidi="ar-SA"/>
        </w:rPr>
        <w:t>أسقط من حالق فأتقطع قطعة قطعة أحب إليّ من أن أتولى لأحد منهم عملا أو أطأ بساط رجل منهم إلا لماذا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لتفريج كربة عن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فك 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قضاء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 أهون ما يصنع الله عز وجل بمن تولّى لهم عملا أن يضرب عليه سرادق من نار إلى أن يفرغ الله من حساب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فإن وليت شيئا من أعمالهم فأحسن إلى إخوانك فواحدة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أيّما رجل منكم تولى لأحد منهم عملا ثم ساوى بينكم وبينه فقولوا له أنت منتحل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مقدرتك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مقدرة الله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ونفاد ما أتيت إليهم عنهم وبقاء ما أبقيت إليهم عليك</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الدخول مع الإكراه والتقية وعدم ترتب مفسدة مع الترك أهم من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 تلك الحالتين أوجد الفقهاء أوجه جمع بين الأخبار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صاحب مفتاح الكرامة في معرض جمعه لتلك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أقساماً ثلاثة للجمع اشتمل القسم الثالث على وجهين من تلك الطوائف من الأخبار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قصد له إلا محض فعل الخير أما ليقوم بما لزمه من إقامة الأحكام التي نصب لها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فقيها أو ليتمكن من الأمر بالمعروف والنهي عن المنكر لأنهما واجبان عليه إذا لم يكن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غرض له غير ذلك من مال أو جاه أو لولده أو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المراد من أخبار هذا القسم انه بفعل ذلك كله مع الاضطرار إلى الدخول في عملهم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هذين الوجهين يحمل دخول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w:t>
      </w:r>
    </w:p>
    <w:p>
      <w:pPr>
        <w:pStyle w:val="BookText"/>
        <w:rPr/>
      </w:pPr>
      <w:r>
        <w:rPr>
          <w:rFonts w:ascii="Amiri" w:hAnsi="Amiri" w:eastAsia="Amiri" w:cs="Amiri"/>
          <w:color w:val="111111"/>
          <w:sz w:val="28"/>
          <w:sz w:val="28"/>
          <w:szCs w:val="28"/>
          <w:rtl w:val="true"/>
          <w:lang w:bidi="ar-SA"/>
        </w:rPr>
        <w:t>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والنجاشي وكذلك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والخواجة نصير الدين الطوسي وابنه أصيل الدين والمحقق الثاني والبهائي والمجلسي ونحوهم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بحسب حاله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وأيدّ هذا الجمع أيضاً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صاحب الجواهر جمعاً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والأحسن منه الجمع بحمل نصوص المنع على الولاية على المحرمات أو الممزوجة بالحرام والحلال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الجواز على الولاية على المباح كجباية الخراج ونحوه مما جوز الشارع معاملة الجائر فيه معاملة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نصوص الترغيب فعلى الدخول للأمر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أنفس المؤمنين وأموالهم وأعراضهم وإدخال السرور عليهم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من جملة الأسباب في حفظ كيان الشيعة وتقويته هي اتصال مجموعة من رجال الشيعة بجبابرة زمانهم والدخول في أعمالهم وقبول المناصب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تقلّدهم للوزارة وتصديهم لأمور الدولة لم يكن كله بدون إذن ورضا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فقد تقلّد الوزارة من قبل السفاح أول ملوك بني العباس أبو سلمة الخلال الكوفي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محمد بن إسماعيل بن بزيع من قبل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يقطين وجعفر بن محمد بن أشعث الخزاعي من قبل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الفضل بن سهل ذو الرئاستين وأخوه وزيرين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بن محمود الاسكافي وزيراً للمعتز والمهتدي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وتصدى للوزارة من جانب المعتصم آخر ملوك بني العباس أبو طالب محمد بن </w:t>
      </w:r>
    </w:p>
    <w:p>
      <w:pPr>
        <w:pStyle w:val="BookText"/>
        <w:rPr/>
      </w:pPr>
      <w:r>
        <w:rPr>
          <w:rFonts w:ascii="Amiri" w:hAnsi="Amiri" w:eastAsia="Amiri" w:cs="Amiri"/>
          <w:color w:val="111111"/>
          <w:sz w:val="28"/>
          <w:sz w:val="28"/>
          <w:szCs w:val="28"/>
          <w:rtl w:val="true"/>
          <w:lang w:bidi="ar-SA"/>
        </w:rPr>
        <w:t>أحمد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وتقلد هو منصب الوزارة بعد انقراض العباسيين لهولاكو المغولي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الكشي في ترجمة محمد بن إسماعيل بن يزيع عن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لله تعالى بأبواب الظالمين من نور الله به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ومكّن له في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ليدفع بهم عن أوليائه ويصلح الله تعالى به أمور المسلمين لأنهم صلحاء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المؤمنون حقا أمناء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نور الله في رعيتهم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يزهر نورهم لأهل السماوات كما تزهر الكواكب الزهرية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من نورهم نور القيامة تضيء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خلقوا والله 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وخلقت الجنة لهم فهنيئا لهم ما على أحدكم أن لو شاء لنال هذا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بماذا جعلني الله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معهم فيسروا بإدخال السرور على المؤمنين من شيعتنا فكن منهم يا محمد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منهم مَن تقلّد الإمارة أو الكتابة أو الخزانة كإمارة آل أبي فراس الشيباني وإمارة عبد الله النجاشي على الأهواز وفارس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وقيادة طاهر بن الحسين الخزاعي وأولاده من جانب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 الله بن سنان خازنا للمنصور والهادي للمهدي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ثقات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مسألة تسلّم منصب أو وظيفة نائب في المجالس البرلمانية أمر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تتشكل المجالس النيابية لغرض إدارة شؤون الأمة بعد عدم تصدي الحاكم الشرعي لسبب أو لآخر من باب الأمر بالمعروف والنهي عن المنكر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عدول المؤمنين أو 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استفادة تشكيل المجالس النيابية من باب وصول النوبة بالولاية إلى ولاية عدول المؤمنين من بعد عدم </w:t>
      </w:r>
    </w:p>
    <w:p>
      <w:pPr>
        <w:pStyle w:val="BookText"/>
        <w:rPr/>
      </w:pPr>
      <w:r>
        <w:rPr>
          <w:rFonts w:ascii="Amiri" w:hAnsi="Amiri" w:eastAsia="Amiri" w:cs="Amiri"/>
          <w:color w:val="111111"/>
          <w:sz w:val="28"/>
          <w:sz w:val="28"/>
          <w:szCs w:val="28"/>
          <w:rtl w:val="true"/>
          <w:lang w:bidi="ar-SA"/>
        </w:rPr>
        <w:t>تصدي الولي الشرعي أو الحاكم لتلك المهمة إلى ولاية عدول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أصحابنا ولم 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أمره إلى قاضي الكوفة فصير عبد الحميد القيم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خلف ورثة صغاراً ومتاعاً وجواري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عبد الحميد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بيع الجواري ضعف قلبه عن بيعهن إذ لم يكن الميت صير إليه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قيامه فيها بأمر القاضي لأنهن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يوصي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ويخلف جواري فيقيم القاضي رجلا منا فيبيعهن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 منا فيضعف قلبه لأنهن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القيم به مثلك ومثل عبد الحميد</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استغرب كونه هو واستبعد كونه ابن سالم، معللاً بان أبا جعفر هو 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سالم من أصحاب الامام الصادق والكاظم، ولم يدرك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باتحاد الاسم وأنه من أصحاب الكاظم والرضا أن عبد الحميد ليس راوياً عن الجواد حتى يلزم كونه حياً، وإنما الراوي ابن بزيغ فلا تعارض بالرواية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أن جو الرواية يوحي بالانتقال الترتيبي إلى القاضي المنصوب من قبل الحاكم الرسمي للعباسيين وليس من قبل ولي الفقيه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تكن له اليد المبسوطة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الولاية متضمنة للوثاقة والأمانة وذلك من خلال كلام</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بزيغ بعدم البأس إذا كان القيام بهذه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لمثلك أو مثل عبد الحميد يحتمل منه أن القيم مثلك عدة احتمالات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التماثل في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الفقاهة لكون محمد بن إسماعيل بن بزيغ من الفقهاء ومن مشايخ ابن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إلى الأول لأن القيام بهذه المهمة أحد طرق الأمر بالمعروف والنهي عن المنكر ولا يثبت ذلك لمن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الإيمان بالمعنى الأعم أو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سبيل إلى الثاني العدالة بمعناها الاصطلاحي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 على أساس ذلك المعنى يوقف الكثير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لا يساعد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الثالث لعدم اعتبار الفقاهة مجردة عن غيرها العدالة أو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الاحتمال الأخير وأن المراد من المثلية هو المثلية في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يرى أن المراد بتلك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والوثوق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هذا المعنى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دليل على تعيين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والمنساق العُرفي من الوثاقة والأمانة وإتيان العمل على طبق الوظيفة الشرعية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ذلك صحيحة علي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بيني وبينه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وترك أولاداً صغاراً وترك مماليك وله غلمان وجواري ولم يوصِ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ترى في من يشتري منهم الجارية يتخذها أم ولد ؟ ما ترى في بيعهم؟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لهم ولياً يقوم بأمرهم باع عليهم ونظر لهم وكان مأجوراً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من يشتري منهم الجارية فيتخذها أم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أنفذ ذلك القيم لهم الناظر في 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أن يرجعوا في ما صنع القيم لهم الناظر في ما يصلحهم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فالصحيحة تحدد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 في 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 وظيفته الشرعية كفاية الوثاقة والأمانة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تدل على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زرعة</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فعليه تكون الرواية موثقة لأنه لا اشكال في وثاقة زرعة وسماعة وحجية روايتهما بناءً على الصحيح مِنْ حجيَّة خبر الثقة وان لم يكن عدلاً، واما بناءً على اختصاص الحجية بخبر العادل فربما يتوهم عدم حجية الرواية من جهة وقف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وله بنون وبنات صغار وكبار من غير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خدم ومماليك وعقد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كيف يصنع الورثة بقسمة ذلك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ثقة قاسمهم ذلك كله فلا باس</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الموثقة تدل صراحة على كفاية الوثاقة والأمانة في تصرف المتصدي لتلك الأعمال وهو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فتتشكل مجالس النواب من ثقات الأمة لحل قضاياها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الأفسد بالفاسد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وبهذه الأولوية يمكن تصحيح عمل المجالس النيابية التشريعية ضمن مقارنة بين أفضلية الحكم الدستوري بالحكم الاستبدادي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الدرجة الكسبية للحكم الدستوري الفساد عند مقارنته بحكومة الأنبياء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حكومة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تدل عليه الآيات في ضمن مجموعات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المجموعة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تنص على وجوب إطاعة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يطع الله ورسوله يدخله جنات تجري من تحتها الأنهار ومن يتولّ يعذبه عذاباً أليماً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التي توبّخ وتحذّر الذين يسلكون طريق عصيان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يعصِ الله ورسوله ويتعدّ حدوده يدخلهناراً خالداً فيها وله عذاب مهين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التي تصرح بأن قضاء النبي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وإطاعته أمر واجب في ظل حكومته وقضائه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مقارنتها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الحكومة الدستورية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امنوا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دلّت مصادر علماء الشيعة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الاثنا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علي وأبناؤه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وبالإضافة إلى مفاد الآية فقد وردت آيات وروايات كثيرة في تفسير الآية كلها تثبت أن هذا التفسير نحو آية التصدق بالخاتم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والروايات التي توافر عليها صاحب الميزان في تفسيره</w:t>
      </w:r>
      <w:r>
        <w:rPr>
          <w:rStyle w:val="FootnoteAnchor"/>
          <w:rtl w:val="true"/>
        </w:rPr>
        <w:footnoteReference w:id="89"/>
      </w:r>
      <w:r>
        <w:rPr>
          <w:rFonts w:ascii="Amiri" w:hAnsi="Amiri" w:eastAsia="Amiri" w:cs="Amiri"/>
          <w:color w:val="111111"/>
          <w:sz w:val="28"/>
          <w:sz w:val="28"/>
          <w:szCs w:val="28"/>
          <w:rtl w:val="true"/>
          <w:lang w:bidi="ar-SA"/>
        </w:rPr>
        <w:t>والدالة على الولاية بمعنى الرئاسة والتصرف والقيادة المادية والمعنوية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والأفسد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الحكومة الدستورية – حكومة الطواغيت والاستعباد والاستبداد المبني على الهوى والتحكم الشخصي في السلطة حيث يكون البديل الأفضل من حكومة الاستبداد هي الحكومة الدستورية المبنية على حلّ معضلة مشروعية الحاكم من خلال إيجاد دستور يحدد وظائف السلطان وكيفية إقامتها وعدم التدخل في غير ما يحدده الدستور إليه من 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إنشاء هيأة مراقبة تراقب وتحاسب عمل السلطان عند انحرافه عن جادة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نبّه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الفاسد بالأفسد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كلامه عن الظالم أو المستبد باعتلائه منصب الحكم حيث تكون المغصوبية لذلك المقام وفق منظورين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مقام الإمامة حسب التصور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المنصب الرئاسي لا يشغله إلا إمام أو نائب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حقوق الآخرين وعدم إطلاق حرية الآخرين في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وإبداء الرأي ربما يحقق العدالة بين الناس بينما في ظل الحكومة الدستورية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الغصبية لمقام الإمامة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وغاية ما يمكن إيجاده ونهاية ما يمكن تصوره اطراده كبديل بشري طبيعي عن تلك العصمة العاصمة – حتى مع مغصوبية المقام – هو حل يكون بمثابة المجاز عن تلك الحقيقة وظل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ويتوقف الحل على أمرين</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إيجاد دستور وأحكام المراقبة والمحاسبة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استفادة تشكيل المجالس النيابية وشرعية ممارسة أعضائها من خلال أدلة الأمور الحسبية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والحسبة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عُلم إرادة وجوده في الخارج شرعاً من غير موجد معين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التعريف لا يراد منه المعروف الذي كان متعلقاً بالواجبات والمستحبات والمحرمات أو ما يتعلق بقضايا الأشخاص</w:t>
      </w:r>
      <w:r>
        <w:rPr>
          <w:rStyle w:val="FootnoteAnchor"/>
          <w:rtl w:val="true"/>
        </w:rPr>
        <w:footnoteReference w:id="9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قبيل القاصرين باليتم </w:t>
      </w:r>
    </w:p>
    <w:p>
      <w:pPr>
        <w:pStyle w:val="BookText"/>
        <w:rPr/>
      </w:pPr>
      <w:r>
        <w:rPr>
          <w:rFonts w:ascii="Amiri" w:hAnsi="Amiri" w:eastAsia="Amiri" w:cs="Amiri"/>
          <w:color w:val="111111"/>
          <w:sz w:val="28"/>
          <w:sz w:val="28"/>
          <w:szCs w:val="28"/>
          <w:rtl w:val="true"/>
          <w:lang w:bidi="ar-SA"/>
        </w:rPr>
        <w:t>أو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دلّت أدلة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خاصة أوجبته ووجهت المكلف إلى تلك الأمور بل المعروف المراد به في هذا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التي يتوقف عليها انتظام حياة الجماعة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يعم أثرها إذا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 ضرر فقدانها ولم يتوجه التكليف بها إلى شخص معين أو جماعة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كلّف بالقيام لها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فقد القادرون والمؤهلون لوجب إعدادهم وتأهيلهم من باب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وجوب حفظ النظام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التكليف الموجه إلى الفرد أو الجماعة قائم حتى مع وجود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تطبيقه معلّق لأنه هو الحكم السياسي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عصر الغيبة والقول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أن ولاية الأمة على نفسها توجب للإنسان عادلا كان أم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الحسبة التدخل في ما يتعلق بقضايا النظام العام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الولايات الأصلية غير المتفرعة عن ولاية أحد إماماً كان أو فقيهاً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الحسبة شاملة لكل مورد فيه إيجاد للمعروف بمعناه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درجة تصل النوبة إليها مع تعذّر الحاكم العادل على رأس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موجوداً ولكن يتعذّر الوصول إليه حتى يرجع إليه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والحسبة ثابتة مواردها بالكتاب والسنة والإجماع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الكتاب فالعمومات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وأحسنوا إن الله يحب المحسنين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على المحسنين من سبيل</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التصدي من قبل نواب الأمة على أن عملهم هذا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السنة فما دلّت عليه روايات الأمر بالمعروف والنهي عن المنكر فتكون الحسبة داخلة تحت عنوان الأمر بالمعروف والنهي عن المنكر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مشروعية الحسبة قد دلّ عليها الإجماع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المحصّل والمنقول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وبضرورة العقل الحاكم بوجوب حفظ النظام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تكون الحسبة مشروعاً آخر لتشكيل المجالس النيابية على غرارها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المحتسب هل يكون من أهل الاجتهاد الشرعي أو العُرفي؟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أهل الاجتهاد العُرفي دون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الاجتهاد الشرعي ما روعي فيه أصل ثابت ثبت حكمه بالشرع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والاجتهاد العُرفي ما ثبت حكمه بالعُرف لقوله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خذ العفو وأمر بالعُرف</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الماوردي عن عمل المحتسب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منصوب لإزالتها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واختصاصها بمعروف بيّن هو مندوب إلى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الحسبة إلزام الحقوق والمعونة على استيفائها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 استطاع الميرزا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الحسبة التأسيس لمشروعية السلطة في عصر الغيبة إضافة إلى سلطتها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عدّ الحسبة من الواجبات الكفائية التي لا تسقط في أي حال حتى لو لم يتمكن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نائباً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أو عدم قيامه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عناصرها المهمة مثل حفظ نظام الأمة وحفظ بيضة الإسلام فإن هذه واجبات لا تسقط عن بقية المسلمين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أهم ما يمكن الاستدلال به لمشروعية إقامة المجالس النيابية من غير الفقهاء بالأدلة العامة بعد أن كان هذا النظام مستحدثاً في أنظمة بناء الدولة الحديثة</w:t>
      </w:r>
      <w:r>
        <w:rPr>
          <w:rFonts w:eastAsia="Amiri" w:cs="Amiri" w:ascii="Amiri" w:hAnsi="Amiri"/>
          <w:color w:val="111111"/>
          <w:sz w:val="28"/>
          <w:szCs w:val="28"/>
          <w:rtl w:val="true"/>
          <w:lang w:bidi="ar-SA"/>
        </w:rPr>
        <w:t xml:space="preserve">. </w:t>
      </w:r>
      <w:bookmarkStart w:id="34" w:name="pg9067_79641"/>
    </w:p>
    <w:p>
      <w:pPr>
        <w:pStyle w:val="Heading3"/>
        <w:numPr>
          <w:ilvl w:val="2"/>
          <w:numId w:val="1"/>
        </w:numPr>
        <w:rPr/>
      </w:pPr>
      <w:bookmarkStart w:id="35" w:name="__RefHeading___Toc2464878_2870459653"/>
      <w:bookmarkStart w:id="36" w:name="_Toc11"/>
      <w:bookmarkEnd w:id="34"/>
      <w:bookmarkEnd w:id="35"/>
      <w:r>
        <w:rPr>
          <w:rtl w:val="true"/>
        </w:rPr>
        <w:t>المصادر</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الحاجبية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الخراساني، مجمع البحوث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السلطانية والولايات الدينية، علي بن محمد بن حبيب الماوردي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الحكومة الاسلامية، السيد كاظم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يقود الحياة،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الهدى الدولية للنشر، ايران،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ابي جعفر محمد بن يعقوب بن اسحاق الرازي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 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واتمام النعمة، 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 بقم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الصادق، طهران،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ابي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مكتب الاعلام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التقريرات الأصولية لسماحة السيد محمد باقر السيستاني دامت إفاداته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الأمّة وتنزيه الملّة،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الحسن ال نجف،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 نجف، مطبعة سبهى،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الاجتهاد والتقليد، تقريرات بحث آية الله العظمى السيد ابو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في شرح المقنعة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وازاحة الاشتباهات عن الطرق والاسناد، الشيخ محمد بن علي الاردبيلي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المرعشي النجفي، قم المقدسة،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والسياسة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مصباح يزدي، 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روح الله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الكركي، المحقق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الحسون،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الطبعة الاولى،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الامامة،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الزهرة الخطيب، مطبعة شريعت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الاسلام في مسائل الحلال والحرام، المحقق 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محمد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مركز الابحاث والدراسات الاسلامية،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الاعلام الاسلامي،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الطهراني، الطبعة الاولى،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ابراهيم، دار احياء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الاجتماع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قم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القانوني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موريس نحلة، روسي البلجيكي، صلاح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الحلبي 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معالم القربة في احكام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احمد القرشي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محمود شعبان واحمد المطبعي، المطبعة المصرية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وعيون الاقاويل في وجوه التأويل، جار الله محمود الزمخشري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مصطفى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جمال الدين محمد بن مكرم ابن منظور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 في احكام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محمد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مؤسسة النشر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ابي القاسم الحسين بن محمد الراغب الأصفهاني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الكتاب، قم،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مقاربات استدلالية في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الامير زاهد، دار الضياء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 الطبعة الاولى، 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الاسلاميين واختلاف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اسماعيل الاشعري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نشر فرانز ستانيز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قيسبادان،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السيد روح الله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اسماعيليان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الشيخ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الحكيم واحمد الماحوزي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الشيخ محمد السند، دار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الاحكام في بيان الحلال والحرام، السيد عبد الاعلى السبزواري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عن 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العراقية، حامد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الحسبة في الاسلام بين التنظير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نصار، مطبعة دار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والادارة في الاسلام، الشيخ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المؤسسة الدولية للدراسات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الحكم في الفقه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لكديفر، ترجمة دار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الدولة الاسلامية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كتاب المنهاج مجموعة من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والسياسة، الغدير للطباعة والنشر،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قدس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الامام علي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الشيخ محمد عبده مطبعة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في تحصيل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 العامة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جميل العاملي، مطبعة مركز العترة للدراسات والبحوث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37" w:name="pg9067_79647"/>
    </w:p>
    <w:p>
      <w:pPr>
        <w:pStyle w:val="Heading2"/>
        <w:numPr>
          <w:ilvl w:val="1"/>
          <w:numId w:val="1"/>
        </w:numPr>
        <w:rPr/>
      </w:pPr>
      <w:bookmarkStart w:id="38" w:name="__RefHeading___Toc2464880_2870459653"/>
      <w:bookmarkStart w:id="39" w:name="_Toc12"/>
      <w:bookmarkEnd w:id="37"/>
      <w:bookmarkEnd w:id="38"/>
      <w:r>
        <w:rPr>
          <w:rtl w:val="true"/>
        </w:rPr>
        <w:t>القتل العمد بين الفقه الإسلامي وقانون العقوبات العراقي</w:t>
      </w:r>
      <w:r>
        <w:rPr>
          <w:rtl w:val="true"/>
        </w:rPr>
        <w:t>(</w:t>
      </w:r>
      <w:r>
        <w:rPr>
          <w:rtl w:val="true"/>
        </w:rPr>
        <w:t>الحلقة الأولى</w:t>
      </w:r>
      <w:r>
        <w:rPr>
          <w:rtl w:val="true"/>
        </w:rPr>
        <w:t xml:space="preserve">) - </w:t>
      </w:r>
      <w:r>
        <w:rPr>
          <w:rtl w:val="true"/>
        </w:rPr>
        <w:t>الشيخ يحيى السعداوي</w:t>
      </w:r>
      <w:bookmarkEnd w:id="39"/>
    </w:p>
    <w:p>
      <w:pPr>
        <w:pStyle w:val="Heading3"/>
        <w:numPr>
          <w:ilvl w:val="2"/>
          <w:numId w:val="1"/>
        </w:numPr>
        <w:rPr/>
      </w:pPr>
      <w:bookmarkStart w:id="40" w:name="__RefHeading___Toc2464882_2870459653"/>
      <w:bookmarkStart w:id="41" w:name="_Toc13"/>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دراسة مقارنة بين المذاهب الفقهية الإسلامية وقانون العقوبات العراقي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تُعرّفنا بالتشريع الجنائي الإسلامي ومدى مواكبته مع المستحدثات ووقائع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مدى ارتكاز قانون العقوبات العراقي عليه أو مفارقته بالكامل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ويتضح من خلالها إنْ كان قانون العقوبات العراقي قد جعل التشريع الجنائي الإسلامي مصدراً اساسياً في تشريعاته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مطابقاً لما نص عليه الدستور العراقي الجديد في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9067_79649"/>
      <w:bookmarkStart w:id="43" w:name="pg9067_79649"/>
      <w:bookmarkEnd w:id="43"/>
    </w:p>
    <w:p>
      <w:pPr>
        <w:pStyle w:val="BookText"/>
        <w:rPr/>
      </w:pPr>
      <w:bookmarkStart w:id="44" w:name="pg9067_79649"/>
      <w:bookmarkEnd w:id="44"/>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5" w:name="__RefHeading___Toc2464884_2870459653"/>
      <w:bookmarkStart w:id="46" w:name="_Toc14"/>
      <w:bookmarkEnd w:id="45"/>
      <w:r>
        <w:rPr>
          <w:rtl w:val="true"/>
        </w:rPr>
        <w:t>المقدمة</w:t>
      </w:r>
      <w:bookmarkEnd w:id="46"/>
    </w:p>
    <w:p>
      <w:pPr>
        <w:pStyle w:val="BookText"/>
        <w:rPr/>
      </w:pPr>
      <w:r>
        <w:rPr>
          <w:rFonts w:ascii="IRNazanin" w:hAnsi="IRNazanin" w:eastAsia="IRNazanin"/>
          <w:color w:val="111111"/>
          <w:sz w:val="28"/>
          <w:sz w:val="28"/>
          <w:szCs w:val="28"/>
          <w:rtl w:val="true"/>
          <w:lang w:bidi="fa-IR"/>
        </w:rPr>
        <w:t>الحمد لله الذي أنار للمؤمنين سبل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 الصالحين للسير على منهاج شريعته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والسلام على أفضل سفرائه وخاتم أنبيائه وأشرف بريته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أجزلوا من أنوارهم بإكمال الدين بالشريعة الإسلامية السمحاء التي شرعت للفرد المسلم كلّ ما يحتاج إليه في عباداته ومعاملاته وسائر تروكه وأفعاله برؤية إسلامية لتحقيق السعادتين الدنيوية والأخروية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فاختص علم الفقه بتشريع الأحكام لجميع ما يحتاج إليه الإنسان حتى أصبح الفقه أبوابا عديدة ومتنوعة من العبادات لتنظيم علاقة الفرد بربِّه والمعاملات لتنظيم علاقة الفرد بغيره بالعقود والإيقاعات والحدود والديات لتنظيم المجتمع وفرض العقوبات على من خالف وارتكب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كنت أدرس الجزء التاسع من اللمعة الدمشقية في الحوزة العلمية في كتاب الحدود والديات رأيت أن هذا الكتاب يصلح أن يكون قانونا ينظم شؤون المجتمع الإسلامي ويحد من ارتكاب الجرائم الخطيرة التي تحصل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فرض عقوبات قاسية على مرتكبيها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يحتاج بعض اللمسات الفنية القانونية لإخراجه بما يتلائم ومصطلحات القانون الحديث ويواكب التطور الحاصل في المجتمعات العصرية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وغيره انقدح في نفسي حدساً أن الممازجة والتركيب والمقارنة بين </w:t>
      </w:r>
    </w:p>
    <w:p>
      <w:pPr>
        <w:pStyle w:val="BookText"/>
        <w:rPr/>
      </w:pPr>
      <w:r>
        <w:rPr>
          <w:rFonts w:ascii="Amiri" w:hAnsi="Amiri" w:eastAsia="Amiri" w:cs="Amiri"/>
          <w:color w:val="111111"/>
          <w:sz w:val="28"/>
          <w:sz w:val="28"/>
          <w:szCs w:val="28"/>
          <w:rtl w:val="true"/>
          <w:lang w:bidi="ar-SA"/>
        </w:rPr>
        <w:t>الدراستين يمكن أن يكون تشريعا اسلامياً إن لم يكن أفضل من التشريعات التي بين أيدينا فهو مساوق لها بالإضافة إلى كونه خطوة متقدمة ورصيداً حضارياً للعلوم الإسلامية وغير منقول من العلوم الأخرى ولا مستنداً إلى شرائع أُخَر غريبة عن المسلمين بل إنه يرتكز على الشريعة الإسلامية الموحاة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أيضاً خطوة إلى الأمام لمن أراد البحث والتطوير في جنبة من جنبات الفقه الإسلامي مهمة في الدراسات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أقدم الجرائم التي ارتكبها الإنسان حيث ارتكبها قابيل ضد أخيه هابيل منذ بدء الخليقة وهو من أبشع الكبائر في جميع الشرائع السماوية والوضعية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القاتل قديماً عرضة للعقوبات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رؤاها من حيث تحديد جريمته وما يستحق من القصاص، سواء كان ذلك في الشريعة الإسلامية أم في ما تقدمها كشريعة حمو رابي أو الشرائع الفرعونية أو القانون الروماني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فاختياري 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دراسة مقارنة بين المذاهب الفقهية الإسلامية وقانون العقوبات العراقي ما هو إلا مثال لما ذكرته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يمكن أن يعرّفنا بالتشريع الجنائي الإسلامي ومدى مواكبته مع المستحدثات ووقائع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مدى ارتكاز قانون العقوبات العراقي عليه أو مفارقته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يتضح من خلاله إنْ كان قانون العقوبات العراقي قد جعل التشريع الجنائي الإسلامي مصدراً اساسياً في تشريعاته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مطابقاً لما نص عليه الدستور العراقي الجديد في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ضمّنته من خلال تمهيد وثلاثة فصول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فصل يتكون من ثلاثة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والمباحث تتضمّن موضوعات على النحو 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وضّحت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وشرعاً وقانوناً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وشرعاً وقانوناً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وشرعاً وقانوناً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المذاهب الفقهية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قانون العقوبات العراقي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المذاهب الفقهية الإسلامية وقانون العقوبات العراقي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فيها النتائج التي توصلتُ إليها من خلال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وسيجد القاريء في هذا العدد من المجلة الحلقة الأولى من ثلاث حلقات قسّمتُ البحثَ بفصوله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 إخواني الباحثين إلى الإهتمام ببحثي وتطويره إلى ما يسدّ به كلّ خلّة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وأعتذر إلى الله تعالى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أساتذتي في الفقه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تقصيرٍ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واللهَ سبحانه وتعالى أسأل أنْ أكون قد وُفقتُ في بحثي هذا مِنْ تحقيق الغاية المرجوة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تعالى أن يبارك لي في هذا المجهود المتواضع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يخرجني من ظلمات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ويدخلني في نور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 علينا بظهور محيي الشريعة قائم العصر والزمان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 بهداه شتاتنا ويوحّد مذاهبنا ويؤلف بين قلوبنا فننتصر على أعداء الله أعدائنا أعداء الإنسانية إنه اللطيف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47" w:name="pg9067_79652"/>
    </w:p>
    <w:p>
      <w:pPr>
        <w:pStyle w:val="Heading3"/>
        <w:numPr>
          <w:ilvl w:val="2"/>
          <w:numId w:val="1"/>
        </w:numPr>
        <w:rPr/>
      </w:pPr>
      <w:bookmarkStart w:id="48" w:name="__RefHeading___Toc2464886_2870459653"/>
      <w:bookmarkStart w:id="49" w:name="_Toc15"/>
      <w:bookmarkEnd w:id="47"/>
      <w:bookmarkEnd w:id="48"/>
      <w:r>
        <w:rPr>
          <w:rtl w:val="true"/>
        </w:rPr>
        <w:t>التمهيد</w:t>
      </w:r>
      <w:bookmarkEnd w:id="49"/>
    </w:p>
    <w:p>
      <w:pPr>
        <w:pStyle w:val="Heading4"/>
        <w:numPr>
          <w:ilvl w:val="3"/>
          <w:numId w:val="1"/>
        </w:numPr>
        <w:rPr/>
      </w:pPr>
      <w:bookmarkStart w:id="50" w:name="__RefHeading___Toc2464888_2870459653"/>
      <w:bookmarkStart w:id="51" w:name="_Toc16"/>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الدراسات المقارنة عادة ما تنقّح المصطلحات قبل الخوض في غمار المسائل وتحقيقها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لأهميته في التفريق بينها وكشف حقيقتها ودقة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بحثنا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الإسلامي وقانون العقوبات العراقي نحتاج إلى معرفة المقصود منه عند كلا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ليتسنى لنا دراستهما والمقارنة بوضوح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سوف نبحث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واصلاحاً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نبحث عن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الفريقين تمهيداً للخوض في مسائله وموضوعاته وأنواعه وتقسيماته</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464890_2870459653"/>
      <w:bookmarkStart w:id="53" w:name="_Toc17"/>
      <w:bookmarkEnd w:id="52"/>
      <w:r>
        <w:rPr>
          <w:rtl w:val="true"/>
        </w:rPr>
        <w:t>أولاً</w:t>
      </w:r>
      <w:r>
        <w:rPr>
          <w:rtl w:val="true"/>
        </w:rPr>
        <w:t>: (</w:t>
      </w:r>
      <w:r>
        <w:rPr>
          <w:rtl w:val="true"/>
        </w:rPr>
        <w:t>القتل</w:t>
      </w:r>
      <w:r>
        <w:rPr>
          <w:rtl w:val="true"/>
        </w:rPr>
        <w:t xml:space="preserve">) </w:t>
      </w:r>
      <w:r>
        <w:rPr>
          <w:rtl w:val="true"/>
        </w:rPr>
        <w:t>لغة واصطلاحاً</w:t>
      </w:r>
      <w:bookmarkEnd w:id="53"/>
    </w:p>
    <w:p>
      <w:pPr>
        <w:pStyle w:val="Heading5"/>
        <w:numPr>
          <w:ilvl w:val="4"/>
          <w:numId w:val="1"/>
        </w:numPr>
        <w:rPr/>
      </w:pPr>
      <w:bookmarkStart w:id="54" w:name="__RefHeading___Toc2464892_2870459653"/>
      <w:bookmarkStart w:id="55" w:name="_Toc18"/>
      <w:bookmarkEnd w:id="54"/>
      <w:r>
        <w:rPr/>
        <w:t>1</w:t>
      </w:r>
      <w:r>
        <w:rPr>
          <w:rtl w:val="true"/>
        </w:rPr>
        <w:t xml:space="preserve">- </w:t>
      </w:r>
      <w:r>
        <w:rPr>
          <w:rtl w:val="true"/>
        </w:rPr>
        <w:t xml:space="preserve">القتل </w:t>
      </w:r>
      <w:r>
        <w:rPr>
          <w:rtl w:val="true"/>
        </w:rPr>
        <w:t>(</w:t>
      </w:r>
      <w:r>
        <w:rPr>
          <w:rtl w:val="true"/>
        </w:rPr>
        <w:t>لغة</w:t>
      </w:r>
      <w:r>
        <w:rPr>
          <w:rtl w:val="true"/>
        </w:rPr>
        <w:t>)</w:t>
      </w:r>
      <w:bookmarkEnd w:id="55"/>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معروف</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قتله قتلاً وتقتالاً وقتله قتلة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قتول بعينيها رمتك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الغواني القاتلات عيونها</w:t>
      </w:r>
    </w:p>
    <w:p>
      <w:pPr>
        <w:pStyle w:val="BookText"/>
        <w:rPr/>
      </w:pPr>
      <w:r>
        <w:rPr>
          <w:rFonts w:ascii="Amiri" w:hAnsi="Amiri" w:eastAsia="Amiri" w:cs="Amiri"/>
          <w:color w:val="111111"/>
          <w:sz w:val="28"/>
          <w:sz w:val="28"/>
          <w:szCs w:val="28"/>
          <w:rtl w:val="true"/>
          <w:lang w:bidi="ar-SA"/>
        </w:rPr>
        <w:t>والموت أعم من القتل؛ لأنه أحد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ما بحتف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مفارقة الروح للجسد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هو خلافه وسبب منه</w:t>
      </w:r>
      <w:r>
        <w:rPr>
          <w:rFonts w:eastAsia="Amiri" w:cs="Amiri" w:ascii="Amiri" w:hAnsi="Amiri"/>
          <w:color w:val="111111"/>
          <w:sz w:val="28"/>
          <w:szCs w:val="28"/>
          <w:rtl w:val="true"/>
          <w:lang w:bidi="ar-SA"/>
        </w:rPr>
        <w:t xml:space="preserve">. </w:t>
      </w:r>
      <w:bookmarkStart w:id="56" w:name="pg9067_79653"/>
    </w:p>
    <w:p>
      <w:pPr>
        <w:pStyle w:val="BookText"/>
        <w:rPr/>
      </w:pPr>
      <w:bookmarkEnd w:id="56"/>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وتقتالاً أماته فهو قاتل والجمع قاتلون وقَتَلة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وقتال يقال قتل بأخيه أي قتله منتقماً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زهقت نفسه تزهق زهوقاً أي خرجت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قتله أذا أماته بضرب أو حجر أو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معروف</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قَتَله يقتله قَتْلاً وتَقتالاً</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464894_2870459653"/>
      <w:bookmarkStart w:id="58" w:name="_Toc19"/>
      <w:bookmarkEnd w:id="57"/>
      <w:r>
        <w:rPr/>
        <w:t>2</w:t>
      </w:r>
      <w:r>
        <w:rPr>
          <w:rtl w:val="true"/>
        </w:rPr>
        <w:t xml:space="preserve">- </w:t>
      </w:r>
      <w:r>
        <w:rPr>
          <w:rtl w:val="true"/>
        </w:rPr>
        <w:t xml:space="preserve">القتل </w:t>
      </w:r>
      <w:r>
        <w:rPr>
          <w:rtl w:val="true"/>
        </w:rPr>
        <w:t>(</w:t>
      </w:r>
      <w:r>
        <w:rPr>
          <w:rtl w:val="true"/>
        </w:rPr>
        <w:t>اصطلاحاً</w:t>
      </w:r>
      <w:r>
        <w:rPr>
          <w:rtl w:val="true"/>
        </w:rPr>
        <w:t>)</w:t>
      </w:r>
      <w:bookmarkEnd w:id="58"/>
    </w:p>
    <w:p>
      <w:pPr>
        <w:pStyle w:val="BookText"/>
        <w:rPr/>
      </w:pPr>
      <w:r>
        <w:rPr>
          <w:rFonts w:ascii="Amiri" w:hAnsi="Amiri" w:eastAsia="Amiri" w:cs="Amiri"/>
          <w:color w:val="111111"/>
          <w:sz w:val="28"/>
          <w:sz w:val="28"/>
          <w:szCs w:val="28"/>
          <w:rtl w:val="true"/>
          <w:lang w:bidi="ar-SA"/>
        </w:rPr>
        <w:t xml:space="preserve">القتل في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 الفقهي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نبحث في المصطلحين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في المصطلح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الإمامي الجعفري يذهب إلى أن القتل هو إزهاق الروح</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ويصدق على إزهاق النفس الإنسانية عند قتل إنسان أو إزهاق النفس الحيوانية عند قتل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إزهاق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إخراجها من ما تعلّقت به وهو البدن؛ لأن النفس تتعلّق بالبدن تعلق تدبير أي تدبّر أموره جميعها فهي كلّ القوى الموجودة في البدن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بقية المذاهب فالظاهر أن القتل عندهم هو إفاضة النفس سواء عند مالك أم غيره من أئمة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تعريفهم للقتل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يضربه حتى تفيض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إفاضة النفس وإزهاق الروح يؤديان نفس المعنى في الاصطلاح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فن المعقول اختلافٌ بين معنى النفس ومعنى الروح بالدقة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المشهور أيضاً عندهم هو أن النفس والروح بمعنى واحد والاختلاف بينهما 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الفقهاء فإنهما بنفس المعنى؛ وذلك لأنهم يعبّرون بالنفس أو بالروح ويقصدون الموجود المعنوي الذي بخروجه يفقد البدن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منه الروح أو النفس؛ وذلك لأن معنى الإفاضة والإزهاق هو الخروج كما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وزهقت نفسُه تزهق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خرجت</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وزهقت نفسه تزهق زهوقاً وزهقت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وزهقت هلكت والمزْهِق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والمزْهَقُ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w:t>
      </w:r>
      <w:r>
        <w:rPr>
          <w:rStyle w:val="FootnoteAnchor"/>
          <w:rtl w:val="true"/>
        </w:rPr>
        <w:footnoteReference w:id="107"/>
      </w:r>
      <w:r>
        <w:rPr>
          <w:rFonts w:ascii="Amiri" w:hAnsi="Amiri" w:eastAsia="Amiri" w:cs="Amiri"/>
          <w:color w:val="111111"/>
          <w:sz w:val="28"/>
          <w:sz w:val="28"/>
          <w:szCs w:val="28"/>
          <w:rtl w:val="true"/>
          <w:lang w:bidi="ar-SA"/>
        </w:rPr>
        <w:t>وفاض الرجل يفيضُ فيضاً وفيوضاً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وكذلك فاضت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خرجت روحه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وفاضت نفسه تفيض فيضاً خرجت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نعرف أنه لا فرق بين قول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إزهاق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بقية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الازهاق والإفاضة في اللغة هو الخروج، ومعنى النفس والروح في فن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الموجود مع وجود فارق عند بعضهم</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w:t>
      </w:r>
    </w:p>
    <w:p>
      <w:pPr>
        <w:pStyle w:val="BookText"/>
        <w:rPr/>
      </w:pPr>
      <w:r>
        <w:rPr>
          <w:rFonts w:ascii="Amiri" w:hAnsi="Amiri" w:eastAsia="Amiri" w:cs="Amiri"/>
          <w:color w:val="111111"/>
          <w:sz w:val="28"/>
          <w:sz w:val="28"/>
          <w:szCs w:val="28"/>
          <w:rtl w:val="true"/>
          <w:lang w:bidi="ar-SA"/>
        </w:rPr>
        <w:t xml:space="preserve">هنا نريد ما هو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عند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فالتعريفان يؤديان نفس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نرى بعضهم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الإسلامية وهو هنا ناظر إلى المذاهب الأربعة مع قطع النظر عن المذهب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ناظر 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القتل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إزهاق روح آدمي بفعل آدمي آخر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الطائفتين هو إزهاق الروح كما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في اصطلاح القانون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قانون العقوبات العراقي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وتعديلاته لم يُشِر إلى معنى القتل وما المقصود به عندهم إلا أن الأمر ليس فيه صعوبة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قانون العقوبات لم يبيّن نوع هذا الفعل ولم يحدد صفاته فهو إذاً قد يكون فعلاً أو امتناعاً لا نعلم ذلك؛ لأن القانون العراقي ساكت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غير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بوسيلته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لو رجعنا إلى شرّاح قانون العقوبات العراقي أو غيره لوجدناهم يعبّرون عن القتل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إزهاق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بعضهم الإجماع على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يكفي في قصد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إزهاق الروح هو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فالإقدام على الفعل مع العلم اليقين بأنه يرتب النتيجة إزهاق الروح</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فالإجماع على أن كل إزهاق لروح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قتلاً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59" w:name="pg9067_79656"/>
    </w:p>
    <w:p>
      <w:pPr>
        <w:pStyle w:val="BookText"/>
        <w:rPr/>
      </w:pPr>
      <w:bookmarkEnd w:id="59"/>
      <w:r>
        <w:rPr>
          <w:rFonts w:ascii="Amiri" w:hAnsi="Amiri" w:eastAsia="Amiri" w:cs="Amiri"/>
          <w:color w:val="111111"/>
          <w:sz w:val="28"/>
          <w:sz w:val="28"/>
          <w:szCs w:val="28"/>
          <w:rtl w:val="true"/>
          <w:lang w:bidi="ar-SA"/>
        </w:rPr>
        <w:t>ويقول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عن القَتْل كفَعْل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إزهاق للروح</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نعرف أن القتل في المصطلح القانوني 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إزهاق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يصطلح عليه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متطابق لغة وشرعاً وقانوناً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464896_2870459653"/>
      <w:bookmarkStart w:id="61" w:name="_Toc20"/>
      <w:bookmarkEnd w:id="60"/>
      <w:r>
        <w:rPr>
          <w:rtl w:val="true"/>
        </w:rPr>
        <w:t>ثانياً</w:t>
      </w:r>
      <w:r>
        <w:rPr>
          <w:rtl w:val="true"/>
        </w:rPr>
        <w:t>: (</w:t>
      </w:r>
      <w:r>
        <w:rPr>
          <w:rtl w:val="true"/>
        </w:rPr>
        <w:t>العمد</w:t>
      </w:r>
      <w:r>
        <w:rPr>
          <w:rtl w:val="true"/>
        </w:rPr>
        <w:t xml:space="preserve">) </w:t>
      </w:r>
      <w:r>
        <w:rPr>
          <w:rtl w:val="true"/>
        </w:rPr>
        <w:t>لغة واصطلاحاً</w:t>
      </w:r>
      <w:bookmarkEnd w:id="61"/>
    </w:p>
    <w:p>
      <w:pPr>
        <w:pStyle w:val="Heading5"/>
        <w:numPr>
          <w:ilvl w:val="4"/>
          <w:numId w:val="1"/>
        </w:numPr>
        <w:rPr/>
      </w:pPr>
      <w:bookmarkStart w:id="62" w:name="__RefHeading___Toc2464898_2870459653"/>
      <w:bookmarkStart w:id="63" w:name="_Toc21"/>
      <w:bookmarkEnd w:id="62"/>
      <w:r>
        <w:rPr/>
        <w:t>1</w:t>
      </w:r>
      <w:r>
        <w:rPr>
          <w:rtl w:val="true"/>
        </w:rPr>
        <w:t xml:space="preserve">- </w:t>
      </w:r>
      <w:r>
        <w:rPr>
          <w:rtl w:val="true"/>
        </w:rPr>
        <w:t xml:space="preserve">العمد </w:t>
      </w:r>
      <w:r>
        <w:rPr>
          <w:rtl w:val="true"/>
        </w:rPr>
        <w:t>(</w:t>
      </w:r>
      <w:r>
        <w:rPr>
          <w:rtl w:val="true"/>
        </w:rPr>
        <w:t>لغة</w:t>
      </w:r>
      <w:r>
        <w:rPr>
          <w:rtl w:val="true"/>
        </w:rPr>
        <w:t>)</w:t>
      </w:r>
      <w:bookmarkEnd w:id="63"/>
    </w:p>
    <w:p>
      <w:pPr>
        <w:pStyle w:val="BookText"/>
        <w:rPr/>
      </w:pPr>
      <w:r>
        <w:rPr>
          <w:rFonts w:ascii="Amiri" w:hAnsi="Amiri" w:eastAsia="Amiri" w:cs="Amiri"/>
          <w:color w:val="111111"/>
          <w:sz w:val="28"/>
          <w:sz w:val="28"/>
          <w:szCs w:val="28"/>
          <w:rtl w:val="true"/>
          <w:lang w:bidi="ar-SA"/>
        </w:rPr>
        <w:t>وعمدت للشيء أعمده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نقيض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ذلك عمداً على عين وعمد عين أي بجد ويقين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 في اللغة هو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هو استقامة الطريق فهو قاصد</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2464900_2870459653"/>
      <w:bookmarkStart w:id="65" w:name="_Toc22"/>
      <w:bookmarkEnd w:id="64"/>
      <w:r>
        <w:rPr/>
        <w:t>2</w:t>
      </w:r>
      <w:r>
        <w:rPr>
          <w:rtl w:val="true"/>
        </w:rPr>
        <w:t xml:space="preserve">- </w:t>
      </w:r>
      <w:r>
        <w:rPr>
          <w:rtl w:val="true"/>
        </w:rPr>
        <w:t xml:space="preserve">العمد </w:t>
      </w:r>
      <w:r>
        <w:rPr>
          <w:rtl w:val="true"/>
        </w:rPr>
        <w:t>(</w:t>
      </w:r>
      <w:r>
        <w:rPr>
          <w:rtl w:val="true"/>
        </w:rPr>
        <w:t>اصطلاحاً</w:t>
      </w:r>
      <w:r>
        <w:rPr>
          <w:rtl w:val="true"/>
        </w:rPr>
        <w:t>)</w:t>
      </w:r>
      <w:bookmarkEnd w:id="65"/>
    </w:p>
    <w:p>
      <w:pPr>
        <w:pStyle w:val="Heading6"/>
        <w:numPr>
          <w:ilvl w:val="5"/>
          <w:numId w:val="1"/>
        </w:numPr>
        <w:rPr/>
      </w:pPr>
      <w:bookmarkStart w:id="66" w:name="__RefHeading___Toc2464902_2870459653"/>
      <w:bookmarkStart w:id="67" w:name="_Toc23"/>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وهو أيضاً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المصطلح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في المصطلح القانوني</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2464904_2870459653"/>
      <w:bookmarkStart w:id="69" w:name="_Toc24"/>
      <w:bookmarkEnd w:id="68"/>
      <w:r>
        <w:rPr>
          <w:rtl w:val="true"/>
        </w:rPr>
        <w:t>أ</w:t>
      </w:r>
      <w:r>
        <w:rPr>
          <w:rtl w:val="true"/>
        </w:rPr>
        <w:t xml:space="preserve">- </w:t>
      </w:r>
      <w:r>
        <w:rPr>
          <w:rtl w:val="true"/>
        </w:rPr>
        <w:t>العمد في المصطلح الفقهي</w:t>
      </w:r>
      <w:bookmarkEnd w:id="69"/>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نقول بأن العمد عندهم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البالغ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كلٍ من هذه التعاريف فريق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اللمعة الدمشقية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بقصد البالغ</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يتحقق العمد بقصد البالغ العاقل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والفريق الأوفق للغة هو ما ذهب إليه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أن العمد هو القصد من دون اعتبار 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والعاقل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صدر من البالغ أم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المجنون أم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يصدر من 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كونهما غير مشمولين بالقصاص فهذا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هنا نبحث عن معنى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العمد الموجب للقصاص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فمع قطع النظر عن القصاص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لأجل القصاص وإخراج 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إنهما غير مشمولين بالقصاص لأن عمدهما وخطأهما واحد؛ لما ورد عن أمير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جعل عمد المجنون وخطأه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خبر إسماعيل 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محمداً بن أبي بكر كتب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رجل مجنون قتل رجلاً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الدية على قومه وجعل خطأه وعمده سواء</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ورد عن </w:t>
      </w:r>
      <w:bookmarkStart w:id="70" w:name="pg9067_79658"/>
    </w:p>
    <w:p>
      <w:pPr>
        <w:pStyle w:val="BookText"/>
        <w:rPr/>
      </w:pPr>
      <w:bookmarkEnd w:id="70"/>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ابن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الصبي وخطؤه واحد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غض النظرعن كونه موجباً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p>
    <w:p>
      <w:pPr>
        <w:pStyle w:val="BookText"/>
        <w:rPr/>
      </w:pPr>
      <w:r>
        <w:rPr>
          <w:rFonts w:ascii="Amiri" w:hAnsi="Amiri" w:eastAsia="Amiri" w:cs="Amiri"/>
          <w:color w:val="111111"/>
          <w:sz w:val="28"/>
          <w:sz w:val="28"/>
          <w:szCs w:val="28"/>
          <w:rtl w:val="true"/>
          <w:lang w:bidi="ar-SA"/>
        </w:rPr>
        <w:t xml:space="preserve">بعض الإمامية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يوافق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اللغة</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2464906_2870459653"/>
      <w:bookmarkStart w:id="72" w:name="_Toc25"/>
      <w:bookmarkEnd w:id="71"/>
      <w:r>
        <w:rPr>
          <w:rtl w:val="true"/>
        </w:rPr>
        <w:t>ب</w:t>
      </w:r>
      <w:r>
        <w:rPr>
          <w:rtl w:val="true"/>
        </w:rPr>
        <w:t xml:space="preserve">- </w:t>
      </w:r>
      <w:r>
        <w:rPr>
          <w:rtl w:val="true"/>
        </w:rPr>
        <w:t>العمد في المصطلح القانوني</w:t>
      </w:r>
      <w:bookmarkEnd w:id="72"/>
    </w:p>
    <w:p>
      <w:pPr>
        <w:pStyle w:val="BookText"/>
        <w:rPr/>
      </w:pPr>
      <w:r>
        <w:rPr>
          <w:rFonts w:ascii="Amiri" w:hAnsi="Amiri" w:eastAsia="Amiri" w:cs="Amiri"/>
          <w:color w:val="111111"/>
          <w:sz w:val="28"/>
          <w:sz w:val="28"/>
          <w:szCs w:val="28"/>
          <w:rtl w:val="true"/>
          <w:lang w:bidi="ar-SA"/>
        </w:rPr>
        <w:t xml:space="preserve">قانون العقوبات العراقي لم يذكر نصاً خاصاً بمعنى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نصوصه ولكنه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عقوبات</w:t>
      </w:r>
      <w:r>
        <w:rPr>
          <w:rStyle w:val="FootnoteAnchor"/>
          <w:rtl w:val="true"/>
        </w:rPr>
        <w:footnoteReference w:id="124"/>
      </w:r>
      <w:r>
        <w:rPr>
          <w:rFonts w:ascii="Amiri" w:hAnsi="Amiri" w:eastAsia="Amiri" w:cs="Amiri"/>
          <w:color w:val="111111"/>
          <w:sz w:val="28"/>
          <w:sz w:val="28"/>
          <w:szCs w:val="28"/>
          <w:rtl w:val="true"/>
          <w:lang w:bidi="ar-SA"/>
        </w:rPr>
        <w:t>عَرّف القصد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الجرمي هو الركن الأساسي والمعنوي للقتل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فالقصد الجرمي هو الذي يحدد كون هذا القتل عمداً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القصد الجرمي تحقق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يمكن استفادة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تعريف القصد الجرمي والقصد الجنائي الذي يعدّ هو المدار في كون الجريمة عمدية أو لا؟</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توجيه الفاعل إرادته إلى ارتكاب الفعل المكون للجريمة هادفاً إلى نتيجة الجريمة التي وقعت أو أية نتيجة جرمية أخرى</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القصد الجنائي الذي هو القصد الجرمي لا تعريف له إلا ما ذكرته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عقوبات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القصد الجنائي ينقسم إلى عام وخاص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هو إرادة السلوك الإجرامي ونتيجته والعلم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العناصر هي التي يتقوّم بها العمد في </w:t>
      </w:r>
    </w:p>
    <w:p>
      <w:pPr>
        <w:pStyle w:val="BookText"/>
        <w:rPr/>
      </w:pPr>
      <w:r>
        <w:rPr>
          <w:rFonts w:ascii="Amiri" w:hAnsi="Amiri" w:eastAsia="Amiri" w:cs="Amiri"/>
          <w:color w:val="111111"/>
          <w:sz w:val="28"/>
          <w:sz w:val="28"/>
          <w:szCs w:val="28"/>
          <w:rtl w:val="true"/>
          <w:lang w:bidi="ar-SA"/>
        </w:rPr>
        <w:t>الجرائم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وبتوفر هذه العناصر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إرادة السلوك الإجرامي ونتيجته والعلم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القصد الجنائي العام وهو العمد في جرائم العمد سواء القتل أم الضرب أم الجرح أم هتك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توفر هذه العناصر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تتوفر هذه العناصر لا يتحقق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فالقصد الجنائي العام هو العمد</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الجنائي هو القصد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فتعريف القصد الجرمي هو تعريف للعمد ولكن ليس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العمد الذي يصدق عليه في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الجريمة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جنائياً أم جرمياً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استنتاج ذلك من خلال تعريفات القانون العراقي لأقسام وأنواع القصد حيث ذكر في المادة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الإصرار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ويتحقق سبق الإصرار سواء كان قصد الفاعل من الجريمة موجهاً إلى شخص معين أو إلى أي شخص غير معين وجده أو صادفه وسواء كان ذلك القصد معلقاً على حدوث أمر أو موقوفاً على شرط</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ويعرّفه قانون العقوبات العراقي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التفكير المصمم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يتوقف تحقق سبق الإصرار على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يعرّفون القصد البسيط بأنه اتجاه إرادة الجاني إلى ارتكاب الواقعة المحرمة مع علمه بذلك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ترى أن قانون العقوبات العراقي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القصد قد </w:t>
      </w:r>
      <w:bookmarkStart w:id="73" w:name="pg9067_79660"/>
    </w:p>
    <w:p>
      <w:pPr>
        <w:pStyle w:val="BookText"/>
        <w:rPr/>
      </w:pPr>
      <w:bookmarkEnd w:id="73"/>
      <w:r>
        <w:rPr>
          <w:rFonts w:ascii="Amiri" w:hAnsi="Amiri" w:eastAsia="Amiri" w:cs="Amiri"/>
          <w:color w:val="111111"/>
          <w:sz w:val="28"/>
          <w:sz w:val="28"/>
          <w:szCs w:val="28"/>
          <w:rtl w:val="true"/>
          <w:lang w:bidi="ar-SA"/>
        </w:rPr>
        <w:t>يكون بسيطاً أو مقترناً بسبق الإصرار</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يمكن القول بأن قانون العقوبات العراقي مسلّم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يلجأ إلى 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سبق الإصرار والترصد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الجريمة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اللغة بحسب ما يظهر من تعريفات 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اللغة والفقه الإسلامي والقانون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 أو لا؟</w:t>
      </w:r>
    </w:p>
    <w:p>
      <w:pPr>
        <w:pStyle w:val="BookText"/>
        <w:rPr/>
      </w:pPr>
      <w:r>
        <w:rPr>
          <w:rFonts w:ascii="Amiri" w:hAnsi="Amiri" w:eastAsia="Amiri" w:cs="Amiri"/>
          <w:color w:val="111111"/>
          <w:sz w:val="28"/>
          <w:sz w:val="28"/>
          <w:szCs w:val="28"/>
          <w:rtl w:val="true"/>
          <w:lang w:bidi="ar-SA"/>
        </w:rPr>
        <w:t>سوف يأتي تفصيل ذلك في المبحث الآتي</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2464908_2870459653"/>
      <w:bookmarkStart w:id="75" w:name="_Toc26"/>
      <w:bookmarkEnd w:id="74"/>
      <w:r>
        <w:rPr>
          <w:rtl w:val="true"/>
        </w:rPr>
        <w:t>ثالثاً</w:t>
      </w:r>
      <w:r>
        <w:rPr>
          <w:rtl w:val="true"/>
        </w:rPr>
        <w:t>: (</w:t>
      </w:r>
      <w:r>
        <w:rPr>
          <w:rtl w:val="true"/>
        </w:rPr>
        <w:t>القتل العمد</w:t>
      </w:r>
      <w:r>
        <w:rPr>
          <w:rtl w:val="true"/>
        </w:rPr>
        <w:t xml:space="preserve">) </w:t>
      </w:r>
      <w:r>
        <w:rPr>
          <w:rtl w:val="true"/>
        </w:rPr>
        <w:t>لغة واصطلاحاً</w:t>
      </w:r>
      <w:bookmarkEnd w:id="75"/>
    </w:p>
    <w:p>
      <w:pPr>
        <w:pStyle w:val="Heading5"/>
        <w:numPr>
          <w:ilvl w:val="4"/>
          <w:numId w:val="1"/>
        </w:numPr>
        <w:rPr/>
      </w:pPr>
      <w:bookmarkStart w:id="76" w:name="__RefHeading___Toc2464910_2870459653"/>
      <w:bookmarkStart w:id="77" w:name="_Toc27"/>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المواضيع السابقة بيّنت لنا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والشرع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المقصود به عند الجميع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إزهاق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إفاضة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إخراجها مما تعلقت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بيّنا أنَّ المقصود من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اللغة و الشرع و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هو المقصود بذاته وإنما هو مقدمة للبحث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اقتران الكلمتين ليعطيا معنى واحداً ومقصوداً فارداً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معناهما مقترنين هو معناهما نفسه مفترقين أم أن معناهما يختلف عند اقترانهما أو انه في اللغة واحد وفي غيره مختلف أو انه كذلك؟</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فالبحث يعتمد على معرفة المقصود منهما مقترنتين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يترتب من </w:t>
      </w:r>
      <w:bookmarkStart w:id="78" w:name="pg9067_79661"/>
    </w:p>
    <w:p>
      <w:pPr>
        <w:pStyle w:val="BookText"/>
        <w:rPr/>
      </w:pPr>
      <w:bookmarkEnd w:id="78"/>
      <w:r>
        <w:rPr>
          <w:rFonts w:ascii="Amiri" w:hAnsi="Amiri" w:eastAsia="Amiri" w:cs="Amiri"/>
          <w:color w:val="111111"/>
          <w:sz w:val="28"/>
          <w:sz w:val="28"/>
          <w:szCs w:val="28"/>
          <w:rtl w:val="true"/>
          <w:lang w:bidi="ar-SA"/>
        </w:rPr>
        <w:t xml:space="preserve">القصاص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يشمله هذا المصطلح من مصاديق وما يصدق عليه من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يترتب عليه من عقوبات في قانون العقوبات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البحث الدقيق في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اللغة أم في الفقه أم في القانون إلا أننا سوف ندقق فيه من الناحية الفقهية والقانونية فحسب ليتسنى لنا المقارنة بينهما على نحو أوسع وعلى النحو الآتي</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464912_2870459653"/>
      <w:bookmarkStart w:id="80" w:name="_Toc28"/>
      <w:bookmarkEnd w:id="79"/>
      <w:r>
        <w:rPr/>
        <w:t>1</w:t>
      </w:r>
      <w:r>
        <w:rPr>
          <w:rtl w:val="true"/>
        </w:rPr>
        <w:t>- (</w:t>
      </w:r>
      <w:r>
        <w:rPr>
          <w:rtl w:val="true"/>
        </w:rPr>
        <w:t>القتل العمد</w:t>
      </w:r>
      <w:r>
        <w:rPr>
          <w:rtl w:val="true"/>
        </w:rPr>
        <w:t xml:space="preserve">) </w:t>
      </w:r>
      <w:r>
        <w:rPr>
          <w:rtl w:val="true"/>
        </w:rPr>
        <w:t>في اللغة</w:t>
      </w:r>
      <w:bookmarkEnd w:id="80"/>
    </w:p>
    <w:p>
      <w:pPr>
        <w:pStyle w:val="BookText"/>
        <w:rPr/>
      </w:pP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مقصوداً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فإزهاق الروح أو مفارقة الروح للجسد إذا كان مقصوداً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غير مقصود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إزهاق الروح بقصدٍ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صدر من بالغ أم صبي وسواء كان مجنوناً أم غافلاً وسواء كان بسبق الإصرار أم بدونه فهو قتل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إزهاق الروح بغير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بالغ أم صبي مجنون أم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هذه الأمور خارجة عن اختصاص اللغة</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2464914_2870459653"/>
      <w:bookmarkStart w:id="82" w:name="_Toc29"/>
      <w:bookmarkEnd w:id="81"/>
      <w:r>
        <w:rPr/>
        <w:t>2</w:t>
      </w:r>
      <w:r>
        <w:rPr>
          <w:rtl w:val="true"/>
        </w:rPr>
        <w:t>- (</w:t>
      </w:r>
      <w:r>
        <w:rPr>
          <w:rtl w:val="true"/>
        </w:rPr>
        <w:t>القتل العمد</w:t>
      </w:r>
      <w:r>
        <w:rPr>
          <w:rtl w:val="true"/>
        </w:rPr>
        <w:t xml:space="preserve">) </w:t>
      </w:r>
      <w:r>
        <w:rPr>
          <w:rtl w:val="true"/>
        </w:rPr>
        <w:t>في الاصطلاح الفقهي</w:t>
      </w:r>
      <w:bookmarkEnd w:id="82"/>
    </w:p>
    <w:p>
      <w:pPr>
        <w:pStyle w:val="Heading6"/>
        <w:numPr>
          <w:ilvl w:val="5"/>
          <w:numId w:val="1"/>
        </w:numPr>
        <w:rPr/>
      </w:pPr>
      <w:bookmarkStart w:id="83" w:name="__RefHeading___Toc2464916_2870459653"/>
      <w:bookmarkStart w:id="84" w:name="_Toc30"/>
      <w:bookmarkEnd w:id="83"/>
      <w:r>
        <w:rPr>
          <w:rtl w:val="true"/>
        </w:rPr>
        <w:t>اشارة</w:t>
      </w:r>
      <w:bookmarkEnd w:id="8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الإسلامي يختلف بحسب اختلاف المذاهب الفقهية الإسلامية في اجتهاداتها وأدلتها ورؤاها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لزاماً أن نتعرف على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أشهر المذاهب الفقهية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الإمامي والمالكي والحنفي والشافعي والحنبلي</w:t>
      </w:r>
      <w:r>
        <w:rPr>
          <w:rFonts w:eastAsia="Amiri" w:cs="Amiri" w:ascii="Amiri" w:hAnsi="Amiri"/>
          <w:color w:val="111111"/>
          <w:sz w:val="28"/>
          <w:szCs w:val="28"/>
          <w:rtl w:val="true"/>
          <w:lang w:bidi="ar-SA"/>
        </w:rPr>
        <w:t xml:space="preserve">, </w:t>
      </w:r>
      <w:bookmarkStart w:id="85" w:name="pg9067_79662"/>
    </w:p>
    <w:p>
      <w:pPr>
        <w:pStyle w:val="BookText"/>
        <w:rPr/>
      </w:pPr>
      <w:bookmarkEnd w:id="85"/>
      <w:r>
        <w:rPr>
          <w:rFonts w:ascii="Amiri" w:hAnsi="Amiri" w:eastAsia="Amiri" w:cs="Amiri"/>
          <w:color w:val="111111"/>
          <w:sz w:val="28"/>
          <w:sz w:val="28"/>
          <w:szCs w:val="28"/>
          <w:rtl w:val="true"/>
          <w:lang w:bidi="ar-SA"/>
        </w:rPr>
        <w:t>ونكتفي بذكر المقصود عند هؤلاء على أنهم يمثلون الفقه الإسلامي عند عامّة المسلمين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أنهم مرجع في الأحكام القضائية الإسلامية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يأتي</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2464918_2870459653"/>
      <w:bookmarkStart w:id="87" w:name="_Toc31"/>
      <w:bookmarkEnd w:id="86"/>
      <w:r>
        <w:rPr>
          <w:rtl w:val="true"/>
        </w:rPr>
        <w:t>أ</w:t>
      </w:r>
      <w:r>
        <w:rPr>
          <w:rtl w:val="true"/>
        </w:rPr>
        <w:t xml:space="preserve">- </w:t>
      </w:r>
      <w:r>
        <w:rPr>
          <w:rtl w:val="true"/>
        </w:rPr>
        <w:t>ما عند الإمامية</w:t>
      </w:r>
      <w:bookmarkEnd w:id="87"/>
    </w:p>
    <w:p>
      <w:pPr>
        <w:pStyle w:val="BookText"/>
        <w:rPr/>
      </w:pPr>
      <w:r>
        <w:rPr>
          <w:rFonts w:ascii="Amiri" w:hAnsi="Amiri" w:eastAsia="Amiri" w:cs="Amiri"/>
          <w:color w:val="111111"/>
          <w:sz w:val="28"/>
          <w:sz w:val="28"/>
          <w:szCs w:val="28"/>
          <w:rtl w:val="true"/>
          <w:lang w:bidi="ar-SA"/>
        </w:rPr>
        <w:t xml:space="preserve">الفقهاء في المذهب الإمامي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إزهاق النفس المعصومة المكافئة عمداً وعدواناً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التعريف المشهور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يذهب بعض آخر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قتل النفس المحترمة المكافئة عمداً وعدواناً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التعريفين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التعريف المشهور هو الأول يذكر تعريف القتل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التعريف الثاني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حينئذ بين التعريفين سواء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فكلاهما نفس المعنى؛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اللغة والفقه والقانون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إزهاق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الفرق ليس اختلافاً بين التعريفين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يعدان شيئاً واحداً؛ لأنهما عبارة عن الكلمة وتعريفها الذي يحل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التعريف الأول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التعريف الثاني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المحترمة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والعصمة أوضح من الاحترام للنفس وإن كانا يؤديان المعنى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 النفس التي لا يجوز الاعتداء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المعصومة مأخوذ من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يجوز أو أنه يمنع إتلافها وسلبها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النفس غير المعصومة عند </w:t>
      </w:r>
      <w:bookmarkStart w:id="88" w:name="pg9067_79663"/>
    </w:p>
    <w:p>
      <w:pPr>
        <w:pStyle w:val="BookText"/>
        <w:rPr/>
      </w:pPr>
      <w:bookmarkEnd w:id="88"/>
      <w:r>
        <w:rPr>
          <w:rFonts w:ascii="Amiri" w:hAnsi="Amiri" w:eastAsia="Amiri" w:cs="Amiri"/>
          <w:color w:val="111111"/>
          <w:sz w:val="28"/>
          <w:sz w:val="28"/>
          <w:szCs w:val="28"/>
          <w:rtl w:val="true"/>
          <w:lang w:bidi="ar-SA"/>
        </w:rPr>
        <w:t>المسلمين كالكافر الحربي والمحارب واللص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والمعصومة ما لا يباح إزهاقها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المعصومة أعم من أن تكون بالأصل كالكافر الحربي أو بالعرض كما في حالات القصاص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يمكن أنْ يُؤدى بقولك المعصومة أو المحترمة التي تقابل مهدور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فالمحترمة هي المحقونة الدم في مقابل غير المحترمة كنفس المرتد والزاني واللائط وغيرهم ممن هدر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فمعنى المعصومة يساوق معنى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عدم جواز قتلها والمنع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واضحا بين التعبيرين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سوف نركّز في الفصل الأول عند توضيحنا لفقرات التعريف على تعريف المشهور وهو التعريف الأول</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2464920_2870459653"/>
      <w:bookmarkStart w:id="90" w:name="_Toc32"/>
      <w:bookmarkEnd w:id="89"/>
      <w:r>
        <w:rPr>
          <w:rtl w:val="true"/>
        </w:rPr>
        <w:t>ب</w:t>
      </w:r>
      <w:r>
        <w:rPr>
          <w:rtl w:val="true"/>
        </w:rPr>
        <w:t xml:space="preserve">- </w:t>
      </w:r>
      <w:r>
        <w:rPr>
          <w:rtl w:val="true"/>
        </w:rPr>
        <w:t>ما عند المذاهب الأخرى</w:t>
      </w:r>
      <w:bookmarkEnd w:id="90"/>
    </w:p>
    <w:p>
      <w:pPr>
        <w:pStyle w:val="BookText"/>
        <w:rPr/>
      </w:pPr>
      <w:r>
        <w:rPr>
          <w:rFonts w:ascii="Amiri" w:hAnsi="Amiri" w:eastAsia="Amiri" w:cs="Amiri"/>
          <w:color w:val="111111"/>
          <w:sz w:val="28"/>
          <w:sz w:val="28"/>
          <w:szCs w:val="28"/>
          <w:rtl w:val="true"/>
          <w:lang w:bidi="ar-SA"/>
        </w:rPr>
        <w:t xml:space="preserve">التعريف المشهور عند المذاﻫب أن القتل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يعمد الرجل إلى الرجل فيضربه حتى تفيض نفسه المعصومة المكافئة الحية الآدمية على وجه العدوان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القيد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وجه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عند مالك وأما بقية القيود في التعريف فهي موضع وفاق إلا أن الخلاف وقع في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المذاهب أنها تتحقق بالحرية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يتحقق بالإسلام والأمان عند مالك والشافعي وأحمد وأما أبو حنيفة فعنده العصمة هي عصمة الدار ومنعة الإسلام والأمان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هو أن الدار إذا كانت دار حرب فلا عصمة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دار سلم فالعصمة فيها</w:t>
      </w:r>
      <w:r>
        <w:rPr>
          <w:rFonts w:eastAsia="Amiri" w:cs="Amiri" w:ascii="Amiri" w:hAnsi="Amiri"/>
          <w:color w:val="111111"/>
          <w:sz w:val="28"/>
          <w:szCs w:val="28"/>
          <w:rtl w:val="true"/>
          <w:lang w:bidi="ar-SA"/>
        </w:rPr>
        <w:t xml:space="preserve">. </w:t>
      </w:r>
      <w:bookmarkStart w:id="91" w:name="pg9067_79664"/>
    </w:p>
    <w:p>
      <w:pPr>
        <w:pStyle w:val="BookText"/>
        <w:rPr/>
      </w:pPr>
      <w:bookmarkEnd w:id="91"/>
      <w:r>
        <w:rPr>
          <w:rFonts w:ascii="Amiri" w:hAnsi="Amiri" w:eastAsia="Amiri" w:cs="Amiri"/>
          <w:color w:val="111111"/>
          <w:sz w:val="28"/>
          <w:sz w:val="28"/>
          <w:szCs w:val="28"/>
          <w:rtl w:val="true"/>
          <w:lang w:bidi="ar-SA"/>
        </w:rPr>
        <w:t>ونكتفي بهذا القدر من التعريف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جولة أخرى لتوضيح فقراته في الفصل الأول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2464922_2870459653"/>
      <w:bookmarkStart w:id="93" w:name="_Toc33"/>
      <w:bookmarkEnd w:id="92"/>
      <w:r>
        <w:rPr/>
        <w:t>3</w:t>
      </w:r>
      <w:r>
        <w:rPr>
          <w:rtl w:val="true"/>
        </w:rPr>
        <w:t xml:space="preserve">- </w:t>
      </w:r>
      <w:r>
        <w:rPr>
          <w:rtl w:val="true"/>
        </w:rPr>
        <w:t>القتل العمد في الاصطلاح القانوني</w:t>
      </w:r>
      <w:bookmarkEnd w:id="93"/>
    </w:p>
    <w:p>
      <w:pPr>
        <w:pStyle w:val="BookText"/>
        <w:rPr/>
      </w:pPr>
      <w:r>
        <w:rPr>
          <w:rFonts w:ascii="Amiri" w:hAnsi="Amiri" w:eastAsia="Amiri" w:cs="Amiri"/>
          <w:color w:val="111111"/>
          <w:sz w:val="28"/>
          <w:sz w:val="28"/>
          <w:szCs w:val="28"/>
          <w:rtl w:val="true"/>
          <w:lang w:bidi="ar-SA"/>
        </w:rPr>
        <w:t>قانون العقوبات العراقي لم يعرّف القتل العمد في نصوصه ولكنه ذكر عقوبته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يثير أية صعوبة في التعريف لأننا نرى أن المشرّع العراقي يعدّ القتل العمد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بعض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القتل العمد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فالإجماع على أن كل إزهاق لروح إنسان تعمداً يدعى قتلاً عمداً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التعريف ليس مجمعاً عليه عند شرّاح القانون العراقي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ترى شرّاحاً آخرين لقانون العقوبات القسم الخاص لبلدان أخرى يعرّفونه بالتعريف نفسه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العمد هو إزهاق روح إنسان حي عمداً بفعل إنسان آخر وبدون وجه حق</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يذكر القانون الفرنسي في مادته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 للقتل العمد ضمن نصوصه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إزهاق الروح المرتكب ارادياً يوصف بالقتل العمد</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باعتبار أن القصد هو توجّه الإرادة نحو الشيء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ويعلّق على هذا النص أحدُ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تعريف دقيق للقتل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الاعتداء الارادي والباغي على حياة الإنسان بفعل إنسان آخر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هنا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المشرع العراقي لم يذكر تعريفاً خاصاً بالقتل العمد ولكنه ذكر الأركان الأساسية المكوّنة للقتل العمد بقوله 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عمداً يعاقب بالسجن المؤبد أو المؤقت</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فيلزم لقيام جريمة القتل العمد ثلاثة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عمل مادي هو فعل القاتل باتخاذ الوسائل المؤدية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الفعل المادي وقع على إنسان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الجريمة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القصد الجنائي لدى الفاعل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تعمد إزهاق الروح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إن المشرّع العراقي أطلق القتل العمد ولم يقيّد بنصّ خاص؛ وذلك لأنه يريد إدخال صدق الامتناع أو القصد الاحتمالي فيه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بهذا القدر من التعريف ونوكل التعليق والتوضيح إلى الفصل الثاني إن شاء الله تعالى</w:t>
      </w:r>
      <w:r>
        <w:rPr>
          <w:rFonts w:eastAsia="Amiri" w:cs="Amiri" w:ascii="Amiri" w:hAnsi="Amiri"/>
          <w:color w:val="111111"/>
          <w:sz w:val="28"/>
          <w:szCs w:val="28"/>
          <w:rtl w:val="true"/>
          <w:lang w:bidi="ar-SA"/>
        </w:rPr>
        <w:t xml:space="preserve">. </w:t>
      </w:r>
      <w:bookmarkStart w:id="94" w:name="pg9067_79666"/>
    </w:p>
    <w:p>
      <w:pPr>
        <w:pStyle w:val="Heading3"/>
        <w:numPr>
          <w:ilvl w:val="2"/>
          <w:numId w:val="1"/>
        </w:numPr>
        <w:rPr/>
      </w:pPr>
      <w:bookmarkStart w:id="95" w:name="__RefHeading___Toc2464924_2870459653"/>
      <w:bookmarkStart w:id="96" w:name="_Toc34"/>
      <w:bookmarkEnd w:id="94"/>
      <w:bookmarkEnd w:id="95"/>
      <w:r>
        <w:rPr>
          <w:rtl w:val="true"/>
        </w:rPr>
        <w:t>الفصل الأول</w:t>
      </w:r>
      <w:r>
        <w:rPr>
          <w:rtl w:val="true"/>
        </w:rPr>
        <w:t xml:space="preserve">: </w:t>
      </w:r>
      <w:r>
        <w:rPr>
          <w:rtl w:val="true"/>
        </w:rPr>
        <w:t>القتل العمد وعقوبته في المذاهب الفقهية الإسلامية</w:t>
      </w:r>
      <w:bookmarkEnd w:id="96"/>
    </w:p>
    <w:p>
      <w:pPr>
        <w:pStyle w:val="Heading4"/>
        <w:numPr>
          <w:ilvl w:val="3"/>
          <w:numId w:val="1"/>
        </w:numPr>
        <w:rPr/>
      </w:pPr>
      <w:bookmarkStart w:id="97" w:name="__RefHeading___Toc2464926_2870459653"/>
      <w:bookmarkStart w:id="98" w:name="_Toc35"/>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القتل العمد من المسائل الفقهية التي اهتم بها المشرّع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تتعلق بحق الإنسان في الحياة وشدّد الشارع المقدّس العقوبة على مرتكبه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عقوبتة في الدنيا بحرمان القاتل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وعذاباً أليماً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الإلهي واضح في مسألة القتل العمد وعقوبته ومع ذلك فقد اختلف في بعض تفصيلاته ومسائله بين المذاهب الفقهية الإسلامية وإن اتحدت مداركهم واختلفت مناهج اجتهاداتهم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الاطلاع على ما اتفقوا عليه وما اختلفوا فيه سوف نتطرّق في هذا الفصل إلى تقسيمات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حدوده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العقوبات المقرّرة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أسباب اختلافاتهم في ذلك ومناقشتها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الفصل الأول في ثلاثة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القتل وتقسيماته والتعريف بالقتل العمد 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 وتطبيقاته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 المقررة في المذاهب الفقهية</w:t>
      </w:r>
      <w:r>
        <w:rPr>
          <w:rFonts w:eastAsia="Amiri" w:cs="Amiri" w:ascii="Amiri" w:hAnsi="Amiri"/>
          <w:color w:val="111111"/>
          <w:sz w:val="28"/>
          <w:szCs w:val="28"/>
          <w:rtl w:val="true"/>
          <w:lang w:bidi="ar-SA"/>
        </w:rPr>
        <w:t xml:space="preserve">. </w:t>
      </w:r>
      <w:bookmarkStart w:id="99" w:name="pg9067_79667"/>
    </w:p>
    <w:p>
      <w:pPr>
        <w:pStyle w:val="Heading4"/>
        <w:numPr>
          <w:ilvl w:val="3"/>
          <w:numId w:val="1"/>
        </w:numPr>
        <w:rPr/>
      </w:pPr>
      <w:bookmarkStart w:id="100" w:name="__RefHeading___Toc2464928_2870459653"/>
      <w:bookmarkStart w:id="101" w:name="_Toc36"/>
      <w:bookmarkEnd w:id="99"/>
      <w:bookmarkEnd w:id="100"/>
      <w:r>
        <w:rPr>
          <w:rtl w:val="true"/>
        </w:rPr>
        <w:t>المبحث الأول</w:t>
      </w:r>
      <w:bookmarkEnd w:id="101"/>
    </w:p>
    <w:p>
      <w:pPr>
        <w:pStyle w:val="Heading5"/>
        <w:numPr>
          <w:ilvl w:val="4"/>
          <w:numId w:val="1"/>
        </w:numPr>
        <w:rPr/>
      </w:pPr>
      <w:bookmarkStart w:id="102" w:name="__RefHeading___Toc2464930_2870459653"/>
      <w:bookmarkStart w:id="103" w:name="_Toc37"/>
      <w:bookmarkEnd w:id="102"/>
      <w:r>
        <w:rPr>
          <w:rtl w:val="true"/>
        </w:rPr>
        <w:t>أولاً</w:t>
      </w:r>
      <w:r>
        <w:rPr>
          <w:rtl w:val="true"/>
        </w:rPr>
        <w:t xml:space="preserve">: </w:t>
      </w:r>
      <w:r>
        <w:rPr>
          <w:rtl w:val="true"/>
        </w:rPr>
        <w:t>أنواع القتل عند المذاهب الإسلامية</w:t>
      </w:r>
      <w:bookmarkEnd w:id="103"/>
    </w:p>
    <w:p>
      <w:pPr>
        <w:pStyle w:val="BookText"/>
        <w:rPr/>
      </w:pPr>
      <w:r>
        <w:rPr>
          <w:rFonts w:ascii="Amiri" w:hAnsi="Amiri" w:eastAsia="Amiri" w:cs="Amiri"/>
          <w:color w:val="111111"/>
          <w:sz w:val="28"/>
          <w:sz w:val="28"/>
          <w:szCs w:val="28"/>
          <w:rtl w:val="true"/>
          <w:lang w:bidi="ar-SA"/>
        </w:rPr>
        <w:t>القتل في الشريعة الإسلامية له أنواع تختلف العقوبة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القتل أو إزهاق الروح تنفيذاً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كالقصاص وقتل المرتد والكافر الحربي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وإنْ صدق على قتلهم أنه قتل عمد إلا أنه بوجه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وقع على نفس غير معصومة؛ لان الشارع جوّز 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أوجب إتلافها؛ ولذلك ترى بعض الفقهاء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القاتل فإنّ قتله ليس عدواناً وإن كان عمداً؛ لأنه بحق</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المعصوم الدال على أن يكون القتل عدواناً لإخراج مَن أباح الشارع دمه كالحربي أو المقتول دفاعاً أو قصاصاً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بحق وهو كل قتل لا عدوان فيه كقتل القاتل والمرتد</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بغير حق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كل قتل محرم لم يُجزه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بقصد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مرتكبه العقوبات المقرّرة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القتل له تقسيمات اختلف فقهاء المسلمين فيها بحسب أدلتهم ورؤاهم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كتابات متعددة نذكر منها ما يأتي</w:t>
      </w:r>
      <w:r>
        <w:rPr>
          <w:rFonts w:eastAsia="Amiri" w:cs="Amiri" w:ascii="Amiri" w:hAnsi="Amiri"/>
          <w:color w:val="111111"/>
          <w:sz w:val="28"/>
          <w:szCs w:val="28"/>
          <w:rtl w:val="true"/>
          <w:lang w:bidi="ar-SA"/>
        </w:rPr>
        <w:t xml:space="preserve">: </w:t>
      </w:r>
      <w:bookmarkStart w:id="104" w:name="pg9067_79668"/>
    </w:p>
    <w:p>
      <w:pPr>
        <w:pStyle w:val="BookText"/>
        <w:rPr/>
      </w:pPr>
      <w:bookmarkEnd w:id="104"/>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هوالقتل بغير حق ولذا أخرج المقتول قصاصاً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والقتل في الشريعة أصلا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قتل عدوان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2464932_2870459653"/>
      <w:bookmarkStart w:id="106" w:name="_Toc38"/>
      <w:bookmarkEnd w:id="105"/>
      <w:r>
        <w:rPr>
          <w:rtl w:val="true"/>
        </w:rPr>
        <w:t>ثانياً</w:t>
      </w:r>
      <w:r>
        <w:rPr>
          <w:rtl w:val="true"/>
        </w:rPr>
        <w:t xml:space="preserve">: </w:t>
      </w:r>
      <w:r>
        <w:rPr>
          <w:rtl w:val="true"/>
        </w:rPr>
        <w:t>تقسيمات القتل المحرم وهو القتل بغير حق</w:t>
      </w:r>
      <w:bookmarkEnd w:id="106"/>
    </w:p>
    <w:p>
      <w:pPr>
        <w:pStyle w:val="BookText"/>
        <w:rPr/>
      </w:pPr>
      <w:r>
        <w:rPr>
          <w:rFonts w:ascii="Amiri" w:hAnsi="Amiri" w:eastAsia="Amiri" w:cs="Amiri"/>
          <w:color w:val="111111"/>
          <w:sz w:val="28"/>
          <w:sz w:val="28"/>
          <w:szCs w:val="28"/>
          <w:rtl w:val="true"/>
          <w:lang w:bidi="ar-SA"/>
        </w:rPr>
        <w:t>اختلف الفقهاء في الشريعة الإسلامية في هذه التقسيمات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اختلافهم يعود إلى ما اعتمدوا عليه من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القول بأن أشهر المذاهب الإسلامية الفقهية اتفقت على تقسيم القتل المحرم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التقسيم هو المشهور في الشريعة لاتفاق أربعة مذاهب عليه وهي المذهب الإمامي والحنفي والشافعي والحنبلي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أنكر مالك 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كتاب الله إلا العمد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صاحب الجواهر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خلاف عندنا في أن الأقسام ثلاثة خلافا لمالك</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فالتقسيم المشهور عند المذاهب الفقهية الإسلامية الذي اتفقت عليه كلماتهم هو تقسيم القتل المحرّم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الشبيه بالعمد أو الخطأ الشبيه بالعمد أو العمد الشبيه بالخطأ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الخطأ المحض</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الاختلاف ليس في جميع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الاختلاف في عدم إقرار المذهب المالكي بالقسم الثاني وهو القتل الشبيه بالعمد حيث إنه يقسّم القتل إلى قسمين</w:t>
      </w:r>
      <w:r>
        <w:rPr>
          <w:rFonts w:eastAsia="Amiri" w:cs="Amiri" w:ascii="Amiri" w:hAnsi="Amiri"/>
          <w:color w:val="111111"/>
          <w:sz w:val="28"/>
          <w:szCs w:val="28"/>
          <w:rtl w:val="true"/>
          <w:lang w:bidi="ar-SA"/>
        </w:rPr>
        <w:t xml:space="preserve">: </w:t>
      </w:r>
      <w:bookmarkStart w:id="107" w:name="pg9067_79669"/>
    </w:p>
    <w:p>
      <w:pPr>
        <w:pStyle w:val="BookText"/>
        <w:rPr/>
      </w:pPr>
      <w:bookmarkEnd w:id="107"/>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كما يذكره أن هذين القسمين ورد ذكرهما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بقية المذاهب فقد ذكرت روايات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هذا القسم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المذهب الإمامي فقد ذكر بالإضافة إلى النبوي ما جاء عن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بحثنا هذا تطرقنا استطراداً لهذه التقسيمات لمعرفة القتل العمد كونه من القتل المحرم بغير حق؛ لأن التعريف يعتمد على هذه التقسيمات وكونه بقصد العدوان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اختلفوا فيه فهو ليس مدار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بهذا القدر من التوضيح لتقسيمات القتل المحرم</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464934_2870459653"/>
      <w:bookmarkStart w:id="109" w:name="_Toc39"/>
      <w:bookmarkEnd w:id="108"/>
      <w:r>
        <w:rPr>
          <w:rtl w:val="true"/>
        </w:rPr>
        <w:t>ثالثاً</w:t>
      </w:r>
      <w:r>
        <w:rPr>
          <w:rtl w:val="true"/>
        </w:rPr>
        <w:t xml:space="preserve">: </w:t>
      </w:r>
      <w:r>
        <w:rPr>
          <w:rtl w:val="true"/>
        </w:rPr>
        <w:t>توضيح تعريف القتل العمد عند المذاهب الفقهية الإسلامية</w:t>
      </w:r>
      <w:bookmarkEnd w:id="109"/>
    </w:p>
    <w:p>
      <w:pPr>
        <w:pStyle w:val="BookText"/>
        <w:rPr/>
      </w:pPr>
      <w:r>
        <w:rPr>
          <w:rFonts w:ascii="Amiri" w:hAnsi="Amiri" w:eastAsia="Amiri" w:cs="Amiri"/>
          <w:color w:val="111111"/>
          <w:sz w:val="28"/>
          <w:sz w:val="28"/>
          <w:szCs w:val="28"/>
          <w:rtl w:val="true"/>
          <w:lang w:bidi="ar-SA"/>
        </w:rPr>
        <w:t>اختلفوا في تعريف القتل العمد بين الفقه الإسلامي وبين قانون العقوبات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سوف نقوم بتوضيح المقصود من القتل العمد في الفقه الإسلامي من خلال بيان فقرات التعريف والمقصود بها عند المذاهب الإسلامية على أننا سوف نذكر تعريف كل مذهبٍ ثم بيان المقصود من هذه الفقرات متفرقاً تارة ومجتمعاً أخرى على النحو الأتي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القتل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المذهب الجعفري الإمامي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القتل العمد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إزهاق النفس المعصومة المكافئة عمداً عدواناً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بيّنا في التمهيد أن هناك تعريفاً ثانياً للقتل العمد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يؤدي المعنى نفسه وإن اختلفت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وعدنا ببيان التعريف المشهور في هذا الفصل وعلى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في صحاحه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وزهقت نفسه تزهق زهوقاً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والمزهِق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والمزهَق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النفس من البدن ومفارقتها له وهي متعلقة به تعلُّق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مدبّرة لحركاته وسكناته وجميع أجهزته مِن جوارحه وأعضائه وقواه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وبخروجها تتعطل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البدن جثة 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فالإخراج تعبير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تعلّقها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فإزهاق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إخراجها مما تعلقت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إخراجاً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الإمامية في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ما يؤدي إلى إزهاق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فعلاً أم امتناعاً مادياً أم معنوياً ضرباً أم خنقاً أم سماً بما يقتل غالباً أم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غير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بوسيلته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النفس التي منع الله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قتلها وإتلافها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الصحاح</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والعصم يعني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الله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غير المعصوم أعم من كونه بالأصل كالحربي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بالعارض كالقاتل على وجه يوجب القصاص</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المعصومة بهذا المعنى فما فائدة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قيد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هذه الأفراد من الحربي والقاتل وغيرهما؟</w:t>
      </w:r>
    </w:p>
    <w:p>
      <w:pPr>
        <w:pStyle w:val="BookText"/>
        <w:rPr/>
      </w:pPr>
      <w:r>
        <w:rPr>
          <w:rFonts w:ascii="Amiri" w:hAnsi="Amiri" w:eastAsia="Amiri" w:cs="Amiri"/>
          <w:color w:val="111111"/>
          <w:sz w:val="28"/>
          <w:sz w:val="28"/>
          <w:szCs w:val="28"/>
          <w:rtl w:val="true"/>
          <w:lang w:bidi="ar-SA"/>
        </w:rPr>
        <w:t>أجابوا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يعني ما لا يباح</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إزهاقها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فالقاتل لا يباح دمه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لولي المقتول فقط أو من ينوب عنه أو يوكله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معصوماً لغير ولي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فإخراجه يحتاج إلى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ما يباح دمه لبعض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إن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فعل الصبي والمجنون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باعتبار أن عمدهما وخطأهما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إخراج الصبي والمجنون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قتلهما لا عمد فيه فيبقى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كلام يأتي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الصحاح</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النظير وكذلك الكفء والكفوء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ساوى شيئاً حتى يكون مثله فهو مكافىء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والتكافؤ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تتكافأ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هو النفس المساوية والنظيرة لنفس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كفء المسلم كما ورد 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يكافئ بين المسلمين ويساوي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الحرية تكافئ بين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والرقية تكافئ بين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فالمكافئة تكون بالإسلام والحرية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معنى العمد في اللغة هو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 </w:t>
      </w:r>
    </w:p>
    <w:p>
      <w:pPr>
        <w:pStyle w:val="BookText"/>
        <w:rPr/>
      </w:pPr>
      <w:r>
        <w:rPr>
          <w:rFonts w:ascii="Amiri" w:hAnsi="Amiri" w:eastAsia="Amiri" w:cs="Amiri"/>
          <w:color w:val="111111"/>
          <w:sz w:val="28"/>
          <w:sz w:val="28"/>
          <w:szCs w:val="28"/>
          <w:rtl w:val="true"/>
          <w:lang w:bidi="ar-SA"/>
        </w:rPr>
        <w:t>هنا قيد لإزهاق الروح</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إزهاق الروح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توجه إرادة الفاعل إلى ذلك الفعل أو الامتناع لإخراج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يكفي في صدق القتل العمد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موجباً للقصاص أم لا؟ فبالتأكيد إن العمد بمعنى القصد فقط لا يوجب القصاص ما لم يصدر من بالغ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قلنا إن العدوان في التعريف يُخرج الصبي والمجنون عن موجب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معنى العمد هنا هو القصد فقط من دون التقييد بالبالغ والعاقل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عرّفوا العمد بأنه قصد البالغ العاقل لإخراج الصبي والمجنون بقولهم</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 يحصل بقصد البالغ إلى القتل بما يقتل غالباً وينبغي قيد العاقل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 إخراج الصبي والمجنون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لتقييد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بالبالغ العاقل؛ لعدم الفائدة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فإما أن تقول 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البالغ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اعتبار القيدين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فعل الصبي والمجنون عدواناً؛ لعدم التكليف</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فيخرجا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بين معنيي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بغير </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من قيد آخر نضيفه إلى التعريف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إزهاق البالغ العاقل النفس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التعريف وارد كموجب للقصاص فالأوفق بالعبارة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البالغ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الروايات</w:t>
      </w:r>
      <w:r>
        <w:rPr>
          <w:rStyle w:val="FootnoteAnchor"/>
          <w:rtl w:val="true"/>
        </w:rPr>
        <w:footnoteReference w:id="156"/>
      </w:r>
      <w:r>
        <w:rPr>
          <w:rFonts w:ascii="Amiri" w:hAnsi="Amiri" w:eastAsia="Amiri" w:cs="Amiri"/>
          <w:color w:val="111111"/>
          <w:sz w:val="28"/>
          <w:sz w:val="28"/>
          <w:szCs w:val="28"/>
          <w:rtl w:val="true"/>
          <w:lang w:bidi="ar-SA"/>
        </w:rPr>
        <w:t>الواردة عن أهل</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عمد الصبي وخطأه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فحتى لو صدق عمد الصبي في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عليه القتل العمد الموجب للقصاص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ينفذ عليه؛ لأن عمده هذا يجعل قتله خطأً بحسب الروايات الواردة عن أهل بيت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الصبي وخطؤه واحد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العمد هو هذا وهو حكم عام وضابطة كلية وهو شامل للصبي والمجنون إلا أن القصاص لا يشملهما لخروجهما بالدليل كما في الروايات في أعلاه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التعريف بحقيقة القتل العمد بغض النظر عن كونه موجبا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ينبغي رفع بقية القيود التي ذكرت كون القتل العمد موجب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كقيد المعصومة والمكافئة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تعريف القتل العمد يكون بغض النظر عن كونه موجباً للقصاص أم لا؟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جرت أقلامهم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ذكرت بقية القيود فلابد من قيدٍ يُخرج الصبي والمجنون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يذكر القيود ولا يخرج الصبي والمجنون باعتبار الجمع 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فيشملهما تعريف القتل العمد الموجب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خروجهما عن تنفيذ القصاص بحقهما بالتخصيص؛ لورود دليل خاص باستثنائهما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ولذلك نلاحظ الشهيد الثاني زين الدين بن علي العاملي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قتلهما للنفس لا يوجب عليهما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سبق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اللغة كما في الصحاح</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الصراح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المعنى الأول أوسع؛ حيث يشمل كل قتل لم يجوّزه الشارع المقدس؛ لأن ما يجوّزه الشارع المقدس 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كقتل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والقاتل والحربي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أقل مصاديق من المعنى الأول؛ حيث إنه يشمل فقط ما صدق عليه أنه ظلم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القتل المكروه غير داخل ضمنه؛ فهو ليس بعدوان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أجازه الشارع أم لم يجزه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المعنى لا نحتاج إلى ذكر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إن كان المقصود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القصاص والحربي والمرتد فإنهم قد خرجوا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أنفس غير معصومة أباح الشارع 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الصبي والمجنون فإنهما خرجا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ترك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النافع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استغناء عنه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بها ما لا يباح إزهاقها لكل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المقتول قصاصاً أو دفاعاً عن النفس لا يباح للكل وإنْ أبيح قتله بالنسبة للورثة وولي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يخرجا بقيد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خرجا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والحربي اللذان هما مباحان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لا يمكن المساعدة عليه؛ وذلك لأن الشارع المقدّس عندما منع المسلم بحكم شرعي فيكون هذا الحكم أمراً كلياً وليس أمراً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فالمقتول قصاصاً نفسه مباحة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معصومة بالنسبة لكل ولي دم ووريث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المقتول دفاعاً عن النفس فنفسه مباحة غير معصومة لكل من يواجهه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الحكمان لا يمكن القول إنهما لبعض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هما لكل مسلم يتعرض لمثل هاتين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مسلم يُقتَل فقاتله مباح الدم 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مَن يهجم على المسلمين فدم المهاجم مباح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يتصف بالقاتل يحق لولي الدم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الحربي والمرتد فهما مباحا الدم لكل مسلم ولكن بشرط تحقق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الذي لم يتحقق من الارتداد لا يحق له قتل المرتد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لا فائدة من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حالة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 بالبالغ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فنحتاج إلى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حاجة حتى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قيود للقتل العمد الموجب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القتل العمد شيء وكونه موجباً للقصاص شيء آخر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بصدد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كونه موجباً للقصاص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خطيئة كبيرة أمام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الشارع له </w:t>
      </w:r>
    </w:p>
    <w:p>
      <w:pPr>
        <w:pStyle w:val="BookText"/>
        <w:rPr/>
      </w:pPr>
      <w:r>
        <w:rPr>
          <w:rFonts w:ascii="Amiri" w:hAnsi="Amiri" w:eastAsia="Amiri" w:cs="Amiri"/>
          <w:color w:val="111111"/>
          <w:sz w:val="28"/>
          <w:sz w:val="28"/>
          <w:szCs w:val="28"/>
          <w:rtl w:val="true"/>
          <w:lang w:bidi="ar-SA"/>
        </w:rPr>
        <w:t>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ضمنها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أقسى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القتل العمد الموجب للقصاص فرداً من أفراد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العمد الموجب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كافٍ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هذا يكون تعريف القتل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إزهاق النفس الإنسانية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انطبق هذا التعريف على مورد وأردنا عقاب القاتل تطبق عليه شروط القصاص وكون النفس التي قتلها معصومة أم لا؟ مكافئة أم لا؟ وهذا الإزهاق بعدوان أم لا؟ وأما مسألة 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فالمجنون لا يتحقق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مسلوب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يمكنه توجيه إرادته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إدراكه نتيجة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الصبي فيمكن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الشارع المقدس يعدّه ناقص الإدراك وإن كان قادراً على توجيه إرادته وبمحض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رفع عنه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يعدّه مرتكباً للمعصية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يُحاسب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القصاص؛ لأنه وردت فيه روايات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مخصصاً بها باعتبار أن عمده وخطأه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بقية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بقية المذاهب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يعمد الرجل إلى الرجل فيضربه حتى يفيض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مالك</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التعريف يمثل تعريف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مذهب مالك أضاف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عند 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مالكا يقسّم القتل إلى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إلى ثلاثة كما هو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هذا هو السبب في اختلاف التعريف عن بقية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سببٌ لاختلافه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أن التعريف ضابطة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أنها جامعة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جميع أفراد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لنفصّل التعريف بتوضيح فقراته وقيوده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يعمد الرجل إلى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الذكر البالغ إلى الذكرالبالغ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هذا التعريف غير شامل لقتل الذكر البالغ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قتل الصبي للذكر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قتل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بالغة أم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قتل الأنثى الأنثى سواء كانتا بالغتين أم صغيرتين أم 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إلى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مقصودهم ليس هذا المعنى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خرج أكثر أفراد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إلا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قتل الرجل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أنهم استعملوا التعريف بالمثال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مثالاً للقتل العمد وهو ضرب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معنى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ذكروا في 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للإنسان تبدأ بعد تمام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قتل الطفل الذي خرج من بطن أمه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يشمل الصبي؟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المجنون فهو داخل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قلنا انه فاقد للقصد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عمد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يَضربه ضَرباً</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الركن الأول للقتل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الركن المادي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الجاني الناتج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التعريف أنه يشمل القتل العمد الناتج من الضرب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مراداً لهم قطعاً؛ بدليل صدق القتل العمد عندهم على الغرق والحرق والتسمم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نقول أن ذكر الضرب في التعريف هو مثال للركن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مصداقاً له ومنحصراً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فالضرب ذكر في التعريف لأنه الغالب في القتل العمد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 كناية عن كل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يشترط مالك شروطاً خاصة في الفعل القاتل أو في أداة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عند مالك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هناك أشياء يتعمّد الإنسان فعلها مثل الرجلين يصطرعان فيصرع أحدهما صاحبه أو يتراميان بالشيء على وجه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فيموت من هذا كله فﻫذا هو القتل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قتلاً عمداً؛ لأن الجاني تعمده على وجه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تعمده على وجه القتال والغضب فصرعه فمات أو أخذ برجله فسقط فمات فهو قتل عمد</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يحدد مالك نوع الضرب بل كل ضرب سواء كان بلطمة أم بعصا أم بحجر أم بعمود أم بقضيب وما شابه ذلك كله بما أنه بعمد وسبّب وفاة المجني عليه فهو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ما تعمّده الإنسان من ضربة بلطمه أو بلكزه أو ببندقية أو بحجر أو بقضيب أو بغير ذلك كل هذا قتل عمد إذا مات فيه المجني عليه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وسواء كان الفعل أو الأداة مما يقتل غالباً أو لا فهو قتل عمد؛ وذلك لأن مالكاً عنده القتل إما عمد أو خطأ ولا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بعض المالكية حددوا ذلك بقولهم</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القتل العمد إتلاف النفس بآلة تقتل غالباً أياً كان نوعها أو بإصابة المقتل كعصر الأنثيين وشدّة الضغط والخنق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الشافعي وأحمد</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يشترطان في كون القتل مما يقتل غالباً وإلا لا يكون قتلاً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حنيفة</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يشترط كونه مما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الأداة مما تعدّ للقتل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تفيض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 الرجل يفيض فيضاً وفيوضاً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فاضت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روحه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فافاضة النفس هو خروجها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تعلقها به وتعطيل جميع جوارحه ومدركاته وقواه وأجهزته وحصول الموت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باستمرارية الضرب لحين حصول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شرطاً في صدق القتل العمد؛ لأنه يكفي أن تكون الضربة سبباً للوفاة سواء استمر على الضرب حتى مات أم ضربة واحدة فمات على أثرها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 النفس غير مهدورة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محقونة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والعصمة تأتي من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الله قتلها أو 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والعصمة أساسها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تحت الأمان عقد الجزية والموادعة والهدنة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يعدّ معصوماً المسلم والذمي ومن بينه وبين المسلمين عهدٌ أو هدنة ومَن دخل ارض الدولة بأمان ولو كان منتمياً لدولة محاربة ما دام الأمان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جميعهم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تباح دماؤهم ولا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مالك والشافعي وأحمد</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 حنيفة فيرى أن العصمة ليست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يعصم المرء بعصمة الدار ومنعة الإسلام وبالأمان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دار الإسلام معصومون بوجودهم في دار الإسلام وبمنعة الإسلام المستمدة من قوتهم وجماعتهم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دار الحرب غير معصومين لأنهم محاربون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فيهم مسلم فلا يعصمه إسلامه حيث لا منعة له ولا قوة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واضح؛ حيث أن الأئمة الثلاثة يرون أن العصمة بالإسلام سواء كان المسلم في دار حرب أم دار إسلام فهو محقون الدم ولا يباح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حنيفة فإنه يرى أن العصمة هي عصمة الدار فإن الكافر بوجوده في دار الإسلام محقون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بوجوده في دار الحرب مهدور الدم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إذا كانت العصمة بالإسلام والأمان فتزول بزوال أحدهما؛ حيث أن المسلم </w:t>
      </w:r>
    </w:p>
    <w:p>
      <w:pPr>
        <w:pStyle w:val="BookText"/>
        <w:rPr/>
      </w:pPr>
      <w:r>
        <w:rPr>
          <w:rFonts w:ascii="Amiri" w:hAnsi="Amiri" w:eastAsia="Amiri" w:cs="Amiri"/>
          <w:color w:val="111111"/>
          <w:sz w:val="28"/>
          <w:sz w:val="28"/>
          <w:szCs w:val="28"/>
          <w:rtl w:val="true"/>
          <w:lang w:bidi="ar-SA"/>
        </w:rPr>
        <w:t>يصبح مهدور الدم بالارتداد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والمستأمن يصبح مهدور الدم بانتهاء 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المسلم الذي يرتكب جريمة ينص الشارع على هدر دمه لبعض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كالقاتل والزاني المحصن وغيرهما فإنهما لا عصمة لهما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 وقت العصمة فمالك والشافعي وأحمد يقولون أن وقتها الفعل ووقت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حنيفة يرى أن وقت العصمة هو وقت الرمي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الكفء والكفوء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والمصدر الكفاءة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شيء ساوى شيئاً حتى يكون مثله فهو مكافئ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والتكافؤ الاستواء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كفء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تتكافأ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فالمكافئة كما يذهب مالك والشافعي وأحمد أن يكون المجني عليه مكافئاً للجاني إذا لم يفضله الجاني بحرية أو أسلام</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تساويا في الحرية والإسلام فهما متكافئان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تساويا بالحرية والإسلام فلا عبرة بالفروق الأخرى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سلامة الأعضاء أم الشرفية أم الفضيلة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الذكورية والأنوثة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الرجل إذا قتل المرأة يقتل بها أم لا؟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فالمذاهب الأربعة لا يرون اعتباراً بالذكورية والأنوثة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يُقتل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تُقتل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رأي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لا يُقتل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أرادوا قتله عليهم دفع </w:t>
      </w:r>
    </w:p>
    <w:p>
      <w:pPr>
        <w:pStyle w:val="BookText"/>
        <w:rPr/>
      </w:pP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حنيفة</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يرى التكافؤ بالإسلام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يرى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يُقتل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يُقتل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قتل السيد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شروط التكافؤ بالنسبة للمجني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الجاني فإنه يُقتل إذا قتل مسلماً سواء كافأه أم 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 الآدمية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لتحقق القتل العَمد أن يكون المجني عليه</w:t>
      </w:r>
    </w:p>
    <w:p>
      <w:pPr>
        <w:pStyle w:val="BookText"/>
        <w:rPr/>
      </w:pPr>
      <w:r>
        <w:rPr>
          <w:rFonts w:ascii="Amiri" w:hAnsi="Amiri" w:eastAsia="Amiri" w:cs="Amiri"/>
          <w:color w:val="111111"/>
          <w:sz w:val="28"/>
          <w:sz w:val="28"/>
          <w:szCs w:val="28"/>
          <w:rtl w:val="true"/>
          <w:lang w:bidi="ar-SA"/>
        </w:rPr>
        <w:t>آدمياً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من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انساناً من غير نسل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جاء من كواكب غير كوكب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نسل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القتل العمد عندهم بخلاف رأي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عبّرت بالنفس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بني آدم أم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فمقصودهم إخراج قتل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قتلاً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ويشترطون شرطاً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الإنسان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ميتاً أو جنيناً لم يخرج للحياة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الحي يصدق من بعد تمام ولادته حياً حتى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يقتل جنيناً يُعدّ قاتل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قتلاً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جريمة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الإجهاض</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الحي هو مَن نزل حياً بعد تمام ولادته حتى تفارق روحه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فارقت روحه الحياة فهو ليس انساناً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في النزع والرمق الأخير من </w:t>
      </w:r>
    </w:p>
    <w:p>
      <w:pPr>
        <w:pStyle w:val="BookText"/>
        <w:rPr/>
      </w:pPr>
      <w:r>
        <w:rPr>
          <w:rFonts w:ascii="Amiri" w:hAnsi="Amiri" w:eastAsia="Amiri" w:cs="Amiri"/>
          <w:color w:val="111111"/>
          <w:sz w:val="28"/>
          <w:sz w:val="28"/>
          <w:szCs w:val="28"/>
          <w:rtl w:val="true"/>
          <w:lang w:bidi="ar-SA"/>
        </w:rPr>
        <w:t>عمره فهل يعدّ انساناً حياً؟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قاتل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القيود التي ذكرها الأئمة الأربعة كما بيّناها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قيد واحد انفرد به مذهب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أضاف على تلك القيود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 هو الفيصل والمدار والمعيار في صدق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قتل بأي وسيلة وبأي حالة وقعت إذا كان بقصد العدوان فهو قتل عمد وأي حالة وبأي وسيلة حصلت إذا كان بقصد التأديب أو اللعب فهو ليس بقتل 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الصراح</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مالكاً يريد إخراج ما تعمدّه على وجه اللعب أو التأديب فحينئذ يكون الغضب وثورته من وجه العدوان وقصده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يشترط مالك أن تكون الآلة مما تقتل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الضابط والمدار عنده أن يكون الضرب على وجه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على وجه العدوان وكان على وجه اللعب أو التأديب فهو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فالقتل عنده إما عمد أو خطأ ولا ثالث لهما سواء قصد القتل أم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المذاهب فإنهم قسّموا القتل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وشبهه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ويفرقون بين العمد وشبهه بقصد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قَصَده فهو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يقصده فهو شبه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القصد أمر داخلي في السرائر ولا يطلع على السرائر إلا الله تعالى فكيف يمكن معرفته والتفريق بين أنواع القتل؟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الاستدلال على القصد من خلال الوسيلة التي استعملها والآلة التي </w:t>
      </w:r>
    </w:p>
    <w:p>
      <w:pPr>
        <w:pStyle w:val="BookText"/>
        <w:rPr/>
      </w:pPr>
      <w:r>
        <w:rPr>
          <w:rFonts w:ascii="Amiri" w:hAnsi="Amiri" w:eastAsia="Amiri" w:cs="Amiri"/>
          <w:color w:val="111111"/>
          <w:sz w:val="28"/>
          <w:sz w:val="28"/>
          <w:szCs w:val="28"/>
          <w:rtl w:val="true"/>
          <w:lang w:bidi="ar-SA"/>
        </w:rPr>
        <w:t>استخدمها في ارتكاب الجريمة باعتبارها تعبّر عن نية الجاني وقصده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المتعارف أن الذي يريد قتل إنسان يضربه بما يقتل غالباً أو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كالآلات القاطعة أو الجارحة أو النارية أو ما شابه ذلك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الآلة هل يشترط فيها أنها مما يقتل غالباً أم أن تكون معدة للقتل؟</w:t>
      </w:r>
    </w:p>
    <w:p>
      <w:pPr>
        <w:pStyle w:val="BookText"/>
        <w:rPr/>
      </w:pPr>
      <w:r>
        <w:rPr>
          <w:rFonts w:ascii="Amiri" w:hAnsi="Amiri" w:eastAsia="Amiri" w:cs="Amiri"/>
          <w:color w:val="111111"/>
          <w:sz w:val="28"/>
          <w:sz w:val="28"/>
          <w:szCs w:val="28"/>
          <w:rtl w:val="true"/>
          <w:lang w:bidi="ar-SA"/>
        </w:rPr>
        <w:t>الشافعي وأحمد ذهبا إلى كفاية أنها تقتل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حنيفة فإنه لا يكتفي بكونها تقتل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يشترط شرطاً آخر وهو كونها معدّة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فإذا قتل شخص آخر بآلة تقتل غالباً كالحجر ولكنها غير معدّة للقتل فعند الشافعي وأحمد أنه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أبي حنيفة أنه ليس من القتل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واضح بينهم فالسكين والحجر وإن كانت تقتل غالباً إلا أنها غير معدّة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الطلق الناري والسيف فإنهما يقتلان غالباً ومعدان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ما تذهب إليه المذاهب الأربعة هو أن القتل العمد يحتاج إلى فعل مادي كالضرب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على إنسان حي بقصدٍ وتعمدٍ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أن هذا الإنسان قد توفي بسبب ذلك الفعل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انساناً محقون الدم مسلماً أو مأتمناً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مكافئاً لنفس الجاني بالحرية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بقصد العدوان عند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التعريفين والفرق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بيان التعريف الذي ذهب إليه فقهاء المذهب الجعفري الإمامي للقتل العمد وهو المشهور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بيّنا تعريف المذاهب الأربعة للقتل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وُضِّح المقصود بكل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نريد أن نناقش هذين التعريفين بشكل 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ونجمل ذكر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المذاهب الفقهية الإسلامية اتفقت في هذين التعريفين على 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هو إزهاق الروح إلا أن تعريف الإمامية عبّر عنه صريحاً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إخراجها كما بيّنا ذلك في توضيح التعريف الخاص بالفقه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المذاهب الأخرى عبّرت عنه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تفيض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نفس معنى الإزهاق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خروج الروح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القول أن المذاهب الفقهية الإسلامية متفقة على أن القتل العمد لا يحصل إلا بمفارقة الروح للبدن وخروجها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القتل العمد لا يتحقق إلا بحصول الإخراج للنفس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فالمذاهب الفقهية اتفقت على هذا المعنى وإن اختلفت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هذا المعنى ركناً من أركان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حصول الوفاة بفعل أو بامتناع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إلى ذلك تعريف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بقية المذاهب وإن لم تُشر إلى ذلك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النفس التي وقعت عليها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تتفق المذاهب الإسلامية في هذا القيد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في توضيح التعريف ما يقصدونه من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الإمامية يعنون بها ما لا يباح ازهاقه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والمعصومة من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التي منع الله 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الكافر الحربي والمرتد والقاتل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بالأصل مباحة كالكافر الحربي أم بالعارض كالمرتد والقاتل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فالمعصومة تخرج ما أباح الشارع إتلافها بالأصل أو بالعارض للكل أو للبعض</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بقية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فيعنون بالمعصومة أنها محقونة الدم وغير مهدورة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مَن كتب في التشريع الإسلامي</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أساسها عندهم الإسلام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تحت الأمان عقد الجزية والموادعة والهدنة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تباح دماء هؤلاء ولا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ذهب إليه مالك والشافعي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حنيفة فيرى أن العصمة ليست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يعصم المرء بعصمة الدار ومنعة الإسلام وبالأمان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دار الإسلام معصومون بوجودهم في دار الإسلام وبمَنعَة الإسلام المستمدة من قوتهم وجماعتهم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دار الحرب غير معصومين لأنهم محاربون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مسلماً فلا يعصمه إسلامه حيث لا منعة له ولا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يخالف أبو حنيفة ولا يعدّ الإسلام اساساً للعصمة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 ما ذكره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دم المسلم وماله وعِرضه حرام على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صريحة في حقن دماء المسلمين أينما كانوا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الأمان فالمذاهب الأربعة تتفق على كونه اساساً للعصمة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الإمامية وإن قالوا به وادخلوه في معنى العصمة لكنهم لا يوجبون القصاص فيه على المسلم إذا قتل مستأمناً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إذا قتل الذمي لا يقاد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ادعى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منه على ما ذكره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يقتل مسلم 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ذمياً كان أو مستأمناً أو حربياً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يعزر ويغرم دية الذمّي</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علّق عليه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الأصحاب على أن المسلم لا يقتل بالكافر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ذمياً كان أم غيره؛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المسلمين سبيلاً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القصاص لوارث الكافر إذا كان كافراً سبيلٌ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أحد </w:t>
      </w:r>
    </w:p>
    <w:p>
      <w:pPr>
        <w:pStyle w:val="BookText"/>
        <w:rPr/>
      </w:pPr>
      <w:r>
        <w:rPr>
          <w:rFonts w:ascii="IRNazanin" w:hAnsi="IRNazanin" w:eastAsia="IRNazanin"/>
          <w:color w:val="111111"/>
          <w:sz w:val="28"/>
          <w:sz w:val="28"/>
          <w:szCs w:val="28"/>
          <w:rtl w:val="true"/>
          <w:lang w:bidi="fa-IR"/>
        </w:rPr>
        <w:t>بالفرق بين الوارث الكافر والمسلم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مؤمن بكافر</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الشامل للذمي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يخصصه الخبر المحذوف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ذو عهد في عهده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مخصوصاً بالحربي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الافتقار إلى الخبر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اشتراط المساواة من كل وجه لو سلم التقدير</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الاستدلال أيضاً بما جاء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من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به إلا أن يكون متعوداً للقتل</w:t>
      </w:r>
      <w:r>
        <w:rPr>
          <w:rFonts w:eastAsia="IRNazanin" w:cs="IRNazanin"/>
          <w:color w:val="111111"/>
          <w:sz w:val="28"/>
          <w:szCs w:val="28"/>
          <w:rtl w:val="true"/>
          <w:lang w:bidi="fa-IR"/>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بين المذهب الجعفري الإمامي وغيره يرجع في الحقيقة إلى موجب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الذمي والمستأمن لا يجوز لهما إتلاف نفسيهما لشمولهما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قتلهما لا يوجب القصاص على المسلم لخروجهما عن موجب القصاص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الذمي ليس كفء المسلم فلا يقاد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فالإمامية تذهب إلى عصمة نفس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توجب قتل المسلم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تعود المسلم على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أن الإمامية لا يوجبون عقوبة أخرى كالتعزير والدية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فالمذاهب الإسلامية مختلفة في المقصود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تذهب الإمامية إلى عدم جواز إتلاف النفس فتشمل حتى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الشافعي والمالكي وأحمد فيذهبون إلى أنها بالإسلام والأمان وأساسها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حنيفة ذهب إلى أنها عصمة الدار ومنعة </w:t>
      </w:r>
    </w:p>
    <w:p>
      <w:pPr>
        <w:pStyle w:val="BookText"/>
        <w:rPr/>
      </w:pPr>
      <w:r>
        <w:rPr>
          <w:rFonts w:ascii="IRNazanin" w:hAnsi="IRNazanin" w:eastAsia="IRNazanin"/>
          <w:color w:val="111111"/>
          <w:sz w:val="28"/>
          <w:sz w:val="28"/>
          <w:szCs w:val="28"/>
          <w:rtl w:val="true"/>
          <w:lang w:bidi="fa-IR"/>
        </w:rPr>
        <w:t>الإسلام والأمان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أساسها الاسلام؛ لأن ظاهر كلماتهم أن العصمة هي أنْ لا يباح دمه ولا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نحتاج أن نقيّد ذلك بقولنا بالإسلام؛ لأن غير المسلم أيضاً لا يباح دمه كالذمي والمستأمن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الحيوان المملوك لا يباح قتله لأنه نفس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عدم إباحة دم الإنسان سببه الإسلام والأمان باعتبارهما أكثر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يعني أن كل ما لا يباح دمه فهو مسلم أو 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فالكافر غير الحربي والملحد غير الحربي ومن لم يعلن حربه على الإسلام لا يباح دمه ونفسه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حصر سبب العصمة في الإسلام والأمان والمفروض إطلاقها كما فعلت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العصمة بالإسلام والأمان فالمكافأة ماذا تعني؟ وما الفائدة المترتبة على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التقييد بالإسلام والأمان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العصمة ما لا يباح دمه ليكونَ قيَّد المكافئة بالإسلام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 المسلم القاتل أباح الشارع قتله رغم أنه مسلم فكيف نقول أن الإسلام والأمان أساسان للعصمة مع أن الإسلام لا يعصم كثيراً من مرتكبي الجرائم كالقاتل والزاني بالمحصنة وهو محصن والزاني بالمحارم وغيرها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فالعصمة عدم إباحة الدم وعدم جواز إتلاف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ذهب إليه أبو حنيفة فيشكل عليه بأن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محقون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 في دار الحرب لا يبيح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يوجب الشك في كونه مباح الدم أم لا؟ ويجب الاحتياط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فنتوقف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يُحكم بجواز قتله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المذاهب أن التكافؤ يكون بالإسلام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يخالف في ذلك إلا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الى أن التكافؤ بالإسلام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الحرية فلا؛ لأن الحرّ يُقتل عنده بالعبد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الشافعي وأحمد ومالك فهم يتفقون مع الإمامية في قيد 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بالإسلام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كفء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كفء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كفء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الحر بالعبد سواء كان سيداً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 الآدمية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القتل يقع على نفس إنسان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الحياة عندهم بعد تمام الولادة حتى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المولود وخروجه من بطن أمه وانفصاله عنها يصدق أنه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قبل تمام الولادة غير مشمول بذلك سواء كان في أثناءها أم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حكم خاص كالإجهاض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هذا قتل الجنين ولا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الإمامية فإن تعريفهم يشمل الجنين الذي ولجته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نفس معصومة لا يجوز 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على قتله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يوجب القصاص عندهم وإنما يوجب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الجنين بعد ولوج الروح مشمول بتعريف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عقوبته الدية وليست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الجنين قبل ولوج الروح عقوبته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التعريف لا يشمله؛ لعدم صدق النفس عليه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قالوا في دية الجنين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النطفة إذا استقرت في الرحم 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التام الخلقة قبل ولوج الروح فيه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ولجته الروح فدية كاملة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للأنثى</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التعريف للإمامية دقيق بحيث يشمل قتل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عقوبته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موجباً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ويصلح هذا إشكالاً على التعريف؛ لأنهم 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موجباً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ذكرته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القصاص بشروطه يُخرج قتل الجنين حتى مَنْ ولجته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فأخرجوه من القصاص وذكروه ضمن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عندهم تبدأ بعد تمام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فالقتل العمد الموجب للقصاص ولو كان الطفل مولوداً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تمام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الجنين بعد ولوج الروح كما بيّنوه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شرائط القصاص وهي خمسة فمنها التساوي في الحرية أو الرق لعموم الآية سواء تساويا في العلم والشرف والغنى والفقر والصحة والمرض والقوة والضعف والكبر والصغر أم تفاوتا أشرف المريض على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الطفل مولودا في الحال</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المذاهب الأخرى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عمد الرجل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ما دون البالغ 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العمد لو قتل غير البالغ؛ لأنه عبّر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البالغ من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يجتمع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الحياة بعد تمام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التعريف هو بالمثال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مثالاً للقتل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عمد الرجل إلى الرجل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التفاصيل فكما ذكروها في مسائله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أضافه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وتذهب إلى أخذه الإمامية في تعريفهم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المذاهب الثلاثة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المدار في القتل </w:t>
      </w:r>
    </w:p>
    <w:p>
      <w:pPr>
        <w:pStyle w:val="BookText"/>
        <w:rPr/>
      </w:pPr>
      <w:r>
        <w:rPr>
          <w:rFonts w:ascii="Amiri" w:hAnsi="Amiri" w:eastAsia="Amiri" w:cs="Amiri"/>
          <w:color w:val="111111"/>
          <w:sz w:val="28"/>
          <w:sz w:val="28"/>
          <w:szCs w:val="28"/>
          <w:rtl w:val="true"/>
          <w:lang w:bidi="ar-SA"/>
        </w:rPr>
        <w:t>العمد هو قصد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داخلي يمكن معرفته من خلال الآلة المستعملة فإن كانت مما يقتل غالباً فهو قتل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معدّة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كونها تقتل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مالك فانه يرى أن المدار والضابط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معرفته من خلال الآلة أيضاً إذا كانت مما تقتل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الإمامية فإنهم اشترطوا في ازهاق النفس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هناك أنهم يقصدون بغير حق أو الظلم الصراح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عدم الحاجة إلى 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وميّزنا بين تعريف القتل العمد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عن ايجابه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وتعريفه كونه موجباً للقصاص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والإمامية بحسب الظاهر يرون أن القتل العمد يتحقق بقصدالقتل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بما يقتل غالباً أم عادة أم لا يكون قاتلاً غالباً إذا ترتب القتل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استعمال ما يقتل عادة يُحقّق القتل العمد وإن لم يقصد القتل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فانتقاء قصد القتل لا ينفي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فتتفق الإمامية مع الشافعي وأحمد في قصد القتل وتختلف معهم في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إنهما يشترطان كونها مما تقتل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والإمامية لا تشترط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ويتحقق العمد بقصد البالغ العاقل القتل ولو بما لا يكون قاتلاً غالباً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تعاريف المذاهب الإسلامية للقتل العمد بكونه موجباً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تعريفاً لحقيقة القتل العمد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فالقتل العمد له حقيقة بمعزل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موجباً للقصاص فهذا أمر آخر لاحق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القتل العمد كبيرة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والقصاص حدّ من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العمد موضوع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موضوع القصاص وجب عند توفر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تتوفر صدق القتل العمد ولا يقام القصاص لتخلف أحد شروطه </w:t>
      </w:r>
      <w:r>
        <w:rPr>
          <w:rFonts w:eastAsia="Amiri" w:cs="Amiri" w:ascii="Amiri" w:hAnsi="Amiri"/>
          <w:color w:val="111111"/>
          <w:sz w:val="28"/>
          <w:szCs w:val="28"/>
          <w:rtl w:val="true"/>
          <w:lang w:bidi="ar-SA"/>
        </w:rPr>
        <w:t xml:space="preserve">. </w:t>
      </w:r>
      <w:bookmarkStart w:id="110" w:name="pg9067_79693"/>
    </w:p>
    <w:p>
      <w:pPr>
        <w:pStyle w:val="Heading4"/>
        <w:numPr>
          <w:ilvl w:val="3"/>
          <w:numId w:val="1"/>
        </w:numPr>
        <w:rPr/>
      </w:pPr>
      <w:bookmarkStart w:id="111" w:name="__RefHeading___Toc2464936_2870459653"/>
      <w:bookmarkStart w:id="112" w:name="_Toc40"/>
      <w:bookmarkEnd w:id="110"/>
      <w:bookmarkEnd w:id="111"/>
      <w:r>
        <w:rPr>
          <w:rtl w:val="true"/>
        </w:rPr>
        <w:t>المبحث الثاني</w:t>
      </w:r>
      <w:bookmarkEnd w:id="112"/>
    </w:p>
    <w:p>
      <w:pPr>
        <w:pStyle w:val="Heading5"/>
        <w:numPr>
          <w:ilvl w:val="4"/>
          <w:numId w:val="1"/>
        </w:numPr>
        <w:rPr/>
      </w:pPr>
      <w:bookmarkStart w:id="113" w:name="__RefHeading___Toc2464938_2870459653"/>
      <w:bookmarkStart w:id="114" w:name="_Toc41"/>
      <w:bookmarkEnd w:id="113"/>
      <w:r>
        <w:rPr>
          <w:rtl w:val="true"/>
        </w:rPr>
        <w:t>أولاً</w:t>
      </w:r>
      <w:r>
        <w:rPr>
          <w:rtl w:val="true"/>
        </w:rPr>
        <w:t xml:space="preserve">: </w:t>
      </w:r>
      <w:r>
        <w:rPr>
          <w:rtl w:val="true"/>
        </w:rPr>
        <w:t>أركان القتل العمد عند المذاهب الإسلامية</w:t>
      </w:r>
      <w:bookmarkEnd w:id="114"/>
    </w:p>
    <w:p>
      <w:pPr>
        <w:pStyle w:val="BookText"/>
        <w:rPr/>
      </w:pPr>
      <w:r>
        <w:rPr>
          <w:rFonts w:ascii="Amiri" w:hAnsi="Amiri" w:eastAsia="Amiri" w:cs="Amiri"/>
          <w:color w:val="111111"/>
          <w:sz w:val="28"/>
          <w:sz w:val="28"/>
          <w:szCs w:val="28"/>
          <w:rtl w:val="true"/>
          <w:lang w:bidi="ar-SA"/>
        </w:rPr>
        <w:t>من خلال ما تقدم من التفاصيل في مناقشة فقرات التعريف للقتل العمد يمكننا أن نذكر أركان القتل العمد المقوّمة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بوجودها يتحقق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موضوعاً للقصاص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فأركان القتل العمد عند الإمامية بحسب الظاهر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الامتناع المؤدي إلى إزهاق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الفعل المادي على محل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معصومة مكافئة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الجنائي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الركن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يظهره كاستعمال آلة قاتلة عادة أو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يمكن استظهاره من كلمات فقهاء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أركان القتل العمد عند المذاهب الأخرى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المجني عليه آدمياً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محل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المادي المؤدي إلى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الركن المادي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الجنائي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قصد الجاني إحداث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الركن الثالث هو الركن المعنوي في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نضيف إلى محل الجريمة ما ذكر من أوصاف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كونها معصومة مكافئة</w:t>
      </w:r>
      <w:r>
        <w:rPr>
          <w:rFonts w:eastAsia="Amiri" w:cs="Amiri" w:ascii="Amiri" w:hAnsi="Amiri"/>
          <w:color w:val="111111"/>
          <w:sz w:val="28"/>
          <w:szCs w:val="28"/>
          <w:rtl w:val="true"/>
          <w:lang w:bidi="ar-SA"/>
        </w:rPr>
        <w:t xml:space="preserve">. </w:t>
      </w:r>
      <w:bookmarkStart w:id="115" w:name="pg9067_79694"/>
    </w:p>
    <w:p>
      <w:pPr>
        <w:pStyle w:val="Heading5"/>
        <w:numPr>
          <w:ilvl w:val="4"/>
          <w:numId w:val="1"/>
        </w:numPr>
        <w:rPr/>
      </w:pPr>
      <w:bookmarkStart w:id="116" w:name="__RefHeading___Toc2464940_2870459653"/>
      <w:bookmarkStart w:id="117" w:name="_Toc42"/>
      <w:bookmarkEnd w:id="115"/>
      <w:bookmarkEnd w:id="116"/>
      <w:r>
        <w:rPr>
          <w:rtl w:val="true"/>
        </w:rPr>
        <w:t>ثانياً</w:t>
      </w:r>
      <w:r>
        <w:rPr>
          <w:rtl w:val="true"/>
        </w:rPr>
        <w:t xml:space="preserve">: </w:t>
      </w:r>
      <w:r>
        <w:rPr>
          <w:rtl w:val="true"/>
        </w:rPr>
        <w:t>مصاديق القتل وتطبيقاته عند المذاهب الإسلامية</w:t>
      </w:r>
      <w:bookmarkEnd w:id="117"/>
    </w:p>
    <w:p>
      <w:pPr>
        <w:pStyle w:val="Heading6"/>
        <w:numPr>
          <w:ilvl w:val="5"/>
          <w:numId w:val="1"/>
        </w:numPr>
        <w:rPr/>
      </w:pPr>
      <w:bookmarkStart w:id="118" w:name="__RefHeading___Toc2464942_2870459653"/>
      <w:bookmarkStart w:id="119" w:name="_Toc43"/>
      <w:bookmarkEnd w:id="118"/>
      <w:r>
        <w:rPr/>
        <w:t>1</w:t>
      </w:r>
      <w:r>
        <w:rPr>
          <w:rtl w:val="true"/>
        </w:rPr>
        <w:t xml:space="preserve">- </w:t>
      </w:r>
      <w:r>
        <w:rPr>
          <w:rtl w:val="true"/>
        </w:rPr>
        <w:t>القتل بالمحدد والمحدد</w:t>
      </w:r>
      <w:bookmarkEnd w:id="119"/>
    </w:p>
    <w:p>
      <w:pPr>
        <w:pStyle w:val="BookText"/>
        <w:rPr/>
      </w:pPr>
      <w:r>
        <w:rPr>
          <w:rFonts w:ascii="Amiri" w:hAnsi="Amiri" w:eastAsia="Amiri" w:cs="Amiri"/>
          <w:color w:val="111111"/>
          <w:sz w:val="28"/>
          <w:sz w:val="28"/>
          <w:szCs w:val="28"/>
          <w:rtl w:val="true"/>
          <w:lang w:bidi="ar-SA"/>
        </w:rPr>
        <w:t>هو كل آلة محددة جارحة أو طاعنة لها مور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 أجزاء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أن يكون المحدد من مادة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يكون من الحديد أو النحاس أو الرصاص أو الذهب أو الفضة أو الزجاج أو الخشب أو القصب أو العظم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السكين والرمح والبندقية والمسلة والسهم والقنبلة والسيف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الآلات بطبيعتها قاتلة غالباً بل معدّة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عند الإمامية أن هذه الآلات إذا استعملت يتحقق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قُصد القتل ابتدءاً أم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ويتحقق العمد بقصد البالغ العاقل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بما لا يكون قاتلاً غالباً فيما إذا ترتب القتل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تحقق العمد بقصد ما يكون قاتلاً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قاصداً القتل ابتداءاً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ويستدل على ذلك بصحيحة الفضل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 الرجل بالحديدة فذلك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والحديدة من المحدد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تدل على أن الضرب بالحديدة التي يترتب عليه القتل عادة من القتل العمدي وإن لم يقصد الضاربُ القتل ابتداءاً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وتتفق المذاهب الأربعة مع الإمامية في أن القتل بالمحدد قتل عمد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لتحقق أركانه</w:t>
      </w:r>
      <w:r>
        <w:rPr>
          <w:rFonts w:eastAsia="Amiri" w:cs="Amiri" w:ascii="Amiri" w:hAnsi="Amiri"/>
          <w:color w:val="111111"/>
          <w:sz w:val="28"/>
          <w:szCs w:val="28"/>
          <w:rtl w:val="true"/>
          <w:lang w:bidi="ar-SA"/>
        </w:rPr>
        <w:t xml:space="preserve">. </w:t>
      </w:r>
      <w:bookmarkStart w:id="120" w:name="pg9067_79695"/>
    </w:p>
    <w:p>
      <w:pPr>
        <w:pStyle w:val="Heading6"/>
        <w:numPr>
          <w:ilvl w:val="5"/>
          <w:numId w:val="1"/>
        </w:numPr>
        <w:rPr/>
      </w:pPr>
      <w:bookmarkStart w:id="121" w:name="__RefHeading___Toc2464944_2870459653"/>
      <w:bookmarkStart w:id="122" w:name="_Toc44"/>
      <w:bookmarkEnd w:id="120"/>
      <w:bookmarkEnd w:id="121"/>
      <w:r>
        <w:rPr/>
        <w:t>2</w:t>
      </w:r>
      <w:r>
        <w:rPr>
          <w:rtl w:val="true"/>
        </w:rPr>
        <w:t xml:space="preserve">- </w:t>
      </w:r>
      <w:r>
        <w:rPr>
          <w:rtl w:val="true"/>
        </w:rPr>
        <w:t>القتل بالمثقل</w:t>
      </w:r>
      <w:bookmarkEnd w:id="122"/>
    </w:p>
    <w:p>
      <w:pPr>
        <w:pStyle w:val="BookText"/>
        <w:rPr/>
      </w:pPr>
      <w:r>
        <w:rPr>
          <w:rFonts w:ascii="Amiri" w:hAnsi="Amiri" w:eastAsia="Amiri" w:cs="Amiri"/>
          <w:color w:val="111111"/>
          <w:sz w:val="28"/>
          <w:sz w:val="28"/>
          <w:szCs w:val="28"/>
          <w:rtl w:val="true"/>
          <w:lang w:bidi="ar-SA"/>
        </w:rPr>
        <w:t>وهو ما ليس له حدّ كالعصى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فالإمامية يشترطون فيه التكرار والاستمرار إذا لم يقصد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القتل العمد بالتكرار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قصد القتل فهو عمد وإن لم يستمر بالضرب بالمثقل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ضربه بآلة واستمر على ضربه بها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شدّد في الضرب بما لا يتحمله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لا يتحمل أصل الضرب لعارض فيه فمات بأصل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العمد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لصدق تعمد القتل في ذلك عرفاً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ضربه بعودٍ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رماه بحصاة فاتفق موته لم يتحقق به موجب القصاص</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ويتفق مع الإمامية مالكُ والشافعي وأحمد في أن الضرب بالمثقل قتل عمد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أبي حنيفة حيث يعدّه قتلا ً شبه عمد</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2464946_2870459653"/>
      <w:bookmarkStart w:id="124" w:name="_Toc45"/>
      <w:bookmarkEnd w:id="123"/>
      <w:r>
        <w:rPr/>
        <w:t>3</w:t>
      </w:r>
      <w:r>
        <w:rPr>
          <w:rtl w:val="true"/>
        </w:rPr>
        <w:t xml:space="preserve">- </w:t>
      </w:r>
      <w:r>
        <w:rPr>
          <w:rtl w:val="true"/>
        </w:rPr>
        <w:t>الإلقاء في مهلكة</w:t>
      </w:r>
      <w:bookmarkEnd w:id="124"/>
    </w:p>
    <w:p>
      <w:pPr>
        <w:pStyle w:val="BookText"/>
        <w:rPr/>
      </w:pPr>
      <w:r>
        <w:rPr>
          <w:rFonts w:ascii="Amiri" w:hAnsi="Amiri" w:eastAsia="Amiri" w:cs="Amiri"/>
          <w:color w:val="111111"/>
          <w:sz w:val="28"/>
          <w:sz w:val="28"/>
          <w:szCs w:val="28"/>
          <w:rtl w:val="true"/>
          <w:lang w:bidi="ar-SA"/>
        </w:rPr>
        <w:t>فقهاء الإمامية يفرّقون بين ما إذا كان المجني عليه متمكناً من التخلص أو الفرار ولكنه لم يفر ولم يتخلص تكاسلا ً فلا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ألقاه في المهلكة ولم يمكنه الفرار أو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كتّفه وألقاه فهو عمد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ألقاه في منجم فحم 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حقل كهربائي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فيه حية قاتلة أو سبع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من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أمكنه الخلاص أو الفرار ولم يفر أو لم يتخلص تكاسلاً فلا قود ولا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أقدم على قتل نفسه باختياره فيكون دمه هدراً</w:t>
      </w:r>
      <w:r>
        <w:rPr>
          <w:rFonts w:eastAsia="Amiri" w:cs="Amiri" w:ascii="Amiri" w:hAnsi="Amiri"/>
          <w:color w:val="111111"/>
          <w:sz w:val="28"/>
          <w:szCs w:val="28"/>
          <w:rtl w:val="true"/>
          <w:lang w:bidi="ar-SA"/>
        </w:rPr>
        <w:t xml:space="preserve">. </w:t>
      </w:r>
      <w:bookmarkStart w:id="125" w:name="pg9067_79696"/>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يمكنه التخلص ولا 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كتفه وألقاه في المهلكة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يذهب مالك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فيعدّه عمداً إذا فعل به السبع فعلاً يقتل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الشافعي فهو يفرّق بين الصبي والبالغ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 السبع ضارياً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القتل شبه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حنيفة فلا يرى مسؤولية على الجاني في كل الصور المحتملة</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2464948_2870459653"/>
      <w:bookmarkStart w:id="127" w:name="_Toc46"/>
      <w:bookmarkEnd w:id="126"/>
      <w:r>
        <w:rPr/>
        <w:t>4</w:t>
      </w:r>
      <w:r>
        <w:rPr>
          <w:rtl w:val="true"/>
        </w:rPr>
        <w:t xml:space="preserve">- </w:t>
      </w:r>
      <w:r>
        <w:rPr>
          <w:rtl w:val="true"/>
        </w:rPr>
        <w:t>الإغراق والإحراق</w:t>
      </w:r>
      <w:bookmarkEnd w:id="127"/>
    </w:p>
    <w:p>
      <w:pPr>
        <w:pStyle w:val="BookText"/>
        <w:rPr/>
      </w:pPr>
      <w:r>
        <w:rPr>
          <w:rFonts w:ascii="Amiri" w:hAnsi="Amiri" w:eastAsia="Amiri" w:cs="Amiri"/>
          <w:color w:val="111111"/>
          <w:sz w:val="28"/>
          <w:sz w:val="28"/>
          <w:szCs w:val="28"/>
          <w:rtl w:val="true"/>
          <w:lang w:bidi="ar-SA"/>
        </w:rPr>
        <w:t>وهما الإلقاء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نهراً أم بحراً أم غيرهما، وأما الإلقاء في النار فهو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كبيرة أم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والإمامية يميّزون في هاتين الواقعتين بين حالة تمكن المجني عليه من التخلص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السيد السبزواري</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طرحه في النار أو ألقاه في البحر فأعجزه عن الخروج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منعه عن ذلك فمات 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لصدق التعمد إلى قتله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إطلاق أدلة القتل العمدي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صدق القتل العمد على هاتين الحالتين هو إعجاز المجني عليه ومنعه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فإذا كان غير عاجز عن الخروج ولم يمنعه منه فلم يصدق عليه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الشافعي وأحمد مع الإمامية في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ويعدّاه عمداً في حالة عدم إمكان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إمكانه فلا 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 فيعدّه قتلاً عمداً سواء أمكنه التخلص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حنيفة فيراه قتل عمد إذا كان الإحراق مما يقتل غالباً فهو قتل عمد وإلا فهو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الإغراق فهو شبه عمد دائماً</w:t>
      </w:r>
      <w:r>
        <w:rPr>
          <w:rFonts w:eastAsia="Amiri" w:cs="Amiri" w:ascii="Amiri" w:hAnsi="Amiri"/>
          <w:color w:val="111111"/>
          <w:sz w:val="28"/>
          <w:szCs w:val="28"/>
          <w:rtl w:val="true"/>
          <w:lang w:bidi="ar-SA"/>
        </w:rPr>
        <w:t xml:space="preserve">. </w:t>
      </w:r>
      <w:bookmarkStart w:id="128" w:name="pg9067_79697"/>
    </w:p>
    <w:p>
      <w:pPr>
        <w:pStyle w:val="Heading6"/>
        <w:numPr>
          <w:ilvl w:val="5"/>
          <w:numId w:val="1"/>
        </w:numPr>
        <w:rPr/>
      </w:pPr>
      <w:bookmarkStart w:id="129" w:name="__RefHeading___Toc2464950_2870459653"/>
      <w:bookmarkStart w:id="130" w:name="_Toc47"/>
      <w:bookmarkEnd w:id="128"/>
      <w:bookmarkEnd w:id="129"/>
      <w:r>
        <w:rPr/>
        <w:t>5</w:t>
      </w:r>
      <w:r>
        <w:rPr>
          <w:rtl w:val="true"/>
        </w:rPr>
        <w:t xml:space="preserve">- </w:t>
      </w:r>
      <w:r>
        <w:rPr>
          <w:rtl w:val="true"/>
        </w:rPr>
        <w:t>الخنق</w:t>
      </w:r>
      <w:bookmarkEnd w:id="130"/>
    </w:p>
    <w:p>
      <w:pPr>
        <w:pStyle w:val="BookText"/>
        <w:rPr/>
      </w:pPr>
      <w:r>
        <w:rPr>
          <w:rFonts w:ascii="Amiri" w:hAnsi="Amiri" w:eastAsia="Amiri" w:cs="Amiri"/>
          <w:color w:val="111111"/>
          <w:sz w:val="28"/>
          <w:sz w:val="28"/>
          <w:szCs w:val="28"/>
          <w:rtl w:val="true"/>
          <w:lang w:bidi="ar-SA"/>
        </w:rPr>
        <w:t>والمقصود به منع خروج النَّفَس بأي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شنق الجاني المجني عليه بحبل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خنقه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غمه بوسادة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بأي شيء وضعه على فيه أو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والخنق عند الفقهاء الإمامية مما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مصداقاً للقتل العمد وركناً مادياً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فهو عندهم يُثبت القتل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السيد الخوئي</w:t>
      </w:r>
      <w:r>
        <w:rPr>
          <w:rStyle w:val="FootnoteAnchor"/>
          <w:rtl w:val="true"/>
        </w:rPr>
        <w:footnoteReference w:id="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هذا القبيل ما إذا خنقه بحبل ولم يرخه عنه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الموارد وأشباهها داخلة في القتل العمدي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 العمد في القتل هو إيجاد عمل يقصد به القتل أو يترتب عليه الموت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متحقق في جميع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يقول السيد السبزواري</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خنقه بحبل ولم يرفعه عنه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الأسباب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العمد يكون فيه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كله بين أن يموت بنفس هذا العمل بلا تخلل زمان أو مات موتاً مستنداً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استناد الموت إلى فعله عرفاً مع كون الفعل مما يقتل وان تخلل زمان بينهما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الخنق مصداقٌ للعمد حتى لو تخلل زمان بينه وبين الموت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والشافعي وأحمد يفرّقان بين ما إذا كان الخنق لمدّة يموت في مثلها فهو قتل عمد وبين ما إذا كانت مدّة لا يموت في مثلها فهو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 فعنده الخنق عمد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حنيفة فيعدّ الخنق في كل الأحوال شبه عمد</w:t>
      </w:r>
      <w:r>
        <w:rPr>
          <w:rFonts w:eastAsia="Amiri" w:cs="Amiri" w:ascii="Amiri" w:hAnsi="Amiri"/>
          <w:color w:val="111111"/>
          <w:sz w:val="28"/>
          <w:szCs w:val="28"/>
          <w:rtl w:val="true"/>
          <w:lang w:bidi="ar-SA"/>
        </w:rPr>
        <w:t xml:space="preserve">. </w:t>
      </w:r>
      <w:bookmarkStart w:id="131" w:name="pg9067_79698"/>
    </w:p>
    <w:p>
      <w:pPr>
        <w:pStyle w:val="Heading6"/>
        <w:numPr>
          <w:ilvl w:val="5"/>
          <w:numId w:val="1"/>
        </w:numPr>
        <w:rPr/>
      </w:pPr>
      <w:bookmarkStart w:id="132" w:name="__RefHeading___Toc2464952_2870459653"/>
      <w:bookmarkStart w:id="133" w:name="_Toc48"/>
      <w:bookmarkEnd w:id="131"/>
      <w:bookmarkEnd w:id="132"/>
      <w:r>
        <w:rPr/>
        <w:t>6</w:t>
      </w:r>
      <w:r>
        <w:rPr>
          <w:rtl w:val="true"/>
        </w:rPr>
        <w:t xml:space="preserve">- </w:t>
      </w:r>
      <w:r>
        <w:rPr>
          <w:rtl w:val="true"/>
        </w:rPr>
        <w:t>الحبس ومنع الطعام والشراب</w:t>
      </w:r>
      <w:bookmarkEnd w:id="133"/>
    </w:p>
    <w:p>
      <w:pPr>
        <w:pStyle w:val="BookText"/>
        <w:rPr/>
      </w:pPr>
      <w:r>
        <w:rPr>
          <w:rFonts w:ascii="Amiri" w:hAnsi="Amiri" w:eastAsia="Amiri" w:cs="Amiri"/>
          <w:color w:val="111111"/>
          <w:sz w:val="28"/>
          <w:sz w:val="28"/>
          <w:szCs w:val="28"/>
          <w:rtl w:val="true"/>
          <w:lang w:bidi="ar-SA"/>
        </w:rPr>
        <w:t>الظاهر إجماع الإمامية على أن هذا المورد من موارد القتل العمد؛ لصدق تعمد القتل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أشار السيد الخوئي</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حبسه في مكان ومنع عنه الطعام والشراب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الموارد وأشباهها داخلة في القتل العمدي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إلى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وملاك العمد في القتل هو إيجاد عمل يقصد به القتل أو يترتب عليه الموت غالباً وهو متحقق</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منعه عن الطعام والشراب مدّة لا يتحمل مثله فيها عن ذلك عادة فمات فهو عمد لصدق تعمد القتل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فاشترط السيد السبزواري لذلك عدم التحمل لتلك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كانت المدّة التي منع عنه الطعام والشراب تتحمل عادة فهنا يفرقون بين حالتين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حالة كون الجاني قاصداً للقتل ولو رجاءاً فيكون عمدا</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حالة عدم قصد القتل فهو شبه العمد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ويتفق الشافعي وأحمد مع الإمامية في أن المدّة التي منع عنها إذا كان يموت في مثلها فهو عمد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 فيعدّها عمداً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حنيفة فلا يرى مسؤولية الجاني أصلاً</w:t>
      </w:r>
      <w:r>
        <w:rPr>
          <w:rFonts w:eastAsia="Amiri" w:cs="Amiri" w:ascii="Amiri" w:hAnsi="Amiri"/>
          <w:color w:val="111111"/>
          <w:sz w:val="28"/>
          <w:szCs w:val="28"/>
          <w:rtl w:val="true"/>
          <w:lang w:bidi="ar-SA"/>
        </w:rPr>
        <w:t xml:space="preserve">. </w:t>
      </w:r>
      <w:bookmarkStart w:id="134" w:name="pg9067_79699"/>
    </w:p>
    <w:p>
      <w:pPr>
        <w:pStyle w:val="Heading6"/>
        <w:numPr>
          <w:ilvl w:val="5"/>
          <w:numId w:val="1"/>
        </w:numPr>
        <w:rPr/>
      </w:pPr>
      <w:bookmarkStart w:id="135" w:name="__RefHeading___Toc2464954_2870459653"/>
      <w:bookmarkStart w:id="136" w:name="_Toc49"/>
      <w:bookmarkEnd w:id="134"/>
      <w:bookmarkEnd w:id="135"/>
      <w:r>
        <w:rPr/>
        <w:t>7</w:t>
      </w:r>
      <w:r>
        <w:rPr>
          <w:rtl w:val="true"/>
        </w:rPr>
        <w:t xml:space="preserve">- </w:t>
      </w:r>
      <w:r>
        <w:rPr>
          <w:rtl w:val="true"/>
        </w:rPr>
        <w:t>التسميم</w:t>
      </w:r>
      <w:bookmarkEnd w:id="136"/>
    </w:p>
    <w:p>
      <w:pPr>
        <w:pStyle w:val="BookText"/>
        <w:rPr/>
      </w:pPr>
      <w:r>
        <w:rPr>
          <w:rFonts w:ascii="Amiri" w:hAnsi="Amiri" w:eastAsia="Amiri" w:cs="Amiri"/>
          <w:color w:val="111111"/>
          <w:sz w:val="28"/>
          <w:sz w:val="28"/>
          <w:szCs w:val="28"/>
          <w:rtl w:val="true"/>
          <w:lang w:bidi="ar-SA"/>
        </w:rPr>
        <w:t>الإمامية يفرقون بين عدّة صور للتسميم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أنهم يفرقون بين علم الآكل وجهله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بين كون السم مما يقتل عادة وما لا يقتل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جعلها أربع صور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السم مما يقتل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والآكل على علم به وكان مميزاً ومع ذلك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القتل العمد؛ وذلك لان الآكل أعان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السم مما يقتل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الآكل لا يعلم به ومميزاً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القتل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السم مما يقتل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الآكل يعلم به ولكنه غير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القتل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السم مما يقتل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والآكل لا يعلم به وغير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القتل العمد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 أشار إليها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أطعمه عمداً طعاماً مسموماً يقتل عادة فإن علم الآكل بالحال وكان مميزاً ومع ذلك أقدم على أكله فمات فهو المعين على نفسه فلا قود ولا دية على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الآكل به أو كان غير مميز فأكل فمات فعلى المطعم القصاص بلا فرق بين قصده القتل به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القتل العمدي وإن لم يكن القتل مقصوداً له ابتداءاً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أمور يمكن الإشارة إليها إجمالاً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الإمامية تُميّز بين ما إذا قال الجاني للمجني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سماً غير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علم المجني عليه بأوصاف السم وإطلاقه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أن قول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تغرير بالمجني عليه</w:t>
      </w:r>
      <w:r>
        <w:rPr>
          <w:rFonts w:eastAsia="Amiri" w:cs="Amiri" w:ascii="Amiri" w:hAnsi="Amiri"/>
          <w:color w:val="111111"/>
          <w:sz w:val="28"/>
          <w:szCs w:val="28"/>
          <w:rtl w:val="true"/>
          <w:lang w:bidi="ar-SA"/>
        </w:rPr>
        <w:t xml:space="preserve">. </w:t>
      </w:r>
      <w:bookmarkStart w:id="137" w:name="pg9067_79700"/>
    </w:p>
    <w:p>
      <w:pPr>
        <w:pStyle w:val="BookText"/>
        <w:rPr/>
      </w:pPr>
      <w:bookmarkEnd w:id="137"/>
      <w:r>
        <w:rPr>
          <w:rFonts w:ascii="Amiri" w:hAnsi="Amiri" w:eastAsia="Amiri" w:cs="Amiri"/>
          <w:color w:val="111111"/>
          <w:sz w:val="28"/>
          <w:sz w:val="28"/>
          <w:szCs w:val="28"/>
          <w:rtl w:val="true"/>
          <w:lang w:bidi="ar-SA"/>
        </w:rPr>
        <w:t xml:space="preserve">والفقهاء الإمامية يعدّون وضع السم غير القاتل مع قصد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معهم مالك بأن التسميم قتل عمد إلا إذا علم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أحمد والشافعي فهما يفرّقان بين المميز وغيره وكون السم مما يقتل عادة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حنيفة فلا يعدّه قتلاً عمداً ويعزّر الجاني عنده</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2464956_2870459653"/>
      <w:bookmarkStart w:id="139" w:name="_Toc50"/>
      <w:bookmarkEnd w:id="138"/>
      <w:r>
        <w:rPr/>
        <w:t>8</w:t>
      </w:r>
      <w:r>
        <w:rPr>
          <w:rtl w:val="true"/>
        </w:rPr>
        <w:t xml:space="preserve">- </w:t>
      </w:r>
      <w:r>
        <w:rPr>
          <w:rtl w:val="true"/>
        </w:rPr>
        <w:t>القتل بوسيلة معنوية</w:t>
      </w:r>
      <w:bookmarkEnd w:id="139"/>
    </w:p>
    <w:p>
      <w:pPr>
        <w:pStyle w:val="BookText"/>
        <w:rPr/>
      </w:pPr>
      <w:r>
        <w:rPr>
          <w:rFonts w:ascii="Amiri" w:hAnsi="Amiri" w:eastAsia="Amiri" w:cs="Amiri"/>
          <w:color w:val="111111"/>
          <w:sz w:val="28"/>
          <w:sz w:val="28"/>
          <w:szCs w:val="28"/>
          <w:rtl w:val="true"/>
          <w:lang w:bidi="ar-SA"/>
        </w:rPr>
        <w:t>الفقهاءالإمامية يعدّون الخوف والرعب وغيرهما مما يُعد من الوسائل المعنوية التي ليست لها واقعية قتلاً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تقتل غالباً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ذلك أشار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سحره فتراءى له أن الأسد يحمل عليه فمات خوفاً كان على الساحر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للسحر حقيقة موضوعية بل هو إرائة غير الواقع بصورة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ويتفق معهم مالك في أن القتل بوسيلة معنوية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أحمد فيعدّه قتلا ً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والشافعي يتفق مع أحمد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أبو حنيفة فإنّه يراه قتلاً شبه عمد</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2464958_2870459653"/>
      <w:bookmarkStart w:id="141" w:name="_Toc51"/>
      <w:bookmarkEnd w:id="140"/>
      <w:r>
        <w:rPr/>
        <w:t>9</w:t>
      </w:r>
      <w:r>
        <w:rPr>
          <w:rtl w:val="true"/>
        </w:rPr>
        <w:t xml:space="preserve">- </w:t>
      </w:r>
      <w:r>
        <w:rPr>
          <w:rtl w:val="true"/>
        </w:rPr>
        <w:t>القتل بسبب شرعي</w:t>
      </w:r>
      <w:bookmarkEnd w:id="141"/>
    </w:p>
    <w:p>
      <w:pPr>
        <w:pStyle w:val="BookText"/>
        <w:rPr/>
      </w:pPr>
      <w:r>
        <w:rPr>
          <w:rFonts w:ascii="Amiri" w:hAnsi="Amiri" w:eastAsia="Amiri" w:cs="Amiri"/>
          <w:color w:val="111111"/>
          <w:sz w:val="28"/>
          <w:sz w:val="28"/>
          <w:szCs w:val="28"/>
          <w:rtl w:val="true"/>
          <w:lang w:bidi="ar-SA"/>
        </w:rPr>
        <w:t>وذلك عندما يشهد شخص أمام القاضي على أن فلانا مرتد أو زَنا بالمحصنة أو غير ذلك فيحكم عليه بالقتل فيقتل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يتضح كذب الشهود بعد تنفيذ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يعدّ عمداً أم لا؟</w:t>
      </w:r>
    </w:p>
    <w:p>
      <w:pPr>
        <w:pStyle w:val="BookText"/>
        <w:rPr/>
      </w:pPr>
      <w:r>
        <w:rPr>
          <w:rFonts w:ascii="Amiri" w:hAnsi="Amiri" w:eastAsia="Amiri" w:cs="Amiri"/>
          <w:color w:val="111111"/>
          <w:sz w:val="28"/>
          <w:sz w:val="28"/>
          <w:szCs w:val="28"/>
          <w:rtl w:val="true"/>
          <w:lang w:bidi="ar-SA"/>
        </w:rPr>
        <w:t>وكذلك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إذا حكم بالإعدام على شخص ظلماً وهو عالم بذلك ومتعمد له عُدّ قاتلاً للمحكوم عليه عمداً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ولي الدم إذا قتل المحكوم عليه بالقصاص ظلماً وهو عالم أنه مظلوم يعدّ قاتلاً له عمداً</w:t>
      </w:r>
      <w:r>
        <w:rPr>
          <w:rFonts w:eastAsia="Amiri" w:cs="Amiri" w:ascii="Amiri" w:hAnsi="Amiri"/>
          <w:color w:val="111111"/>
          <w:sz w:val="28"/>
          <w:szCs w:val="28"/>
          <w:rtl w:val="true"/>
          <w:lang w:bidi="ar-SA"/>
        </w:rPr>
        <w:t xml:space="preserve">. </w:t>
      </w:r>
      <w:bookmarkStart w:id="142" w:name="pg9067_79701"/>
    </w:p>
    <w:p>
      <w:pPr>
        <w:pStyle w:val="BookText"/>
        <w:rPr/>
      </w:pPr>
      <w:bookmarkEnd w:id="142"/>
      <w:r>
        <w:rPr>
          <w:rFonts w:ascii="Amiri" w:hAnsi="Amiri" w:eastAsia="Amiri" w:cs="Amiri"/>
          <w:color w:val="111111"/>
          <w:sz w:val="28"/>
          <w:sz w:val="28"/>
          <w:szCs w:val="28"/>
          <w:rtl w:val="true"/>
          <w:lang w:bidi="ar-SA"/>
        </w:rPr>
        <w:t xml:space="preserve">وإلى هذا المعنى أشار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أعم من المباشرة والتسبيب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موضوع العمد في كل منهما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فيشمله إطلاق الأدلة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تمت الشهادة عند الحاكم على ثبوت موجب القتل على شخص من ارتداد أو زنا بمحصنة أو نحوهما وبعد استيفاء الحد ظهر أن الشهود كانوا زوراً فالضمان على الشهود دون الحاكم والمأمور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ونصوصاً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معتبرة ابن محبوب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أربعة شهدوا على رجل محصن بالزنا ثم رجع أحدهم بعدما قتل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وهمتُ ضُرِب الحد وغرم الدية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قُتِل</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السيد السبزواري</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الولي بأن الشهادة شهادة زور وباشر القصاص كان عليه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 بالقتل عدواناً من غير غرور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العالم بالتزوير أو بفسق الشهود بين الولي الشرعي للقصاص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عموم دليل القصاص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والمذاهب الأربعة جميعاً يعتبرون الشاهد قاتلاً عمداً</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أبا حنيفة لا يرى فيه القصاص وكذلك الحاكم وولي الدم</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2464960_2870459653"/>
      <w:bookmarkStart w:id="144" w:name="_Toc52"/>
      <w:bookmarkEnd w:id="143"/>
      <w:r>
        <w:rPr/>
        <w:t>10</w:t>
      </w:r>
      <w:r>
        <w:rPr>
          <w:rtl w:val="true"/>
        </w:rPr>
        <w:t xml:space="preserve">- </w:t>
      </w:r>
      <w:r>
        <w:rPr>
          <w:rtl w:val="true"/>
        </w:rPr>
        <w:t>رضا المجني عليه بالقتل</w:t>
      </w:r>
      <w:bookmarkEnd w:id="14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رضا المجني عليه بالقتل يجعل الجريمة مباحة أم لا؟ </w:t>
      </w:r>
    </w:p>
    <w:p>
      <w:pPr>
        <w:pStyle w:val="BookText"/>
        <w:rPr/>
      </w:pPr>
      <w:r>
        <w:rPr>
          <w:rFonts w:ascii="Amiri" w:hAnsi="Amiri" w:eastAsia="Amiri" w:cs="Amiri"/>
          <w:color w:val="111111"/>
          <w:sz w:val="28"/>
          <w:sz w:val="28"/>
          <w:szCs w:val="28"/>
          <w:rtl w:val="true"/>
          <w:lang w:bidi="ar-SA"/>
        </w:rPr>
        <w:t>المذهب الإمامي يفرّق بين البالغ العاقل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أن الإذن بالقتل لا يبيح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رضا المجني عليه ليس ركناً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السرقة حيث إن رضا المجني عليه ركنٌ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أشار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 قد ارتكب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حرمة القتل لا ترتفع بإذن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بالغ عاقل لشخص آخر اقتلني وإلا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الإذن لا يرفع الحرمة الشرعية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العقوبة المقرّرة لذلك فهل هي ثبوت القصاص أو الدية أو التعزير؟</w:t>
      </w:r>
    </w:p>
    <w:p>
      <w:pPr>
        <w:pStyle w:val="BookText"/>
        <w:rPr/>
      </w:pPr>
      <w:r>
        <w:rPr>
          <w:rFonts w:ascii="Amiri" w:hAnsi="Amiri" w:eastAsia="Amiri" w:cs="Amiri"/>
          <w:color w:val="111111"/>
          <w:sz w:val="28"/>
          <w:sz w:val="28"/>
          <w:szCs w:val="28"/>
          <w:rtl w:val="true"/>
          <w:lang w:bidi="ar-SA"/>
        </w:rPr>
        <w:t>الظاهر عند الإمامية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وهو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القصاص واستدلوا على ذلك بأن الآمر قد أسقط حقه بالإذن فلا يتسلط عليه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كلام المحقق وان كان هو الإكراه إلا أن تعليله يعم صورة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نسبه إليه السيد الخوئي</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الاختيار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لو قتله بمجرد الإيعاد يكون آثماً وفي ثبوت القصاص أو الدية إشكال بل منع</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الإثم </w:t>
      </w:r>
      <w:bookmarkStart w:id="145" w:name="pg9067_79703"/>
    </w:p>
    <w:p>
      <w:pPr>
        <w:pStyle w:val="BookText"/>
        <w:rPr/>
      </w:pPr>
      <w:bookmarkEnd w:id="145"/>
      <w:r>
        <w:rPr>
          <w:rFonts w:ascii="Amiri" w:hAnsi="Amiri" w:eastAsia="Amiri" w:cs="Amiri"/>
          <w:color w:val="111111"/>
          <w:sz w:val="28"/>
          <w:sz w:val="28"/>
          <w:szCs w:val="28"/>
          <w:rtl w:val="true"/>
          <w:lang w:bidi="ar-SA"/>
        </w:rPr>
        <w:t>فلأصالة بقاء الحرمة من غير دليل 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القصاص والدية فللشك في ثبوتهما في المقام الذي أذن فيه الشخص بقتل نفسه وهتك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أصالة البراءة عنهما ولا يجوز التمسك بإطلاق دليلهما لأنه تمسك بالدليل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يثبت القصاص عندئذٍ أو لا؟ الأظهر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القاتل مختاراً أو متوعداً بما دون القتل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الإنسان غير مسلط على إتلاف نفسه ليكون إذنه بالإتلاف مسقطاً للضمان كما هو الحال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فعمومات أدلة القصاص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معهم أبو حنيفة في أن الإذن بالقتل لا يبيح القتل فيعدّه قتلاً عمداً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مالك</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رأي للشافعي أنه عَمد ولكن عليه الدية لا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أحمد فيرى أنْ لا عقاب على الجاني وهو يتفق مع رأي آخر للشافعي</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 w:name="__RefHeading___Toc2464962_2870459653"/>
      <w:bookmarkStart w:id="147" w:name="_Toc53"/>
      <w:bookmarkEnd w:id="146"/>
      <w:r>
        <w:rPr/>
        <w:t>11</w:t>
      </w:r>
      <w:r>
        <w:rPr>
          <w:rtl w:val="true"/>
        </w:rPr>
        <w:t xml:space="preserve">- </w:t>
      </w:r>
      <w:r>
        <w:rPr>
          <w:rtl w:val="true"/>
        </w:rPr>
        <w:t>الشراكة في القتل</w:t>
      </w:r>
      <w:bookmarkEnd w:id="147"/>
    </w:p>
    <w:p>
      <w:pPr>
        <w:pStyle w:val="BookText"/>
        <w:rPr/>
      </w:pPr>
      <w:r>
        <w:rPr>
          <w:rFonts w:ascii="Amiri" w:hAnsi="Amiri" w:eastAsia="Amiri" w:cs="Amiri"/>
          <w:color w:val="111111"/>
          <w:sz w:val="28"/>
          <w:sz w:val="28"/>
          <w:szCs w:val="28"/>
          <w:rtl w:val="true"/>
          <w:lang w:bidi="ar-SA"/>
        </w:rPr>
        <w:t xml:space="preserve">بأنْ يشترك اثنان أو أكثر بقتل شخص أو أكثر فيقول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اشترك اثنان أو أكثر في قتل واحد اقتص منهم الولي إن شاء مع ردّ ما فضل من دية المقتص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والإطلاق والاتفاق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 الفضيل بن يسار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قتلوا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شاء أولياؤه قتلوهم جميعاً وغرموا تسع 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شاءوا تخيروا رجلاً قتلوه وأدى التسعة الباقون إلى أهل المقتول الأخير عشر الدية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الوالي بعد يلي أدبهم وحبسهم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السيد السبزواري</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الاشتراك في القتل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يفعل كل منهم ما يقتل لو انفرد مثل أن يجرحوه بجراحات كل واحدة منها تكفي في القتل أو يلقوه في النار أو من شاهق أو في البحر أو نحو ذلك من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السببية بالنسبةإلى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إسناد القتل إلى كل واحد منهم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حكم القصاص بالنسبة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فيُخيّر ولي الدم بين قتلهم جميعاً ودفع ديات تسعة منهم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يختار بعضهم فيدفع دية الزائد والباقون يدفعون إلى المقتص منهم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السراية مع قصد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اجتمع عليه جمع فجرحه كل واحد منهم بما لا يقتل منفرداً ولكن سرت الجميع فمات بسبب السراية فعليهم القود بالنحو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التسبب إلى القتل بالسراية مع قصده الجناية والسراية توجب الموت وإزهاق الروح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التطبيقات جميعها تحقق أركان القتل العمد باعتبارها الفعل المادي أو المعنوي المؤدي إلى إزهاق الروح مع تحقق القصد الجنائي أو استعمال ما يقتل غالباً أو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وبتحقق أركان القتل العمد جميعها يتحقق موضوع القصاص فيوجِب القود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المتفق عليه بين المذاهب الأربعة أن تعدد الجناة لا يمنع من الحكم عليهم بالقصاص ما دام كل منهم قد باشر الجناية</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حالة الإعانة على القتل أو التحريض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أن القاتل في الحالتين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التوافق وحالة التوافق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منه ولو تعدد المباشرون سواء كان اجتماعهم على القتل نتيجة اتفاق سابق أو توافق غير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الخلاف</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حكم مَن اتفق ولم يحضر القتل أو أعان عليه ولم يباشر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حنيفة والشافعي وأحمد يرون القصاص من المباشر فقط وتعزير مَن لم يباشر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يرى قتل مَن حضر ولم يباشر ومَن أعان ولم يباشر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اتفق ولم يحضر فعليه التعزير في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أمسك رجلاً وقتله آخر فإن أمسكه بقصد القتل فعلى المباشر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الممسك فمالك يرى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أبو حنيفة والشافعي تعزير الممسك ولو امسكه بقصد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يرى القصاص من الممسك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أمر آخر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المأمور صبياً غير مميز أو مجنوناً فيرى مالك والشافعي وأحمد القصاص من الآمر لأنه هو المتسبب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يرى أبو حنيفة القصاص من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المأمور بالغاً عاقلاً ولا سلطان للآمر عليه فمالك والشافعي وأحمد يرون القصاص من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الآمر فعليه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مالك القصاص من الآمر أيضاً إذا حضر القتل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المأمور بالغاً عاقلاً وكان للآمر سلطان عليه بحيث يخشى أن يقتله لو </w:t>
      </w:r>
    </w:p>
    <w:p>
      <w:pPr>
        <w:pStyle w:val="BookText"/>
        <w:rPr/>
      </w:pPr>
      <w:r>
        <w:rPr>
          <w:rFonts w:ascii="Amiri" w:hAnsi="Amiri" w:eastAsia="Amiri" w:cs="Amiri"/>
          <w:color w:val="111111"/>
          <w:sz w:val="28"/>
          <w:sz w:val="28"/>
          <w:szCs w:val="28"/>
          <w:rtl w:val="true"/>
          <w:lang w:bidi="ar-SA"/>
        </w:rPr>
        <w:t>لم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 من الآمر والمأمور معاً عند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احمد مع مالك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حنيفة فعنده يقتص من الآمر في حالة الإكراه فقط</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بيّنا آراء الفقهاء المسلمين في هذه الجرائم وأنها تحقق أركان القتل العمد عندهم بحسب ما ذكرناه من كونها أفعال مادية أو معنوية تؤدي إلى الوفاة وبقصد القتل</w:t>
      </w:r>
      <w:r>
        <w:rPr>
          <w:rFonts w:eastAsia="Amiri" w:cs="Amiri" w:ascii="Amiri" w:hAnsi="Amiri"/>
          <w:color w:val="111111"/>
          <w:sz w:val="28"/>
          <w:szCs w:val="28"/>
          <w:rtl w:val="true"/>
          <w:lang w:bidi="ar-SA"/>
        </w:rPr>
        <w:t xml:space="preserve">. </w:t>
      </w:r>
      <w:bookmarkStart w:id="148" w:name="pg9067_79707"/>
    </w:p>
    <w:p>
      <w:pPr>
        <w:pStyle w:val="Heading3"/>
        <w:numPr>
          <w:ilvl w:val="2"/>
          <w:numId w:val="1"/>
        </w:numPr>
        <w:rPr/>
      </w:pPr>
      <w:bookmarkStart w:id="149" w:name="__RefHeading___Toc2464964_2870459653"/>
      <w:bookmarkStart w:id="150" w:name="_Toc54"/>
      <w:bookmarkEnd w:id="148"/>
      <w:bookmarkEnd w:id="149"/>
      <w:r>
        <w:rPr>
          <w:rtl w:val="true"/>
        </w:rPr>
        <w:t>المصادر والمراجع</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لأعمال الأبرار في فقه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يوسف الاردبيلي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الجنائي الإسلامي مقارناً بالقانون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الكاتب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أحياء التراث العربي 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ثالثة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الحوالك على 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صدر الدين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أحياء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العاملي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ثامن الحجج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الفقهية في 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حسن ترحيني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الهادي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الزهراء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قانون العقوبات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المعارف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قانون العقوبات العراقي وتعديلاته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 مرعشلي وأسامة 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العقوبات القسم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واثبة داود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العقوبات 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وتعديلاته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نبيل عبد الرحمن حياوي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ثانية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مط المكتبة القانونية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الخاص في قانون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رمسيس بهنام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المعارف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من لا يحضره الفقيه –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برزكر بفروبي ط 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مط تكي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العامة في قانون العقوبات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خلف و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عبد القادر الشاوي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المكتبة القانونية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الحوزة العلمية السيد أبو القاسم الموسوي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في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العاملي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باسدار إسلام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 موفق الدين أبو محمد عبد الله بن احمد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الحديث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لويس اليسوعي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تاسعة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الكاثوليكية بيروت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الأحكام في بيان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الأعلى الموسوي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مسائل تحصيل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9067_79711"/>
      <w:bookmarkStart w:id="152" w:name="pg9067_79711"/>
      <w:bookmarkEnd w:id="152"/>
    </w:p>
    <w:p>
      <w:pPr>
        <w:pStyle w:val="Heading2"/>
        <w:numPr>
          <w:ilvl w:val="1"/>
          <w:numId w:val="1"/>
        </w:numPr>
        <w:rPr/>
      </w:pPr>
      <w:bookmarkStart w:id="153" w:name="pg9067_79711"/>
      <w:bookmarkStart w:id="154" w:name="__RefHeading___Toc2464966_2870459653"/>
      <w:bookmarkStart w:id="155" w:name="_Toc55"/>
      <w:bookmarkEnd w:id="153"/>
      <w:bookmarkEnd w:id="154"/>
      <w:r>
        <w:rPr>
          <w:rtl w:val="true"/>
        </w:rPr>
        <w:t xml:space="preserve">سقوط الأذان عند الجمع بين الفريضتين </w:t>
      </w:r>
      <w:r>
        <w:rPr>
          <w:rtl w:val="true"/>
        </w:rPr>
        <w:t xml:space="preserve">- </w:t>
      </w:r>
      <w:r>
        <w:rPr>
          <w:rtl w:val="true"/>
        </w:rPr>
        <w:t>الشيخ جاسم الفهدي</w:t>
      </w:r>
      <w:bookmarkEnd w:id="155"/>
    </w:p>
    <w:p>
      <w:pPr>
        <w:pStyle w:val="Heading3"/>
        <w:numPr>
          <w:ilvl w:val="2"/>
          <w:numId w:val="1"/>
        </w:numPr>
        <w:rPr/>
      </w:pPr>
      <w:bookmarkStart w:id="156" w:name="__RefHeading___Toc2464968_2870459653"/>
      <w:bookmarkStart w:id="157" w:name="_Toc56"/>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استعرض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مواطن لسقوط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منها حالة الجمع بين فرضي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وقع مثاراً للاختلاف بين الأقوال والكلمات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جاءت هذه الدراسة للبحث عن تلك الأقوال وبيان مستند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اختيار الأقرب بحسب ما توصل إليه البحث من نتائج</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9067_79713"/>
      <w:bookmarkStart w:id="159" w:name="pg9067_79713"/>
      <w:bookmarkEnd w:id="159"/>
    </w:p>
    <w:p>
      <w:pPr>
        <w:pStyle w:val="BookText"/>
        <w:rPr/>
      </w:pPr>
      <w:bookmarkStart w:id="160" w:name="pg9067_79713"/>
      <w:bookmarkEnd w:id="160"/>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مِنَ الثابت في الشريعة الإسلامية المقدَّسة استحباب الجمع بين الصلاتين في عدَّة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كظهري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وعشائي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يوم الجمعة لمن صلَّى الجمعة؛ وذكر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منهم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الأذان الثاني في هاتين الصلاتين يسقط عن الاستحباب، إلَّا أنَّه هل يسقط الأذان الثاني في موارد الجمع غير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الجمع في الفرائض اليومية أو الجمع في يوم الجمعة لمن صلى الظهرين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وقع خلاف بين الأَعلام في السقوط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جمعٌ سقوط ذلك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الخلاف في أنحاء هذا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على نحو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يحرم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نحو الرخصة؟ وهذا ما سوف يقع مداراً لبحثنا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نبحث في حقيقة الجمع أو بماذا يتحقق التفريق، وسوف نقسم البحث إلى ثلاثة مقامات</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464970_2870459653"/>
      <w:bookmarkStart w:id="162" w:name="_Toc57"/>
      <w:bookmarkEnd w:id="161"/>
      <w:r>
        <w:rPr>
          <w:rtl w:val="true"/>
        </w:rPr>
        <w:t>المقام الأول</w:t>
      </w:r>
      <w:bookmarkEnd w:id="162"/>
    </w:p>
    <w:p>
      <w:pPr>
        <w:pStyle w:val="Heading4"/>
        <w:numPr>
          <w:ilvl w:val="3"/>
          <w:numId w:val="1"/>
        </w:numPr>
        <w:rPr/>
      </w:pPr>
      <w:bookmarkStart w:id="163" w:name="__RefHeading___Toc2464972_2870459653"/>
      <w:bookmarkStart w:id="164" w:name="_Toc58"/>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في سقوط الأذان الثاني عند الجمع بين الصلاتين جمعاً غير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وسنسلّط الضوء في هذا المقام على ثلاثة محاور</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464974_2870459653"/>
      <w:bookmarkStart w:id="166" w:name="_Toc59"/>
      <w:bookmarkEnd w:id="165"/>
      <w:r>
        <w:rPr>
          <w:rtl w:val="true"/>
        </w:rPr>
        <w:t>المحور الأَول</w:t>
      </w:r>
      <w:r>
        <w:rPr>
          <w:rtl w:val="true"/>
        </w:rPr>
        <w:t xml:space="preserve">: </w:t>
      </w:r>
      <w:r>
        <w:rPr>
          <w:rtl w:val="true"/>
        </w:rPr>
        <w:t xml:space="preserve">عبارات الأَعلام </w:t>
      </w:r>
      <w:r>
        <w:rPr>
          <w:rtl w:val="true"/>
        </w:rPr>
        <w:t>(</w:t>
      </w:r>
      <w:r>
        <w:rPr>
          <w:rtl w:val="true"/>
        </w:rPr>
        <w:t>رحم الله الماضين منهم وحفظ الباقين</w:t>
      </w:r>
      <w:r>
        <w:rPr>
          <w:rtl w:val="true"/>
        </w:rPr>
        <w:t>)</w:t>
      </w:r>
      <w:bookmarkEnd w:id="166"/>
    </w:p>
    <w:p>
      <w:pPr>
        <w:pStyle w:val="Heading5"/>
        <w:numPr>
          <w:ilvl w:val="4"/>
          <w:numId w:val="1"/>
        </w:numPr>
        <w:rPr/>
      </w:pPr>
      <w:bookmarkStart w:id="167" w:name="__RefHeading___Toc2464976_2870459653"/>
      <w:bookmarkStart w:id="168" w:name="_Toc60"/>
      <w:bookmarkEnd w:id="167"/>
      <w:r>
        <w:rPr>
          <w:rtl w:val="true"/>
        </w:rPr>
        <w:t>القول الأول</w:t>
      </w:r>
      <w:bookmarkEnd w:id="16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سقوط الأذان الثاني عند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اختل شرط من شروط الجمعة المذكورة سقط فرضاً وكان حضور المسجد الجامع لصلاة النوافل وفرض الظهر والعصر مندوباً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صلاهما وأذن لنفسه وأقام وصلى الظهر كسائر الأيام فإذا سلَّم بهما عقَّب وعفَّر ونهض فصلى فريضة العصر بإقامة من غير أذان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 في أكثر من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بين صلاتين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ينبغي أنْ يؤذن للأُولى ويُقيم للثانية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ذلك في وقت الثانية أو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 موضع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دليلنا إجماع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جمع بين المغرب والعشاء بالمزدلفة بأذان واحد وإقامتين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وهذا الكلام صريح في إناطة السقوط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بخصوص مكان أو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بين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وأقام للأولى منها ويقيم للأُخرى بلا 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جمع بينهما في وقت الأولى أو الثانية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الأذان لصلاة العصر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إذا فرغ من فريضة الظهر أنْ يُقيم للعصر ثم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كان أو مأموماً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أجد اختلافاً في هذه العبارة عن سابقاتها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الدلالة على سقوط الأذان الثاني </w:t>
      </w:r>
    </w:p>
    <w:p>
      <w:pPr>
        <w:pStyle w:val="BookText"/>
        <w:rPr/>
      </w:pPr>
      <w:r>
        <w:rPr>
          <w:rFonts w:ascii="Amiri" w:hAnsi="Amiri" w:eastAsia="Amiri" w:cs="Amiri"/>
          <w:color w:val="111111"/>
          <w:sz w:val="28"/>
          <w:sz w:val="28"/>
          <w:szCs w:val="28"/>
          <w:rtl w:val="true"/>
          <w:lang w:bidi="ar-SA"/>
        </w:rPr>
        <w:t>في الجمع غير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منها الاختصاص بيوم الجمعة عند الجمع بين صلاة الجمعة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يشتبه على كثير من أصحابنا المتفقهة هذا الموضع لما يقفون عليه فيما أورده شيخنا أبو جعفر الطوسي رحمه الله في نهايته في باب الجمعة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العبارة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 التأمل لا درك على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الإمام إذا فرغ من صلاة الظهر يوم الجمعة وصلى الجمعة يقيم للعصر من غير أذان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يدلك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أوردها في باب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مقصود المصنف كل من صلاها أربعاً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ولا يخفى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الإضراب إذا أُتي بعدها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 الإبطال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للانتقال من غرض لآخر، ومثال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بِهِ جِنَّةٌ بَلْ جَاءَهُمْ بِالْحَقِّ</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 وَذَكَرَ اسْمَ رَبِّهِ فَصَلَّى بَلْ تُؤْثِرُونَ الْحَيَاةَ الدُّنْيَا</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عبارة الشيخ في النهاية هو الانتقال من غرض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الأول هو بيان وظيفته تجاه الأذان الثاني إذا صلى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المنتقل إليه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وظيفته تجاه الأذان الثاني إذا صلى الظهر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سلَّمنا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الانتقال إلى غرض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إفادة المعنى الثاني هو بيان اشتراك الحكم بين المأموم والإمام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غرضا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يحتاج فيه إلى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يؤذن لصلاة العصر إماماً كان أو مأموماً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يرتضه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ابن إدريس الظهر على الجمعة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بين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أنْ يُؤذن ويقيم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يقيم للثانية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ظاهره موافقته لكلام الشيخ المتقدِّم من تعليق الترك على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يوم الجمعة بين الظهرين بأذان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الثلاثة وأتباعهم؛ لأنَّ الجمعة تجمع صلواتها وتسقط ما بينها من النوافل إلاَّ في رواية،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ذلك أنَّ الأذان إعلام بدخولِ الوقتِ فإذا صلى في وقت الأولى أذن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للأخرى؛ لأنَّه لم يدخل وقت يحتاج إلى الإعلام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 بينهما في وقت الثانية أذن لوقت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الأولى؛ لأنَّها 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يعاد للثانية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اختصاصه بمَن صلّى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مَنْ صلّى الظهرين أربعاً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عبائر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السقوط في المقام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مناط السقوط في عبارته ليس هو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المناط هو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المناط تشمل مقام عدم استحباب الجمع</w:t>
      </w:r>
      <w:r>
        <w:rPr>
          <w:rFonts w:eastAsia="Amiri" w:cs="Amiri" w:ascii="Amiri" w:hAnsi="Amiri"/>
          <w:color w:val="111111"/>
          <w:sz w:val="28"/>
          <w:szCs w:val="28"/>
          <w:rtl w:val="true"/>
          <w:lang w:bidi="ar-SA"/>
        </w:rPr>
        <w:t xml:space="preserve">. </w:t>
      </w:r>
      <w:bookmarkStart w:id="169" w:name="pg9067_79717"/>
    </w:p>
    <w:p>
      <w:pPr>
        <w:pStyle w:val="BookText"/>
        <w:rPr/>
      </w:pPr>
      <w:bookmarkEnd w:id="169"/>
      <w:r>
        <w:rPr>
          <w:rFonts w:ascii="Amiri" w:hAnsi="Amiri" w:eastAsia="Amiri" w:cs="Amiri"/>
          <w:color w:val="111111"/>
          <w:sz w:val="28"/>
          <w:sz w:val="28"/>
          <w:szCs w:val="28"/>
          <w:rtl w:val="true"/>
          <w:lang w:bidi="ar-SA"/>
        </w:rPr>
        <w:t xml:space="preserve">وكذلك هذا هو ظاهر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ويُصلّى يوم الجمعة الظهر بأذان و إقامة والعصر بإقامة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القول الأول المدعى عليه الشهرة بين الأعلام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2464978_2870459653"/>
      <w:bookmarkStart w:id="171" w:name="_Toc61"/>
      <w:bookmarkEnd w:id="170"/>
      <w:r>
        <w:rPr>
          <w:rtl w:val="true"/>
        </w:rPr>
        <w:t>القول الثاني</w:t>
      </w:r>
      <w:r>
        <w:rPr>
          <w:rtl w:val="true"/>
        </w:rPr>
        <w:t xml:space="preserve">: </w:t>
      </w:r>
      <w:r>
        <w:rPr>
          <w:rtl w:val="true"/>
        </w:rPr>
        <w:t>عدم سقوط الأذان الثاني عند الجمع</w:t>
      </w:r>
      <w:bookmarkEnd w:id="171"/>
    </w:p>
    <w:p>
      <w:pPr>
        <w:pStyle w:val="BookText"/>
        <w:rPr/>
      </w:pPr>
      <w:r>
        <w:rPr>
          <w:rFonts w:ascii="Amiri" w:hAnsi="Amiri" w:eastAsia="Amiri" w:cs="Amiri"/>
          <w:color w:val="111111"/>
          <w:sz w:val="28"/>
          <w:sz w:val="28"/>
          <w:szCs w:val="28"/>
          <w:rtl w:val="true"/>
          <w:lang w:bidi="ar-SA"/>
        </w:rPr>
        <w:t>وهو مختار جمع من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إدريس إنَّما يسقط أذان العصر عمَّن صلّى الجمعة دون من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البرَّاج والمفيد في الأركان أنَّهما استحبا الأذان لعصر يوم الجمعة كغيره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المفيد في المقنعة على ما وجدته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بعد أنْ أورد تعقيب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فأذن للعصر وأقم الصلاة؛ وإلى هذا القول ذهب شيخنا المعاصر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المعتمد؛ لإطلاق الأمر الخالي من التقييد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أعرضها عند نقل كلمات الأعلام ممن اختاروا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وأجلّتُ عرضها إلى هذا الموضع؛ لوجود اختلاف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بحث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قم فأذن للعصر وأقم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نقلناها آنفاً عن السرائر والمدارك، وعلى هذا فقد وافق المحقق الأردبيلي وصاحب المدارك قدس سرّهما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وردت في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المذكورة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قم فأقم </w:t>
      </w:r>
      <w:bookmarkStart w:id="172" w:name="pg9067_79718"/>
    </w:p>
    <w:p>
      <w:pPr>
        <w:pStyle w:val="BookText"/>
        <w:rPr/>
      </w:pPr>
      <w:bookmarkEnd w:id="172"/>
      <w:r>
        <w:rPr>
          <w:rFonts w:ascii="IRNazanin" w:hAnsi="IRNazanin" w:eastAsia="IRNazanin"/>
          <w:color w:val="111111"/>
          <w:sz w:val="28"/>
          <w:sz w:val="28"/>
          <w:szCs w:val="28"/>
          <w:rtl w:val="true"/>
          <w:lang w:bidi="fa-IR"/>
        </w:rPr>
        <w:t>للعصر</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هذه النسخة موافقته 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هذا كله ما نقله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 بعض نسخ المقنعة من التعبير بالأذان مراد منه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عن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إردافه بالإقامة في النسخة المزبورة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نقله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مخالفٌ لما ذُكر في النسختين المتقدِّمتين؛ حيث أَنَّها ذَكرت الأذان لصلاة العصر دون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نسخة أُخرى أو سهو من قلمه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مرجح لإحدى النسخ على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اختاره صاحب المدارك تبعاًُ للمحقق الأردبيلي من عدم السقوط لدى الجمع مطلقاً سواء أكان في عصر الجمعة 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صلى صلاة الجمعة أم الظهر هو الصحيح</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القول الثاني الذي اختار عدم سقوط الأذان الثاني عند الجمع بين الصلاتين</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2464980_2870459653"/>
      <w:bookmarkStart w:id="174" w:name="_Toc62"/>
      <w:bookmarkEnd w:id="173"/>
      <w:r>
        <w:rPr>
          <w:rtl w:val="true"/>
        </w:rPr>
        <w:t>المحور الثاني</w:t>
      </w:r>
      <w:r>
        <w:rPr>
          <w:rtl w:val="true"/>
        </w:rPr>
        <w:t xml:space="preserve">: </w:t>
      </w:r>
      <w:r>
        <w:rPr>
          <w:rtl w:val="true"/>
        </w:rPr>
        <w:t>مقتضى القاعدة</w:t>
      </w:r>
      <w:bookmarkEnd w:id="174"/>
    </w:p>
    <w:p>
      <w:pPr>
        <w:pStyle w:val="Heading5"/>
        <w:numPr>
          <w:ilvl w:val="4"/>
          <w:numId w:val="1"/>
        </w:numPr>
        <w:rPr/>
      </w:pPr>
      <w:bookmarkStart w:id="175" w:name="__RefHeading___Toc2464982_2870459653"/>
      <w:bookmarkStart w:id="176" w:name="_Toc63"/>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ويمكن التمسك بإطلاق مجموعة من الروايات للدلالة على الاستحباب</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2464984_2870459653"/>
      <w:bookmarkStart w:id="178" w:name="_Toc64"/>
      <w:bookmarkEnd w:id="177"/>
      <w:r>
        <w:rPr>
          <w:rtl w:val="true"/>
        </w:rPr>
        <w:t>الرواية الأولى</w:t>
      </w:r>
      <w:r>
        <w:rPr>
          <w:rtl w:val="true"/>
        </w:rPr>
        <w:t xml:space="preserve">: </w:t>
      </w:r>
      <w:r>
        <w:rPr>
          <w:rtl w:val="true"/>
        </w:rPr>
        <w:t>موثقة سماعة</w:t>
      </w:r>
      <w:bookmarkEnd w:id="17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ما رواه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الغداة والمغرب إلا بأذان وإقامة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ورخَّص </w:t>
      </w:r>
      <w:bookmarkStart w:id="179" w:name="pg9067_79719"/>
    </w:p>
    <w:p>
      <w:pPr>
        <w:pStyle w:val="BookText"/>
        <w:rPr/>
      </w:pPr>
      <w:bookmarkEnd w:id="179"/>
      <w:r>
        <w:rPr>
          <w:rFonts w:ascii="Amiri" w:hAnsi="Amiri" w:eastAsia="Amiri" w:cs="Amiri"/>
          <w:color w:val="111111"/>
          <w:sz w:val="28"/>
          <w:sz w:val="28"/>
          <w:szCs w:val="28"/>
          <w:rtl w:val="true"/>
          <w:lang w:bidi="ar-SA"/>
        </w:rPr>
        <w:t>في سائر الصلوات بالإقامة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والأذان أفضل</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لم يرد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فقد يكون الحسن المذكور في السند هو ابن فضال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الشيخ محمد استقرب كونه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صريحة الدلالة في رجحان الأذان في جميع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ومطلقة من جهة التفريق والجمع بين الصلاتين</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2464986_2870459653"/>
      <w:bookmarkStart w:id="181" w:name="_Toc65"/>
      <w:bookmarkEnd w:id="180"/>
      <w:r>
        <w:rPr>
          <w:rtl w:val="true"/>
        </w:rPr>
        <w:t>الرواية الثانية</w:t>
      </w:r>
      <w:r>
        <w:rPr>
          <w:rtl w:val="true"/>
        </w:rPr>
        <w:t xml:space="preserve">: </w:t>
      </w:r>
      <w:r>
        <w:rPr>
          <w:rtl w:val="true"/>
        </w:rPr>
        <w:t>موثقة الساباطي</w:t>
      </w:r>
      <w:bookmarkEnd w:id="181"/>
    </w:p>
    <w:p>
      <w:pPr>
        <w:pStyle w:val="BookText"/>
        <w:rPr/>
      </w:pPr>
      <w:r>
        <w:rPr>
          <w:rFonts w:ascii="IRNazanin" w:hAnsi="IRNazanin" w:eastAsia="IRNazanin"/>
          <w:color w:val="111111"/>
          <w:sz w:val="28"/>
          <w:sz w:val="28"/>
          <w:szCs w:val="28"/>
          <w:rtl w:val="true"/>
          <w:lang w:bidi="fa-IR"/>
        </w:rPr>
        <w:t>وهي ما رواه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بن 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مصدق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إلى صلاة فريضة فأذن وأقم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وافصل بين الأذان والإقامة بقعود أو بكلام أو تسبيح</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سند هذه الرواية مصدق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وثقه الكشي في ترجمة محمد بن سالم بن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كلّهم فطحية من أجلة العلماء والفقهاء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أدرك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كوفيون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وأمَّا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تختلف عن الأولى في استفادة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الجمع والتفريق بين الصلاتين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2" w:name="__RefHeading___Toc2464988_2870459653"/>
      <w:bookmarkStart w:id="183" w:name="_Toc66"/>
      <w:bookmarkEnd w:id="182"/>
      <w:r>
        <w:rPr>
          <w:rtl w:val="true"/>
        </w:rPr>
        <w:t>الرواية الثالثة</w:t>
      </w:r>
      <w:r>
        <w:rPr>
          <w:rtl w:val="true"/>
        </w:rPr>
        <w:t xml:space="preserve">: </w:t>
      </w:r>
      <w:r>
        <w:rPr>
          <w:rtl w:val="true"/>
        </w:rPr>
        <w:t>موثقة أخرى للساباطي</w:t>
      </w:r>
      <w:bookmarkStart w:id="184" w:name="pg9067_79720"/>
      <w:bookmarkEnd w:id="183"/>
    </w:p>
    <w:p>
      <w:pPr>
        <w:pStyle w:val="BookText"/>
        <w:rPr/>
      </w:pPr>
      <w:bookmarkEnd w:id="184"/>
      <w:r>
        <w:rPr>
          <w:rFonts w:ascii="IRNazanin" w:hAnsi="IRNazanin" w:eastAsia="IRNazanin"/>
          <w:color w:val="111111"/>
          <w:sz w:val="28"/>
          <w:sz w:val="28"/>
          <w:szCs w:val="28"/>
          <w:rtl w:val="true"/>
          <w:lang w:bidi="fa-IR"/>
        </w:rPr>
        <w:t>ما رواه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مصدق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للمريض أن يؤذن ويقيم إذا أراد الصلاة ولو في نفسه إنْ لم يقدر على أنْ يتكلم به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شديد الوجع؟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يؤذن ويقيم؛ لأنه لا صلاة إلا بأذان وإقامة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الدلالة على رجحان الأذان في كل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نفت حقيقة الصلاة عند عدم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كذلك مطلقة من جهة الجمع والتفريق</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464990_2870459653"/>
      <w:bookmarkStart w:id="186" w:name="_Toc67"/>
      <w:bookmarkEnd w:id="185"/>
      <w:r>
        <w:rPr>
          <w:rtl w:val="true"/>
        </w:rPr>
        <w:t>الرواية الرابعة</w:t>
      </w:r>
      <w:r>
        <w:rPr>
          <w:rtl w:val="true"/>
        </w:rPr>
        <w:t xml:space="preserve">: </w:t>
      </w:r>
      <w:r>
        <w:rPr>
          <w:rtl w:val="true"/>
        </w:rPr>
        <w:t>خبر الصباح بن سيابة</w:t>
      </w:r>
      <w:bookmarkEnd w:id="186"/>
    </w:p>
    <w:p>
      <w:pPr>
        <w:pStyle w:val="BookText"/>
        <w:rPr/>
      </w:pPr>
      <w:r>
        <w:rPr>
          <w:rFonts w:ascii="IRNazanin" w:hAnsi="IRNazanin" w:eastAsia="IRNazanin"/>
          <w:color w:val="111111"/>
          <w:sz w:val="28"/>
          <w:sz w:val="28"/>
          <w:szCs w:val="28"/>
          <w:rtl w:val="true"/>
          <w:lang w:bidi="fa-IR"/>
        </w:rPr>
        <w:t>ما رواه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وهب أو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الصباح بن سيابة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الأذان في الصلوات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تركته فلا تتركه في المغرب 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فيهما تقصير</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هذه الرواية ضعيف بالصباح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يُذكر بتوثيق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كونه ممن روى عنه أصحاب الإجماع كأبان وحماد ابني عثمان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ثبوت الرجحان في حالة الجمع وحالة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اتضح من خلاله أنَّ الأصل ثبوت الإطلاق</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464992_2870459653"/>
      <w:bookmarkStart w:id="188" w:name="_Toc68"/>
      <w:bookmarkEnd w:id="187"/>
      <w:r>
        <w:rPr>
          <w:rtl w:val="true"/>
        </w:rPr>
        <w:t>المحور الثالث</w:t>
      </w:r>
      <w:r>
        <w:rPr>
          <w:rtl w:val="true"/>
        </w:rPr>
        <w:t xml:space="preserve">: </w:t>
      </w:r>
      <w:r>
        <w:rPr>
          <w:rtl w:val="true"/>
        </w:rPr>
        <w:t>الأدلة الخاصة</w:t>
      </w:r>
      <w:bookmarkEnd w:id="188"/>
    </w:p>
    <w:p>
      <w:pPr>
        <w:pStyle w:val="Heading5"/>
        <w:numPr>
          <w:ilvl w:val="4"/>
          <w:numId w:val="1"/>
        </w:numPr>
        <w:rPr/>
      </w:pPr>
      <w:bookmarkStart w:id="189" w:name="__RefHeading___Toc2464994_2870459653"/>
      <w:bookmarkStart w:id="190" w:name="_Toc69"/>
      <w:bookmarkEnd w:id="189"/>
      <w:r>
        <w:rPr>
          <w:rtl w:val="true"/>
        </w:rPr>
        <w:t>الدليل الأول</w:t>
      </w:r>
      <w:r>
        <w:rPr>
          <w:rtl w:val="true"/>
        </w:rPr>
        <w:t xml:space="preserve">: </w:t>
      </w:r>
      <w:r>
        <w:rPr>
          <w:rtl w:val="true"/>
        </w:rPr>
        <w:t xml:space="preserve">ما ذكره المحقق الحلي </w:t>
      </w:r>
      <w:r>
        <w:rPr>
          <w:rtl w:val="true"/>
        </w:rPr>
        <w:t>(</w:t>
      </w:r>
      <w:r>
        <w:rPr>
          <w:rtl w:val="true"/>
        </w:rPr>
        <w:t>قدس سره</w:t>
      </w:r>
      <w:r>
        <w:rPr>
          <w:rtl w:val="true"/>
        </w:rPr>
        <w:t xml:space="preserve">) </w:t>
      </w:r>
      <w:r>
        <w:rPr>
          <w:rtl w:val="true"/>
        </w:rPr>
        <w:t>وتبعه فيه غيره</w:t>
      </w:r>
      <w:bookmarkEnd w:id="19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الأذان إعلام بدخول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أذن في وقت الأولى لم يحتج إلى أذان جديد إذا </w:t>
      </w:r>
    </w:p>
    <w:p>
      <w:pPr>
        <w:pStyle w:val="BookText"/>
        <w:rPr/>
      </w:pPr>
      <w:r>
        <w:rPr>
          <w:rFonts w:ascii="Amiri" w:hAnsi="Amiri" w:eastAsia="Amiri" w:cs="Amiri"/>
          <w:color w:val="111111"/>
          <w:sz w:val="28"/>
          <w:sz w:val="28"/>
          <w:szCs w:val="28"/>
          <w:rtl w:val="true"/>
          <w:lang w:bidi="ar-SA"/>
        </w:rPr>
        <w:t>صلى الثانية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صلى الأولى في وقت الثانية فإنَّه يؤذن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والإعلام يتحقق في الوقت دون خارجه وبه يسقط الأذان الثاني</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أصل شرعية الأذان لأجل الإعلام بدخول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استحب في القضاء مع فوات وقت الأداء؟</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استحباب الأذان في القضاء ثابت لورود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 في هذا الاستدلال وإنْ دلَّت عليه مجموعة من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عن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الوقت يا بلال اعل فوق الجدار وارفع صوتك بالأذان</w:t>
      </w:r>
      <w:r>
        <w:rPr>
          <w:rFonts w:eastAsia="IRNazanin" w:cs="IRNazanin"/>
          <w:color w:val="111111"/>
          <w:sz w:val="28"/>
          <w:szCs w:val="28"/>
          <w:rtl w:val="true"/>
          <w:lang w:bidi="fa-IR"/>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ورد في قبالها مجموعة من الروايات دلَّت على مشروعية الأذان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بعضها في 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عدَّة مواقف للتعامل مع هاتين الطائفتين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الأذان 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والإعلام 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للأذان 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الصلاة والإعلام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الأذان على نوعين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الإعلام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الصلاة</w:t>
      </w:r>
      <w:r>
        <w:rPr>
          <w:rFonts w:eastAsia="Amiri" w:cs="Amiri" w:ascii="Amiri" w:hAnsi="Amiri"/>
          <w:color w:val="111111"/>
          <w:sz w:val="28"/>
          <w:szCs w:val="28"/>
          <w:rtl w:val="true"/>
          <w:lang w:bidi="ar-SA"/>
        </w:rPr>
        <w:t xml:space="preserve">. </w:t>
      </w:r>
      <w:bookmarkStart w:id="191" w:name="pg9067_79722"/>
    </w:p>
    <w:p>
      <w:pPr>
        <w:pStyle w:val="BookText"/>
        <w:rPr/>
      </w:pPr>
      <w:bookmarkEnd w:id="191"/>
      <w:r>
        <w:rPr>
          <w:rFonts w:ascii="Amiri" w:hAnsi="Amiri" w:eastAsia="Amiri" w:cs="Amiri"/>
          <w:color w:val="111111"/>
          <w:sz w:val="28"/>
          <w:sz w:val="28"/>
          <w:szCs w:val="28"/>
          <w:rtl w:val="true"/>
          <w:lang w:bidi="ar-SA"/>
        </w:rPr>
        <w:t>وهذا مذهب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النوعين عموم وخصوص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يتداخلان في أذان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يفترقان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فبناء على 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أذان الإعلام ساقط؛ لأنه مختص بالوقت يبقى أذان الذكر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استحباب الأذان الثاني حتى عند ما يلتزم بالموقف الأول، ويضاف إليه كيف يدعى انه للإعلام مع إمكان إتيانه سرا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فالظاهر من بعض الروايات التي حثَّت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وشدَّدت على الإتيان به في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آنفاً في موثقة عمار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فان كان شديد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يؤذن ويقيم؛ لأنَّه لا صلاة إلا بأذان</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2464996_2870459653"/>
      <w:bookmarkStart w:id="193" w:name="_Toc70"/>
      <w:bookmarkEnd w:id="192"/>
      <w:r>
        <w:rPr>
          <w:rtl w:val="true"/>
        </w:rPr>
        <w:t>الدليل الثاني</w:t>
      </w:r>
      <w:r>
        <w:rPr>
          <w:rtl w:val="true"/>
        </w:rPr>
        <w:t xml:space="preserve">: </w:t>
      </w:r>
      <w:r>
        <w:rPr>
          <w:rtl w:val="true"/>
        </w:rPr>
        <w:t>صحيحة الرهط</w:t>
      </w:r>
      <w:bookmarkEnd w:id="193"/>
    </w:p>
    <w:p>
      <w:pPr>
        <w:pStyle w:val="BookText"/>
        <w:rPr/>
      </w:pPr>
      <w:r>
        <w:rPr>
          <w:rFonts w:ascii="IRNazanin" w:hAnsi="IRNazanin" w:eastAsia="IRNazanin"/>
          <w:color w:val="111111"/>
          <w:sz w:val="28"/>
          <w:sz w:val="28"/>
          <w:szCs w:val="28"/>
          <w:rtl w:val="true"/>
          <w:lang w:bidi="fa-IR"/>
        </w:rPr>
        <w:t>وهي ما رواه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الفضيل و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الظهر والعصر بأذان وإقامتين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بين المغرب والعشاء بأذان واحد وإقامتين</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إشكال في سند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يطول الكلام في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تَرْك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في حال الجمع بين الفرضين كاشفٌ عن سقوطه؛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يترك المستحب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ظهورها في سقوط الأذان بحيث يستوجب تخصيصاً في أدلة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لأجل التخفيف والتوسيع</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ويُمكن أنْ يُجاب بأنَّ الظهور على خلاف ما أَشكل؛ لأنَّه لو كان المناط هو التخفيف والتوسيع لما اختص بحال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ولَشَمِلَ حال التفريق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ما يظهر من التكرار المذكور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داعي له إلا التأكيد على أنَّه ساقط عن الاستحباب حال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لو كان هو التسهيل فإنَّه ليس بالضرورة أنْ يتحصَّل بترك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حاصل بمجرد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يُفهم من الرواية أنَّ لخصوصية الجمع مدخلية في الترك بالإضافة إلى فهم استمرار الترك من تكرار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بين الفرضين ليس بعدم الفاصلة بينهما بنافلة أو بوقت طويل أو بكليهما كما سوف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الجمع حصل بالأذان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بينهما بأذان وإقامتين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الجار والمجرور متعلّقاً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والباء بمعنى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فيكون مدخولها آلة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فلا تفيد الرواية جواز ترك الأذان الثاني سواء جمع بين الفرضين أم 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له دلالة إلا إرادة التخفيف والتوسعة بترك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ذُكر يلغي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يكون الظرف هو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بد من صرف معنى الباء إلى الملابسة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المعنى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في ما بين الصلاتين مع إتيانه بأذان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كما تلاحظ لا يدُّل على سقوط الأذان الثاني؛ لأنَّ الرواية ستكون مسوقة لبيان جواز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لبيان سقوط الأذان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قد استُعملت للاستعانة والآلية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آلة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معطوفه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يمكن استفادة اشتراك الفرضين بأذان واحد حال </w:t>
      </w:r>
      <w:bookmarkStart w:id="194" w:name="pg9067_79724"/>
    </w:p>
    <w:p>
      <w:pPr>
        <w:pStyle w:val="BookText"/>
        <w:rPr/>
      </w:pPr>
      <w:bookmarkEnd w:id="194"/>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الباء ومدخولها مع معطوفه متعلِّقان بالفعل، وهذا ما اختاره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2464998_2870459653"/>
      <w:bookmarkStart w:id="196" w:name="_Toc71"/>
      <w:bookmarkEnd w:id="195"/>
      <w:r>
        <w:rPr>
          <w:rtl w:val="true"/>
        </w:rPr>
        <w:t>الدليل الثالث</w:t>
      </w:r>
      <w:r>
        <w:rPr>
          <w:rtl w:val="true"/>
        </w:rPr>
        <w:t xml:space="preserve">: </w:t>
      </w:r>
      <w:r>
        <w:rPr>
          <w:rtl w:val="true"/>
        </w:rPr>
        <w:t xml:space="preserve">ما رواه الصدوق </w:t>
      </w:r>
      <w:r>
        <w:rPr>
          <w:rtl w:val="true"/>
        </w:rPr>
        <w:t>(</w:t>
      </w:r>
      <w:r>
        <w:rPr>
          <w:rtl w:val="true"/>
        </w:rPr>
        <w:t>قدس سره</w:t>
      </w:r>
      <w:r>
        <w:rPr>
          <w:rtl w:val="true"/>
        </w:rPr>
        <w:t xml:space="preserve">) </w:t>
      </w:r>
      <w:r>
        <w:rPr>
          <w:rtl w:val="true"/>
        </w:rPr>
        <w:t>في الفقيه</w:t>
      </w:r>
      <w:bookmarkEnd w:id="196"/>
    </w:p>
    <w:p>
      <w:pPr>
        <w:pStyle w:val="BookText"/>
        <w:rPr/>
      </w:pPr>
      <w:r>
        <w:rPr>
          <w:rFonts w:ascii="IRNazanin" w:hAnsi="IRNazanin" w:eastAsia="IRNazanin"/>
          <w:color w:val="111111"/>
          <w:sz w:val="28"/>
          <w:sz w:val="28"/>
          <w:szCs w:val="28"/>
          <w:rtl w:val="true"/>
          <w:lang w:bidi="fa-IR"/>
        </w:rPr>
        <w:t>وهو صحيح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الظهر والعصر بأذان وإقامتين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بين المغرب والعشاء في الحضر من غير علَّة بأذان واحد وإقامتين</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الصدوق إلى ابن سنان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هي لا تختلف عن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ومعطوفه آلة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هذه الرواية قيداً إضافياً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ألآ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الحضر 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القيد يمنع ما ذُكر من أنَّ ترك الأذان علَّته في الروايات هو التسهيل والتخفيف؛ لأنَّ ظروف الاختيار متوفرة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الحضر وعدم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الحال هو المناسب لإتيان التكليف بأفضل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 هنا لبيان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بيّن جواز الجمع من دون علَّة كذلك بيَّن جواز الترك</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ترك المعصوم للمستحب غير ثابت بعد إمكان بيانه بالقول</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ولكن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تكرر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الجواز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حكاية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التفريق بين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كموثق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ليتسع الوقت على أمته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عبد الملك القمي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بين الصلاتين من غير علَّة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التخفيف عن أُمته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مع ذلك يفهم من الرواية استفادة التشريع بدلالة التكرار لعدم وجود الداعي بعد إمكان بيانه بفعل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في رواية عبد الله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الحديث يدل على بيان الجواز ما الداعي لإناطته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الإمام في مقام بيان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نقل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 عبد الله بن سنان ما دام قد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الحضر 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ظاهر في نفي المشروعية؛ لأنَّ الترك الذي يمكن أنْ يكون لجهات عديدة مجمل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يستكشف منه أنَّ المتروك يترك رخصة والاستحباب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 لأنحاء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الشيء لأنَّه غير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الشيء لبيان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فيتردد المراد من هذا الترك فيكون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رفع الاستحباب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على بيان الجواز ليس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بواسطة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صريح في كون الترك للدلالة على 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ذكره واضح؛ لأنَّ المتروك رخصة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لبيان </w:t>
      </w:r>
    </w:p>
    <w:p>
      <w:pPr>
        <w:pStyle w:val="BookText"/>
        <w:rPr/>
      </w:pPr>
      <w:r>
        <w:rPr>
          <w:rFonts w:ascii="Amiri" w:hAnsi="Amiri" w:eastAsia="Amiri" w:cs="Amiri"/>
          <w:color w:val="111111"/>
          <w:sz w:val="28"/>
          <w:sz w:val="28"/>
          <w:szCs w:val="28"/>
          <w:rtl w:val="true"/>
          <w:lang w:bidi="ar-SA"/>
        </w:rPr>
        <w:t>العلَّة دون من ترك لأصل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يحتاج</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الذي أشار إليه إنْ كان المقصود به هو ما ذُكر في خبر عبد الملك القمي وموثق زرارة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البعيد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هذا التعليل الذي سبق في بيان علَّة الجمع؛ لأن التفريق ثابت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فالعدول عنه مما يحتاج إلى بيان علَّة وسبب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ومقامنا هو بيان ترك الأذان كما هو ظاهر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مسوقة لذلك، وإنْ كان ما ذكر من قيد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الحضر 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العلّية المذكورة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ترك الأذان اختياراً للتوسعة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كذلك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الإشارة والقيد إنَّما ذكر بعد الجمع بين الفرضين،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القيد للجمع والترك لذكر بعد نهاية الجملة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بأذان وإقامتين 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 عود القيد إلى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بعد الجمع فإنَّا عندما نذكر علَّة مثلا هكذا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لأنه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التعليل للحكم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أبي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شهدت المغرب ليلة مطيرة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كان قريباً من الشفق نادوا وأقاموا الصلاة فصلوا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أمهلوا بالناس حتى صلوا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المنادي في مكانه في المسجد فأقام الصلاة فصلّوا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الناس إلى منازلهم، 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بهذا</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سند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وهو كذلك ثقة على المختار؛ لتوثيق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معارض سوى ما ذُكر عن القميين الذين يضعفون فاسدي المذهب ومن يروون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الكلام في ذلك في رسالة مستقلة ليس هذا موضع بحثه؛ لأنَّه طويل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كلِّه يظهر أنَّ هذه الرواية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دعوى دلالتها على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يؤذن للمغرب ويترك أذان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فأقام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الجمع بين الصلاتين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قد تنفَّلوا فلا دلالة على تركه الأذان حال الجمع؛ لأنَّ النافلة مانعة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ومحقِّقة للتفريق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ظاهرة في تنفل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ما يدل على أنَّ الإمام قد 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سيأتي من أنَّ الإتيان بالنافلة لا يكون مانعاً عن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يظهر أنَّ تركه للأذان كان بسبب الجمع بين الفرضين ليدل على قدح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أن يكون لأجل الاستعجال والمطر مما اقتضى ترك أذان المغرب أيضاً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على هذا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الرواية دالة على ترك أذان المغرب فإنَّه غير واضح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الحديث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فيه دلالة على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المنادي إنْ كان </w:t>
      </w:r>
    </w:p>
    <w:p>
      <w:pPr>
        <w:pStyle w:val="BookText"/>
        <w:rPr/>
      </w:pPr>
      <w:r>
        <w:rPr>
          <w:rFonts w:ascii="Amiri" w:hAnsi="Amiri" w:eastAsia="Amiri" w:cs="Amiri"/>
          <w:color w:val="111111"/>
          <w:sz w:val="28"/>
          <w:sz w:val="28"/>
          <w:szCs w:val="28"/>
          <w:rtl w:val="true"/>
          <w:lang w:bidi="ar-SA"/>
        </w:rPr>
        <w:t>خارج المسجد فلا ينادي بغير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المنادي داخل المسجد فلا يمكن أنْ نعرف أداة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بالأذان وقد يكون بحثِّهم على الحضور أو بقولهم 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أقل التقادير يتحقق في العبارة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يدل على تركه لأذان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بالإضافة إلى أنَّه ليس من المعهود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أذان المغرب لما سمعت فيما تقدَّم من شدَّة التأكيد عليه دون غيره من باقي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يتركه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في الرواية على ترك أذان المغرب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ترك أذان العشاء ليس لأجل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أنْ يكون لأجل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محتملاً إلا أنَّ الظاهر من الحديث أنَّ الترك كان لأجل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أنَّه لو كان الترك لأجل المطر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المحافظة على الوقت مرغوباً فيها، فإنَّ هذا لا يناسب إمهال الناس الإتيان بركعتين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فرضنا أنَّ النافلة كانت عندهم شديدة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مَنْ نراهم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يترك الغفيلة بالرغم من تركه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لا يمنع من إمكان الإتيان بكلا الأمرين مع عدم التجاوز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يُؤذن المنادي حال تنفّلهم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حاصل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في الرواية المذكورة دلالة على ترك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لأذان العشاء حال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غير دالّة على أنَّ تركه على نحو المشروعية والاستمرار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عبَّر بها الإمام يمكن أنْ تدل على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سَميعاً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حيث أنَّها دالة على استمرار الصفة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في الآية الكريمة مختص به تعالى؛ لوجود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غيره فلا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دخلت على الفعل المضارع </w:t>
      </w:r>
    </w:p>
    <w:p>
      <w:pPr>
        <w:pStyle w:val="BookText"/>
        <w:rPr/>
      </w:pPr>
      <w:r>
        <w:rPr>
          <w:rFonts w:ascii="Amiri" w:hAnsi="Amiri" w:eastAsia="Amiri" w:cs="Amiri"/>
          <w:color w:val="111111"/>
          <w:sz w:val="28"/>
          <w:sz w:val="28"/>
          <w:szCs w:val="28"/>
          <w:rtl w:val="true"/>
          <w:lang w:bidi="ar-SA"/>
        </w:rPr>
        <w:t>من جهة الاستعمال 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المحلى في شرح جمع الجوامع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المضارع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جرى العرف</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الشوكاني في نيل الأوطار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تقرر في علم الأصول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الاستمرار وعموم الأزمان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تحصَّل دلالة الأخبار على سقوط الأذان الثاني حال الجمع</w:t>
      </w:r>
      <w:r>
        <w:rPr>
          <w:rFonts w:eastAsia="Amiri" w:cs="Amiri" w:ascii="Amiri" w:hAnsi="Amiri"/>
          <w:color w:val="111111"/>
          <w:sz w:val="28"/>
          <w:szCs w:val="28"/>
          <w:rtl w:val="true"/>
          <w:lang w:bidi="ar-SA"/>
        </w:rPr>
        <w:t xml:space="preserve">. </w:t>
      </w:r>
      <w:bookmarkStart w:id="197" w:name="pg9067_79730"/>
    </w:p>
    <w:p>
      <w:pPr>
        <w:pStyle w:val="Heading3"/>
        <w:numPr>
          <w:ilvl w:val="2"/>
          <w:numId w:val="1"/>
        </w:numPr>
        <w:rPr/>
      </w:pPr>
      <w:bookmarkStart w:id="198" w:name="__RefHeading___Toc2465000_2870459653"/>
      <w:bookmarkStart w:id="199" w:name="_Toc72"/>
      <w:bookmarkEnd w:id="197"/>
      <w:bookmarkEnd w:id="198"/>
      <w:r>
        <w:rPr>
          <w:rtl w:val="true"/>
        </w:rPr>
        <w:t>المقام الثاني</w:t>
      </w:r>
      <w:bookmarkEnd w:id="199"/>
    </w:p>
    <w:p>
      <w:pPr>
        <w:pStyle w:val="Heading4"/>
        <w:numPr>
          <w:ilvl w:val="3"/>
          <w:numId w:val="1"/>
        </w:numPr>
        <w:rPr/>
      </w:pPr>
      <w:bookmarkStart w:id="200" w:name="__RefHeading___Toc2465002_2870459653"/>
      <w:bookmarkStart w:id="201" w:name="_Toc73"/>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بعد أنِ استُظهر مِنَ الأخبار سقوط الأذان الثاني حال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نعقد البحث في هذا المقام في أنَّ هذا السقوط هل هو على نحو العزيمة أم الرخصة؟</w:t>
      </w:r>
    </w:p>
    <w:p>
      <w:pPr>
        <w:pStyle w:val="BookText"/>
        <w:rPr/>
      </w:pPr>
      <w:r>
        <w:rPr>
          <w:rFonts w:ascii="Amiri" w:hAnsi="Amiri" w:eastAsia="Amiri" w:cs="Amiri"/>
          <w:color w:val="111111"/>
          <w:sz w:val="28"/>
          <w:sz w:val="28"/>
          <w:szCs w:val="28"/>
          <w:rtl w:val="true"/>
          <w:lang w:bidi="ar-SA"/>
        </w:rPr>
        <w:t>والكلام في جهات</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465004_2870459653"/>
      <w:bookmarkStart w:id="203" w:name="_Toc74"/>
      <w:bookmarkEnd w:id="202"/>
      <w:r>
        <w:rPr>
          <w:rtl w:val="true"/>
        </w:rPr>
        <w:t>الجهة الأولى</w:t>
      </w:r>
      <w:r>
        <w:rPr>
          <w:rtl w:val="true"/>
        </w:rPr>
        <w:t xml:space="preserve">: </w:t>
      </w:r>
      <w:r>
        <w:rPr>
          <w:rtl w:val="true"/>
        </w:rPr>
        <w:t>كلمات الأصحاب، رضوان الله عليهم</w:t>
      </w:r>
      <w:bookmarkEnd w:id="203"/>
    </w:p>
    <w:p>
      <w:pPr>
        <w:pStyle w:val="Heading5"/>
        <w:numPr>
          <w:ilvl w:val="4"/>
          <w:numId w:val="1"/>
        </w:numPr>
        <w:rPr/>
      </w:pPr>
      <w:bookmarkStart w:id="204" w:name="__RefHeading___Toc2465006_2870459653"/>
      <w:bookmarkStart w:id="205" w:name="_Toc75"/>
      <w:bookmarkEnd w:id="204"/>
      <w:r>
        <w:rPr>
          <w:rtl w:val="true"/>
        </w:rPr>
        <w:t>القول الأول</w:t>
      </w:r>
      <w:r>
        <w:rPr>
          <w:rtl w:val="true"/>
        </w:rPr>
        <w:t xml:space="preserve">: </w:t>
      </w:r>
      <w:r>
        <w:rPr>
          <w:rtl w:val="true"/>
        </w:rPr>
        <w:t>الحرمة</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تحريم الأذان فيما لا إجماع على استحبابه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الأظهر عندي ما رجحه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الأذان لصلاة العصر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إذا فرغ من فريضة الظهر أن يقيم للعصر</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دلالة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فاستظهر منها كاشف اللثام الحرمة</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استظهر بعض الأعلام الكراهة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الصحيح بقرينة ما ذكره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قائل هنا بتحريم الأذان الثاني</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206" w:name="pg9067_79731"/>
    </w:p>
    <w:p>
      <w:pPr>
        <w:pStyle w:val="Heading5"/>
        <w:numPr>
          <w:ilvl w:val="4"/>
          <w:numId w:val="1"/>
        </w:numPr>
        <w:rPr/>
      </w:pPr>
      <w:bookmarkStart w:id="207" w:name="__RefHeading___Toc2465008_2870459653"/>
      <w:bookmarkStart w:id="208" w:name="_Toc76"/>
      <w:bookmarkEnd w:id="206"/>
      <w:bookmarkEnd w:id="207"/>
      <w:r>
        <w:rPr>
          <w:rtl w:val="true"/>
        </w:rPr>
        <w:t>القول الثاني</w:t>
      </w:r>
      <w:r>
        <w:rPr>
          <w:rtl w:val="true"/>
        </w:rPr>
        <w:t xml:space="preserve">: </w:t>
      </w:r>
      <w:r>
        <w:rPr>
          <w:rtl w:val="true"/>
        </w:rPr>
        <w:t>الرخصة</w:t>
      </w:r>
      <w:bookmarkEnd w:id="208"/>
    </w:p>
    <w:p>
      <w:pPr>
        <w:pStyle w:val="BookText"/>
        <w:rPr/>
      </w:pPr>
      <w:r>
        <w:rPr>
          <w:rFonts w:ascii="IRNazanin" w:hAnsi="IRNazanin" w:eastAsia="IRNazanin"/>
          <w:color w:val="111111"/>
          <w:sz w:val="28"/>
          <w:sz w:val="28"/>
          <w:szCs w:val="28"/>
          <w:rtl w:val="true"/>
          <w:lang w:bidi="fa-IR"/>
        </w:rPr>
        <w:t>ما ذكره المحقق الكركي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جمع الحاضر والمسافر بين الصلاتين في وقت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بين الأصحاب أنَّ أذان الثانية يسقط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بذلك كثير منهم؛ لأنَّ الأذان إعلام بدخول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 بالأذان الأول؛ ولما روي صحيحاً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والمراد بسقوط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جمع بينهما في وقت الأولى كان مختصاً بها؛ لأنها صاحبة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الجمع في الثانية أذن أولاً لصاحبة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لكل منهما، ويظهر من الذكرى عدم السقوط لأذان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يسقط أذان الإعلام ويبقى أذان الذكر والإعظام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 غير ظاهر؛ لأنَّ الأذان واحد وأصل شرعيته لغرض الإعلام بدخول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منتف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قلنا فالأذان للثانية جائز</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ظاهر في أن السقوط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عبارة الشيخ في النهاية من الدلالة على الكراهة</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465010_2870459653"/>
      <w:bookmarkStart w:id="210" w:name="_Toc77"/>
      <w:bookmarkEnd w:id="209"/>
      <w:r>
        <w:rPr>
          <w:rtl w:val="true"/>
        </w:rPr>
        <w:t>الجهة الثانية</w:t>
      </w:r>
      <w:r>
        <w:rPr>
          <w:rtl w:val="true"/>
        </w:rPr>
        <w:t xml:space="preserve">: </w:t>
      </w:r>
      <w:r>
        <w:rPr>
          <w:rtl w:val="true"/>
        </w:rPr>
        <w:t>البرهان</w:t>
      </w:r>
      <w:bookmarkEnd w:id="21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ذكرنا فيما سبق أنَّ هناك مجموعة من الروايات المعتبرة دلَّت على ثبوت استحباب الأذان لكل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كان تأكيد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حتى وصل الكلام إلى إتيانه ولو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حتى لو كان يتألم ويتوجع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لصلاة فريضة فأذن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أنَّها عامَّة بلحاظ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ومطلقة بلحاظ حال الجمع وحال التفريق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أنَّه ورد في قبال هذه المجموعة من الروايات أدلة خاصة دلَّت على ترك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للأذان الثاني حال الجمع بين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إسقاطها لا للتسهيل والتخفيف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للتشريع كما تقدَّم في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فهل تحمل المطلقات على الروايات المقيّدة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يُجمع بينهما جمعاً عرفياً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صحيحة الرهط مقيّدة للإطلاق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المطلق على المُقيَّد في باب المستحبات لا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يرد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صحَّ ما قيل من عدم صحة حمل المطلق على المقيَّد في باب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ليس هذا دائماً كما تقرر عندهم من أنَّ المقيّد إذا كان نافياً لبعض الموارد للمطلق لابد من حمل المطلق عليه لحصول التنافي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المقام يظهر من صحيحة الرهط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الأذان الثاني حال الجمع بين الفرضين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نفي لبعض أفراد المطلق وهو يوجب حمل المطلق عليه ويؤدي إلى اختصاص الاستحباب بحالة التفريق وعدم مشروعية الأذان الثاني حال الجمع، وهذا نظير ما ذكر من حمل المطلقات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الأداء والقضاء على الأدلة المقيدة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صحيحة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وتقيم في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 الأذان بحال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ثبوته في كل فرض حال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مقيّدات لا ينافي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ترك المستحب للمعصوم فتبقى المطلقات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مصادرة؛ لأنَّه مبني على ترك المستحب على نحو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المقيّدات على أنَّ الترك على نحو العزيمة أو الرخصة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فالمطلقات تكون مقيّدة بما ذُكر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الحرمة </w:t>
      </w:r>
    </w:p>
    <w:p>
      <w:pPr>
        <w:pStyle w:val="BookText"/>
        <w:rPr/>
      </w:pPr>
      <w:r>
        <w:rPr>
          <w:rFonts w:ascii="Amiri" w:hAnsi="Amiri" w:eastAsia="Amiri" w:cs="Amiri"/>
          <w:color w:val="111111"/>
          <w:sz w:val="28"/>
          <w:sz w:val="28"/>
          <w:szCs w:val="28"/>
          <w:rtl w:val="true"/>
          <w:lang w:bidi="ar-SA"/>
        </w:rPr>
        <w:t>والسقوط عزيمة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لهذا أشار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أنَّها عبادة توقيفية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نصَّ عليه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والعموم مخصوص بفعل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211" w:name="pg9067_79734"/>
    </w:p>
    <w:p>
      <w:pPr>
        <w:pStyle w:val="Heading3"/>
        <w:numPr>
          <w:ilvl w:val="2"/>
          <w:numId w:val="1"/>
        </w:numPr>
        <w:rPr/>
      </w:pPr>
      <w:bookmarkStart w:id="212" w:name="__RefHeading___Toc2465012_2870459653"/>
      <w:bookmarkStart w:id="213" w:name="_Toc78"/>
      <w:bookmarkEnd w:id="211"/>
      <w:bookmarkEnd w:id="212"/>
      <w:r>
        <w:rPr>
          <w:rtl w:val="true"/>
        </w:rPr>
        <w:t>المقام الثالث</w:t>
      </w:r>
      <w:r>
        <w:rPr>
          <w:rtl w:val="true"/>
        </w:rPr>
        <w:t xml:space="preserve">: </w:t>
      </w:r>
      <w:r>
        <w:rPr>
          <w:rtl w:val="true"/>
        </w:rPr>
        <w:t>بماذا يتحقق التفريق؟</w:t>
      </w:r>
      <w:bookmarkEnd w:id="213"/>
    </w:p>
    <w:p>
      <w:pPr>
        <w:pStyle w:val="BookText"/>
        <w:rPr/>
      </w:pPr>
      <w:r>
        <w:rPr>
          <w:rFonts w:ascii="Amiri" w:hAnsi="Amiri" w:eastAsia="Amiri" w:cs="Amiri"/>
          <w:color w:val="111111"/>
          <w:sz w:val="28"/>
          <w:sz w:val="28"/>
          <w:szCs w:val="28"/>
          <w:rtl w:val="true"/>
          <w:lang w:bidi="ar-SA"/>
        </w:rPr>
        <w:t>اختلف الأصحاب في بيان حقيقة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يتحقق التفريق إلى عدَّة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الإتيان بالنافلة هو الذي يحقق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قيل به اعتماداً على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اختيار ترك النافلة مع صدق الجمع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لأصالة عدم السقوط مع عدم حذف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الطويل بمثابة لا يصدق عنوان الجمع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المقام ذكرت مجموعة من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جمعت بين الصلاتين فلا تطوّع بينهما</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 الصلاتين إذا لم يكن بينهما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بينهما تطوع فلا جمع</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سند كلتا الروايتين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 حقه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حديثه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تضعيف صريح</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ليس بتضعيف صريح بحيث يمكن لنا الاعتماد عليه في ردّ ما يرويه؛ لعدم استكشاف ضعفه في نفسه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لهذا معنى إلا أنَّه يروي عن الضعفاء ويعتمد على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يوجد هناك طريق لتوثيقه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بنينا على وثاقة رجال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 إسناده بواسطة حكيم 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يذكر بتوثيق ولا 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ورد في إسناد كامل الزيارات بواسطة محمد بن حكيم، وقد حكم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الكشي في المعجم</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ضعيفة سنداً؛ لوجود محمد بن موسى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مردد بين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خورا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والهمداني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يعرف برواية حميد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يعرف برواية علي بن محمد، والأرجح أنَّ المذكور في الخبر هو الثاني؛ لرواية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 ذلك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في عدَّة </w:t>
      </w:r>
    </w:p>
    <w:p>
      <w:pPr>
        <w:pStyle w:val="BookText"/>
        <w:rPr/>
      </w:pPr>
      <w:r>
        <w:rPr>
          <w:rFonts w:ascii="IRNazanin" w:hAnsi="IRNazanin" w:eastAsia="IRNazanin"/>
          <w:color w:val="111111"/>
          <w:sz w:val="28"/>
          <w:sz w:val="28"/>
          <w:szCs w:val="28"/>
          <w:rtl w:val="true"/>
          <w:lang w:bidi="fa-IR"/>
        </w:rPr>
        <w:t>مواطن</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فالروايتان غير نقيتي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أشكل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ناظرتان إلى أنَّ الجمع المقرون بالنافلة هو تفريق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والتفريق له أثران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الأذان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التفريق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 أظهر الأثرين، ويكون المعنى أنَّ الإتيان بالنافلة هو الذي يحقق ثواب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يسقط الأذان فلم يعلم أنَّ هذا التفريق التعبدي هو الذي يسقط الأذان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بلحاظ الرواية الثانية فهو غير ظاهر؛ لأنَّ الجمع يختلف عن التفريق من حيث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الثاني آثاره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آثاره هو حرمة الأذان عند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فإنَّ ما ذكر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ظاهراً من الشق الثاني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الشق الأول غير 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بين الصلاتين إذا لم يكن بينهما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هذا أنَّ الرواية مسوقة لبيان حقيقة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بمثابة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يتحقق بترك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لتنزيل الجمع مع النافلة منزلة التفريق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قدّم الشق الثاني وأصبح أولا لكان لما ذكر وجه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 الشق الثاني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مفسراً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من أنَّه إذا تردد التصرف بين كلامين في سياق واحد يتعيَّن التصرف في الثاني؛ لأنَّ الأول بعد استقراره في الذهن يكون الكلام اللاحق جارياً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الحديث يراد منه تنزيل الجمع مع النافلة منزلة التفريق إلَّا أنَّه ليس من الواضح كون أثر الاستحباب هو الأبرز بحيث ينصرف إليه الذهن عند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ينصرف إلى شجاعته، ولعلَّ الإطلاق يكفي في ثبوت كلا الأثرين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هو عبارة عن عملية عنائية تحتاج إلى لسان خاص يكشف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التنزيل عملية عنائية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تنزَّل بلحاظ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تنزَّل بلحاظ 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الآثار في المقام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ترجيح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فالتنزيل بلحاظ جميع الآثار أخف مؤنة من تنزيله بلحاظ البعض؛ لأنَّ تخصيصه يحتاج لمؤونة فيثبت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 الأولى فهي لا تختلف عن الثانية في دلالتها على منافاة التطوع للجمع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التطوع ينافي الجمع عرفاً أو شرعاً؟</w:t>
      </w:r>
    </w:p>
    <w:p>
      <w:pPr>
        <w:pStyle w:val="BookText"/>
        <w:rPr/>
      </w:pPr>
      <w:r>
        <w:rPr>
          <w:rFonts w:ascii="Amiri" w:hAnsi="Amiri" w:eastAsia="Amiri" w:cs="Amiri"/>
          <w:color w:val="111111"/>
          <w:sz w:val="28"/>
          <w:sz w:val="28"/>
          <w:szCs w:val="28"/>
          <w:rtl w:val="true"/>
          <w:lang w:bidi="ar-SA"/>
        </w:rPr>
        <w:t>الظاهر هو الثاني؛ لأنَّ الإتيان بالنافلة التي لا تستوعب فصلاً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عرفاً تفريقاً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ادعاه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منافاة النافلة للجمع عرفاً غير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الحسين بن علوان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جعفر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أبي وجدّي القاسم بن محمد يجمعان مع الأئمة المغرب والعشاء في الليلة المطيرة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يصليان بينهما شيئاً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دالَّة على ترك النوافل حال الجمع بين الصلاتين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الفعل المضارع الدال 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النوافل هل جاء بسبب الجمع أو بسبب المطر للتخفيف على الناس؟ وكلا الاحتمالين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معيِّن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يصح الاستدلال بالموثقة لإجمالها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المغرب والعشاء بجُمَع بأذان واحد وإقامتين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 بينهما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النهي إنَّما يكون إرشاداً لمانعية النافلة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أنَّ مناط التفريق يتحقق بالنافلة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وإنْ كان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قباله احتمال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هذا النهي كراهتي لبيان مرجوحية الإتيان بالنافلة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معيِّن لأحدهما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الصحيحة ليس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لبيان أنَّ وقت النوافل هو بعد صلاة العشاء في 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هذا حديث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الركعات التي بعد المغرب ليلة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بعد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الركعات بعد</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الاحتمال يبتني على أنَّ المراد بالنهي هو عن الرواتب، وعليه فلا دلالة في الصحيحة على تعيّن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صلَّيت خلف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بالمزدلفة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فصلى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صلّى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يركع فيما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صليت خلفه بعد ذلك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صلى المغرب قام فتنفل بأربع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أقام فصلى العشاء الآخرة</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وتقريب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الصحيحة دالَّة على أنَّه في مزدلفة ترك أذان العشاء عند جمعها مع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بالنوافل فيما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كانت النافلة مفرقة لما ترك أذان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فهذه الرواية دالة على عدم مفرقيَّة النافلة وإلا لما جاء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وعلى هذا فكيف يمكن أنْ تجمع بين هذه الصحيحة وصحيحة منصور المتقدمة، وفيها عدَّة فروض</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فيما سبق ذكرنا عدَّة احتمالات في صحيحة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ارشاداً للمانعية لكل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أنَّ صحيح أبان مختص بالرواتب اعتماداً على قرينة أو 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المانع بالتطوع،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العكس في صحيح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منصرفة للتطوع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كذلك من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المانع بالرواتب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في صحيح أبان </w:t>
      </w:r>
    </w:p>
    <w:p>
      <w:pPr>
        <w:pStyle w:val="BookText"/>
        <w:rPr/>
      </w:pPr>
      <w:r>
        <w:rPr>
          <w:rFonts w:ascii="Amiri" w:hAnsi="Amiri" w:eastAsia="Amiri" w:cs="Amiri"/>
          <w:color w:val="111111"/>
          <w:sz w:val="28"/>
          <w:sz w:val="28"/>
          <w:szCs w:val="28"/>
          <w:rtl w:val="true"/>
          <w:lang w:bidi="ar-SA"/>
        </w:rPr>
        <w:t>الإجمال فينهدم المطلق ويسقط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في صحيحة منصور النهي لبيان الكراهة لكل نافلة فإنَّ جميع الفروض في صحيح أبان لا تؤدي إلى 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 صحيحة منصور مختصَّة بالرواتب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إرشاد للمانعية، وصحيح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أنَّه مختصّ بالرواتب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فيؤدي إلى أنَّه ترك مستحبين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المستحب في 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وإنْ كان ممكنا ولكنه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أنَّ صحيح أبان مختص بالتطوع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في صحيح أبان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المجمل على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بصحيح أبان هو الاختصاص بالتطوع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صحيحة منصور ظاهرة في بيان مشروعية النوافل بعد العشاء كما هو المختار، وصحيح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الاختصاص بالتطوع فلا منافاة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فيه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حينئذ بالتطوع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الاختصاص بالنوافل كما هو الصحيح؛ لأنَّ الواقعة الجزئية التي لا يعقل فيها السعة لتشمل جميع الموارد ووجد فرد شائع فتحمل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هو المنساق عند عدم القرينة، فحينئذ يحمل على الجواز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بقاء الاستحباب والمشروعية بدرجة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اختاره جمعٌ من العلماء</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صحيحة منصور دالة على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أبان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غير ظاهر في أنَّ النافلة تنافي الجمع أو أنَّه فرَّق في صلاته؛ لأنَّها 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p>
    <w:p>
      <w:pPr>
        <w:pStyle w:val="BookText"/>
        <w:rPr/>
      </w:pPr>
      <w:r>
        <w:rPr>
          <w:rFonts w:ascii="Amiri" w:hAnsi="Amiri" w:eastAsia="Amiri" w:cs="Amiri"/>
          <w:color w:val="111111"/>
          <w:sz w:val="28"/>
          <w:sz w:val="28"/>
          <w:szCs w:val="28"/>
          <w:rtl w:val="true"/>
          <w:lang w:bidi="ar-SA"/>
        </w:rPr>
        <w:t>يحمل المبين على المجمل وتكون صحيحة أبان مختصة بحال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ما تبناه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لإجماله لأنَّه حكاية عن واقعة لا تصلح لمعارضة ما سبق</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باستظهار دلالة صحيح منصور في الإرشاد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استظهرناه منها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أبان محتمل في التفريق</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روايات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من خلالها عدم إمكان الاعتماد على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السند وإمَّا من جهة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يوجد ما يدل على كون النافلة مفرقة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العرف لبيان ضابط الجمع والتفريق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يتحقق بطول الزمن وإنْ لم يؤت بالنافلة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العاصم والعالم</w:t>
      </w:r>
      <w:r>
        <w:rPr>
          <w:rFonts w:eastAsia="Amiri" w:cs="Amiri" w:ascii="Amiri" w:hAnsi="Amiri"/>
          <w:color w:val="111111"/>
          <w:sz w:val="28"/>
          <w:szCs w:val="28"/>
          <w:rtl w:val="true"/>
          <w:lang w:bidi="ar-SA"/>
        </w:rPr>
        <w:t xml:space="preserve">. </w:t>
      </w:r>
      <w:bookmarkStart w:id="214" w:name="pg9067_79742"/>
    </w:p>
    <w:p>
      <w:pPr>
        <w:pStyle w:val="Heading3"/>
        <w:numPr>
          <w:ilvl w:val="2"/>
          <w:numId w:val="1"/>
        </w:numPr>
        <w:rPr/>
      </w:pPr>
      <w:bookmarkStart w:id="215" w:name="__RefHeading___Toc2465014_2870459653"/>
      <w:bookmarkStart w:id="216" w:name="_Toc79"/>
      <w:bookmarkEnd w:id="214"/>
      <w:bookmarkEnd w:id="215"/>
      <w:r>
        <w:rPr>
          <w:rtl w:val="true"/>
        </w:rPr>
        <w:t>المصادر</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مجمع الفكر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جماعة المدرسين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التأريخ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مؤسسة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التأريخ العربي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9067_79745"/>
      <w:bookmarkStart w:id="218" w:name="pg9067_79745"/>
      <w:bookmarkEnd w:id="218"/>
    </w:p>
    <w:p>
      <w:pPr>
        <w:pStyle w:val="Heading2"/>
        <w:numPr>
          <w:ilvl w:val="1"/>
          <w:numId w:val="1"/>
        </w:numPr>
        <w:rPr/>
      </w:pPr>
      <w:bookmarkStart w:id="219" w:name="pg9067_79745"/>
      <w:bookmarkStart w:id="220" w:name="__RefHeading___Toc2465016_2870459653"/>
      <w:bookmarkStart w:id="221" w:name="_Toc80"/>
      <w:bookmarkEnd w:id="219"/>
      <w:bookmarkEnd w:id="220"/>
      <w:r>
        <w:rPr>
          <w:rtl w:val="true"/>
        </w:rPr>
        <w:t>قبح العقاب بلا بيان والاحتياط العقلي مسلك حق الطاعة</w:t>
      </w:r>
      <w:r>
        <w:rPr>
          <w:rtl w:val="true"/>
        </w:rPr>
        <w:t>(</w:t>
      </w:r>
      <w:r>
        <w:rPr>
          <w:rtl w:val="true"/>
        </w:rPr>
        <w:t>الحلقة الثانية</w:t>
      </w:r>
      <w:r>
        <w:rPr>
          <w:rtl w:val="true"/>
        </w:rPr>
        <w:t xml:space="preserve">) - </w:t>
      </w:r>
      <w:r>
        <w:rPr>
          <w:rtl w:val="true"/>
        </w:rPr>
        <w:t xml:space="preserve">السيد علي البعاج </w:t>
      </w:r>
      <w:r>
        <w:rPr>
          <w:rtl w:val="true"/>
        </w:rPr>
        <w:t>(</w:t>
      </w:r>
      <w:r>
        <w:rPr>
          <w:rtl w:val="true"/>
        </w:rPr>
        <w:t>دام عزه</w:t>
      </w:r>
      <w:r>
        <w:rPr>
          <w:rtl w:val="true"/>
        </w:rPr>
        <w:t>)</w:t>
      </w:r>
      <w:bookmarkEnd w:id="221"/>
    </w:p>
    <w:p>
      <w:pPr>
        <w:pStyle w:val="Heading3"/>
        <w:numPr>
          <w:ilvl w:val="2"/>
          <w:numId w:val="1"/>
        </w:numPr>
        <w:rPr/>
      </w:pPr>
      <w:bookmarkStart w:id="222" w:name="__RefHeading___Toc2465018_2870459653"/>
      <w:bookmarkStart w:id="223" w:name="_Toc81"/>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هذا البحث مقابلة بين مسلك مشهور الأصوليين من قبح العقاب بلا بيان وبين مسلك حق الطاعة والذي بنى عليه بعض محققي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البحث سوى إثارة علمية لعرض أدلة المسلَكَين وفهم كلمات القائلين بهما بما ينسجم والارتكازات التي تبتني عليها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الله جلَّ شأنه التوفيق والسداد</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9067_79747"/>
      <w:bookmarkStart w:id="225" w:name="pg9067_79747"/>
      <w:bookmarkEnd w:id="225"/>
    </w:p>
    <w:p>
      <w:pPr>
        <w:pStyle w:val="BookText"/>
        <w:rPr/>
      </w:pPr>
      <w:bookmarkStart w:id="226" w:name="pg9067_79747"/>
      <w:bookmarkEnd w:id="226"/>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يقع الكلام في القسم الثاني من البحث في مدى صحة حكم العقل بحق الطاعة وحدوده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عرض الأدلة التي أفادها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مسلكه، وما يُلاحَظ عليها من القائلين بمسلك 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المسلكين يشتركان في الانطلاق من واحدة من مصادرات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حكم العقل بوجوب طاعة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يفترقان في حدود هذه الطاعة ودائرتها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بالبراءة العقلية يرى وجوب الطاعة في التكاليف المعلومة وعدم منجّزية احتمال التكليف بأحد البيانات المذكورة في محلها، بخلاف القائل بهذا المسلك فإنّه يرى شمول وجوب الطاعة للتكاليف المحتمَلة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وبُغية فهم مسلكه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أن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النظرية العامة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حق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يترتب عليه من وجوب الطاعة وحرمة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وتتضح هذه النظرية برسم ثلاثة أمور</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2465020_2870459653"/>
      <w:bookmarkStart w:id="228" w:name="_Toc82"/>
      <w:bookmarkEnd w:id="227"/>
      <w:r>
        <w:rPr>
          <w:rtl w:val="true"/>
        </w:rPr>
        <w:t>الأمر الأول</w:t>
      </w:r>
      <w:bookmarkEnd w:id="228"/>
    </w:p>
    <w:p>
      <w:pPr>
        <w:pStyle w:val="BookText"/>
        <w:rPr/>
      </w:pPr>
      <w:r>
        <w:rPr>
          <w:rFonts w:ascii="Amiri" w:hAnsi="Amiri" w:eastAsia="Amiri" w:cs="Amiri"/>
          <w:color w:val="111111"/>
          <w:sz w:val="28"/>
          <w:sz w:val="28"/>
          <w:szCs w:val="28"/>
          <w:rtl w:val="true"/>
          <w:lang w:bidi="ar-SA"/>
        </w:rPr>
        <w:t>أن الأحكام التكليفية أمور اعتبارية تصدر من منطلق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تختلف عن السؤال والالتماس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الأصوليون في المُنطلق الذي يستند إليه الحكم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يرون أن المُنطلق هو العلو أو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يميل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إلى أن منطلق الحكم التكليفي حق يراه الآمر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يُصدر </w:t>
      </w:r>
    </w:p>
    <w:p>
      <w:pPr>
        <w:pStyle w:val="BookText"/>
        <w:rPr/>
      </w:pPr>
      <w:r>
        <w:rPr>
          <w:rFonts w:ascii="Amiri" w:hAnsi="Amiri" w:eastAsia="Amiri" w:cs="Amiri"/>
          <w:color w:val="111111"/>
          <w:sz w:val="28"/>
          <w:sz w:val="28"/>
          <w:szCs w:val="28"/>
          <w:rtl w:val="true"/>
          <w:lang w:bidi="ar-SA"/>
        </w:rPr>
        <w:t>الحكم انطلاقاً من حقه في تحميل مطلوبه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تبعد كلمات متأخري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إرادة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الحق ثلاثة أنحاء بحسب مناشئه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الفطري الثابت بمقتضى القانون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 الآمر مُنعماً وخالقاً وهو حق منحصر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لكون الآمر عالماً حكيماً مُطّلعاً على المبادئ اللازمة للتشريع على أساس قدرته على تشخيص المصالح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الحق ينتقل إلى حكماء الأمة بعد غياب تشريع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نصّبه للتشريع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الجعلي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الجاعل ممَّن يحق له مثل هذا الجعل بحسب القانون الفطري مثل ثبوت هذا الحق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الإمامية ولولاة الأمر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كان ممَّن لا يحق له ذلك نظير ما يحصل في النظم الانتخابية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يثبت للمجالس التشريعية حق الأمر إمّا على أساس الميثاق الاجتماعي الثابت للشخص بمقتضى التزام الغير تجاهه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خرَّجه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العالي</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فالشعب تارة يُعمل حق الولاية على النفس بإيجاب المواثيق بنفسه، وأخرى يفوّضه إلى الآخرين بالانتخاب لتعيين السلطة في جميع شؤونها مجتمعة، أو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على 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ينتخبوا أشخاصاً للسلطة التقنينية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وأشخاصاً للسلطة القضائية وشخصاً للسلطة التنفيذية، وإلا فالأصل أنْ لا ولاية لأحد على أحد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على أساس حق التشخيص للأمة بمعنى انتخاب مَنْ يُؤمَن على إدراك القانون الفطري ومتمماته وتنفيذه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تخريج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دون أن يرجع إلى إلزام الشخص بما التزم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تخريجاً للنظم الانتخابية على أساس </w:t>
      </w:r>
      <w:bookmarkStart w:id="229" w:name="pg9067_79749"/>
    </w:p>
    <w:p>
      <w:pPr>
        <w:pStyle w:val="BookText"/>
        <w:rPr/>
      </w:pPr>
      <w:bookmarkEnd w:id="229"/>
      <w:r>
        <w:rPr>
          <w:rFonts w:ascii="Amiri" w:hAnsi="Amiri" w:eastAsia="Amiri" w:cs="Amiri"/>
          <w:color w:val="111111"/>
          <w:sz w:val="28"/>
          <w:sz w:val="28"/>
          <w:szCs w:val="28"/>
          <w:rtl w:val="true"/>
          <w:lang w:bidi="ar-SA"/>
        </w:rPr>
        <w:t xml:space="preserve">فطري فيدخل في النحو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الادعاء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يدّعي شخص أنه أحق بالملك من عامة الناس على أساس قوته مثلا، ومن هذا النحو ما يكون في الحكومات المستبدة، وما يجري من القوانين والأعراف في المجتمعات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وتمثّل هذه الأنحاء للحق أُسساً وتخريجاً لمنشأ الأحكام في العالم البشري، والذي يجري في الأحكام الشرعية بل العقلائية هو الحق الفطري والحق الجعلي بمناطاتهما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مخالفتهما استحقاق العقوبة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2465022_2870459653"/>
      <w:bookmarkStart w:id="231" w:name="_Toc83"/>
      <w:bookmarkEnd w:id="230"/>
      <w:r>
        <w:rPr>
          <w:rtl w:val="true"/>
        </w:rPr>
        <w:t>الأمر الثاني</w:t>
      </w:r>
      <w:bookmarkEnd w:id="231"/>
    </w:p>
    <w:p>
      <w:pPr>
        <w:pStyle w:val="BookText"/>
        <w:rPr/>
      </w:pPr>
      <w:r>
        <w:rPr>
          <w:rFonts w:ascii="Amiri" w:hAnsi="Amiri" w:eastAsia="Amiri" w:cs="Amiri"/>
          <w:color w:val="111111"/>
          <w:sz w:val="28"/>
          <w:sz w:val="28"/>
          <w:szCs w:val="28"/>
          <w:rtl w:val="true"/>
          <w:lang w:bidi="ar-SA"/>
        </w:rPr>
        <w:t>أن الحكم باستحقاق العقوبة لابدّ أن يرجع إلى حكم العقل بالتحسين والتقبيح، فيكون مرجع ما ذُكِرَ من الحقوق إلى كون تلك الحقوق مُنقّحات لصغرى موارد حكم العقل بالاستحقاق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فأساس الاستحقاق على النحو الأول بمناطه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الآمر مُنعماً وخالقاً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باب هتك الشخصية أو من باب استحقاق العقوبة المجعولة قانوناً ممَّن له حق جعل العقاب على قولين يأتيان في الأمر الثالث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المناط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الآمر حكيما مُطّلعاً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فاستحقاق العقاب يكون من باب اقتضاء التربية الاجتماعية ورعاية الصلاح العام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وأساس الاستحقاق على النحو الثاني من الحق هو مخالفة الحق المجعول سواء أكان مجعولا ممَّن له حق الجعل بحسب القانون الفطري أم لا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32" w:name="pg9067_79750"/>
    </w:p>
    <w:p>
      <w:pPr>
        <w:pStyle w:val="Heading3"/>
        <w:numPr>
          <w:ilvl w:val="2"/>
          <w:numId w:val="1"/>
        </w:numPr>
        <w:rPr/>
      </w:pPr>
      <w:bookmarkStart w:id="233" w:name="__RefHeading___Toc2465024_2870459653"/>
      <w:bookmarkStart w:id="234" w:name="_Toc84"/>
      <w:bookmarkEnd w:id="232"/>
      <w:bookmarkEnd w:id="233"/>
      <w:r>
        <w:rPr>
          <w:rtl w:val="true"/>
        </w:rPr>
        <w:t>الأمر الثالث</w:t>
      </w:r>
      <w:bookmarkEnd w:id="234"/>
    </w:p>
    <w:p>
      <w:pPr>
        <w:pStyle w:val="Heading4"/>
        <w:numPr>
          <w:ilvl w:val="3"/>
          <w:numId w:val="1"/>
        </w:numPr>
        <w:rPr/>
      </w:pPr>
      <w:bookmarkStart w:id="235" w:name="__RefHeading___Toc2465026_2870459653"/>
      <w:bookmarkStart w:id="236" w:name="_Toc85"/>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أن النحو الأول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ينطبق على ما نحن بصدده في الكلام حول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حقّه تعالى في التشريع في هذا الباب يكون مناط الخلق والإنعام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في منشأ استحقاق العقاب بمخالفته تعالى قولان</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465028_2870459653"/>
      <w:bookmarkStart w:id="238" w:name="_Toc86"/>
      <w:bookmarkEnd w:id="237"/>
      <w:r>
        <w:rPr>
          <w:rtl w:val="true"/>
        </w:rPr>
        <w:t>القول الأول</w:t>
      </w:r>
      <w:bookmarkEnd w:id="238"/>
    </w:p>
    <w:p>
      <w:pPr>
        <w:pStyle w:val="BookText"/>
        <w:rPr/>
      </w:pPr>
      <w:r>
        <w:rPr>
          <w:rFonts w:ascii="Amiri" w:hAnsi="Amiri" w:eastAsia="Amiri" w:cs="Amiri"/>
          <w:color w:val="111111"/>
          <w:sz w:val="28"/>
          <w:sz w:val="28"/>
          <w:szCs w:val="28"/>
          <w:rtl w:val="true"/>
          <w:lang w:bidi="ar-SA"/>
        </w:rPr>
        <w:t>هتك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السائد بين الأصوليين من أن الله تعالى ربط التشريع بحقه العظيم وذاته المقدسة بحيث يكون المأمور به داخلا في حيطة الآمر بنحو من التوسعة الاعتبارية لشخصيه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حكموا باستحقاق العقوبة عقلا على المخالفة لكونها هتكاً للمولى وظلما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عبّر عنه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ربط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هذا القول بما أفاده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مرجع هذا الربط إلى نحو توسّع في الحماية للقيم بإضافتها إلى ذاته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موقف الأب الشفيق على ابنه فإنّه يتمسك بحق الأبوة في كل ما يكون فيه مصلحة للابن، فيأمره وينهاه من منطلق جعل حقه حماية لأوامره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يستحق الابن درجة من اللوم عند العقلاء في ما لو خالف نفس الحكم، ولكنه يستحق درجة من اللوم أكثر من الحد الطبيعي إذا خالف الحكم مع حماية الأب له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حال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قد حمى القيم والأحكام في الحياة من منطلق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المتصور الثابت عنه بالأدلة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وحمايةً لها لا من منطلق ما يقع من السلاطين والمستبدين من رعايتهم للمصالح الشخصية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يُضاف إلى ذلك أن تحمّس الآمر وتعلّقه بما يأمر به يجعلان المأمور المتحمَّس </w:t>
      </w:r>
      <w:bookmarkStart w:id="239" w:name="pg9067_79751"/>
    </w:p>
    <w:p>
      <w:pPr>
        <w:pStyle w:val="BookText"/>
        <w:rPr/>
      </w:pPr>
      <w:bookmarkEnd w:id="239"/>
      <w:r>
        <w:rPr>
          <w:rFonts w:ascii="Amiri" w:hAnsi="Amiri" w:eastAsia="Amiri" w:cs="Amiri"/>
          <w:color w:val="111111"/>
          <w:sz w:val="28"/>
          <w:sz w:val="28"/>
          <w:szCs w:val="28"/>
          <w:rtl w:val="true"/>
          <w:lang w:bidi="ar-SA"/>
        </w:rPr>
        <w:t>له مرتبِطاً بشخصية الآمر وحقّه بشكل تلقائي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يَربط شخصيته بهذا العمل لا أنه يكون ربطاً اعتبارياً مُتعمَداً</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465030_2870459653"/>
      <w:bookmarkStart w:id="241" w:name="_Toc87"/>
      <w:bookmarkEnd w:id="240"/>
      <w:r>
        <w:rPr>
          <w:rtl w:val="true"/>
        </w:rPr>
        <w:t>القول الثاني</w:t>
      </w:r>
      <w:bookmarkEnd w:id="241"/>
    </w:p>
    <w:p>
      <w:pPr>
        <w:pStyle w:val="BookText"/>
        <w:rPr/>
      </w:pPr>
      <w:r>
        <w:rPr>
          <w:rFonts w:ascii="Amiri" w:hAnsi="Amiri" w:eastAsia="Amiri" w:cs="Amiri"/>
          <w:color w:val="111111"/>
          <w:sz w:val="28"/>
          <w:sz w:val="28"/>
          <w:szCs w:val="28"/>
          <w:rtl w:val="true"/>
          <w:lang w:bidi="ar-SA"/>
        </w:rPr>
        <w:t>تنجّز الوعيد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بنى عليه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اشتمال الأحكام التكليفية على أحكام جزائية بنحو من الاندماج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الإلزامي يتكون من عنصرين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عنصر شكلي وهو الطلب والإلزام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الزاجر والمحرّك الأساس إنما يكمن في الحكم الجزائي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عنصر معنوي وهو الوعيد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المحرّك والزاجر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واستناداً على ما تقدَّم تكون الأحكام التكليفية اعتبارات تمهيدية للأحكام الجزائية بحيث لا يبقى لها أيّ معنى في ما لو انفصلت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فمخالفة الحكم الإلزامي ليست إلا مخالفة الوعيد الكامن في الأحكام الجزائية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فاستحقاق العقاب من جهة تنجّز الوعيد المجعول بالمخالفة من قِبله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تعالى انطلق في تشريعه للأحكام من حيثية كونه حكيماً وما تقتضيه الحكمة من الموازنة بين المصالح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ينطلق تعالى في تشريعاته من ربط الشخصية حتى تكون مخالفة تشريعاته هتكاً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لا يتمكن من هتك حرمته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في ما حُكِي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الموافقة على هذا المبنى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الالتزام بأن الإنسان يتمكن من هتك حرمة الله تعالى وإيراد الظلم عليه بمخالفة أحكامه تعالى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عَرف عظمة الرب وخضوع ما في السماوات </w:t>
      </w:r>
    </w:p>
    <w:p>
      <w:pPr>
        <w:pStyle w:val="BookText"/>
        <w:rPr/>
      </w:pPr>
      <w:r>
        <w:rPr>
          <w:rFonts w:ascii="Amiri" w:hAnsi="Amiri" w:eastAsia="Amiri" w:cs="Amiri"/>
          <w:color w:val="111111"/>
          <w:sz w:val="28"/>
          <w:sz w:val="28"/>
          <w:szCs w:val="28"/>
          <w:rtl w:val="true"/>
          <w:lang w:bidi="ar-SA"/>
        </w:rPr>
        <w:t>والأرض له طوعاً وكرهاً يظهر له أنه بمخالفته له تعالى إنما يهتك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إلا كاشفاً عن ضعف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وإبراز ما في نفسه من ملكات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 الآيات الشريفة تصريحاً بأن مخالفة الإنسان لأحكام الله تعالى ليس فيها ظلم بالنسبة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يُعَدُّ ظلماً بالنسبة إلى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يلزم من هذا القول عدم تفاوت الأحكام في العقوبة وتكون كلها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لدينا معاصي كبيرة ومعاصي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فللعاصي درجات كما أن للمطيع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بالهتك هو الهتك بالمعنى المصدري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سوء الأدب معه وعدم مراعاته وليس المراد من الهتك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بالمعنى الاسم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شيء من النقصان على الذات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المراد من الهتك الموجب لاستحقاق العقوبة هو المعنى الأول فهو وإن كان غير متحقق في شأن الله تعالى إلا أن انحصار ملاك استحقاق العقوبة به لا يخلو عن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المراد منه هو المعنى الثاني فلا وجه للمنع عن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الظلم قد ورد في جملة من الآيات الشريفة بشأن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المظلوم لما فيه من إيحاء 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ما ورد في جملة من الآيات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ظلمونا </w:t>
      </w:r>
      <w:bookmarkStart w:id="242" w:name="pg9067_79753"/>
    </w:p>
    <w:p>
      <w:pPr>
        <w:pStyle w:val="BookText"/>
        <w:rPr/>
      </w:pPr>
      <w:bookmarkEnd w:id="242"/>
      <w:r>
        <w:rPr>
          <w:rFonts w:ascii="Amiri" w:hAnsi="Amiri" w:eastAsia="Amiri" w:cs="Amiri"/>
          <w:color w:val="111111"/>
          <w:sz w:val="28"/>
          <w:sz w:val="28"/>
          <w:szCs w:val="28"/>
          <w:rtl w:val="true"/>
          <w:lang w:bidi="ar-SA"/>
        </w:rPr>
        <w:t>ولكن كانوا أنفسهم يظلمون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فالمراد أنه تعالى لم ينقص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أورِد من عدم تفاوت الأحكام في العقوبة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كما يمكن أن يكون مختلفا شدة وضعفاً فكذلك الارتباط بالشخصية فإنّه يمكن أن يكون حالة مشككة فيكون مستوى الطلب مختلفاً شدة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والانتهاك للشخصية أيضاً يتفاوت بحسب شدة الربط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الأمور التي ترسم ملامح النظرية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ولِمَن يتصدى لجعله وما يترتب عليها من استحقاق العقوبة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ما تقدم فإنّ ما استدل به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مسلكه يرجع إلى بيان أصلي وإلى وجوه بعضها مؤيدة لمسلكه وبعضها مُنبّهة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تعابيره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فساد القول بالبراءة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أولا البيان الأصلي وما أورد عليه من النقض والإبرام ثم نعقبها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المؤيدات والمُنبِّهات</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465032_2870459653"/>
      <w:bookmarkStart w:id="244" w:name="_Toc88"/>
      <w:bookmarkEnd w:id="243"/>
      <w:r>
        <w:rPr>
          <w:rtl w:val="true"/>
        </w:rPr>
        <w:t>حجة القائل بمسلك حق الطاعة</w:t>
      </w:r>
      <w:bookmarkEnd w:id="244"/>
    </w:p>
    <w:p>
      <w:pPr>
        <w:pStyle w:val="Heading4"/>
        <w:numPr>
          <w:ilvl w:val="3"/>
          <w:numId w:val="1"/>
        </w:numPr>
        <w:rPr/>
      </w:pPr>
      <w:bookmarkStart w:id="245" w:name="__RefHeading___Toc2465034_2870459653"/>
      <w:bookmarkStart w:id="246" w:name="_Toc89"/>
      <w:bookmarkEnd w:id="245"/>
      <w:r>
        <w:rPr>
          <w:rtl w:val="true"/>
        </w:rPr>
        <w:t>اشارة</w:t>
      </w:r>
      <w:bookmarkEnd w:id="24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استدلاله على أصل مولوية المولى وسعتها من إحدى مصادرات 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قضايا قبلية لا تقبل البرهنة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بها في دروسه من أننا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 في هذا المسلك بأن المولوية الذاتية الثابتة لله سبحانه وتعالى لا تختص بالتكاليف 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تشمل مطلق التكاليف الواصلة ولو احتمالا، وهذا من مدركات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مبرهنة فكما أن أصل حق الطاعة للمُنعم والخالق مدرَك أولي للعقل العملي غير مبرهَن فكذلك حدوده سعة وضيقاً</w:t>
      </w:r>
      <w:r>
        <w:rPr>
          <w:rFonts w:eastAsia="Amiri" w:cs="Amiri" w:ascii="Amiri" w:hAnsi="Amiri"/>
          <w:color w:val="111111"/>
          <w:sz w:val="28"/>
          <w:szCs w:val="28"/>
          <w:rtl w:val="true"/>
          <w:lang w:bidi="ar-SA"/>
        </w:rPr>
        <w:t xml:space="preserve">. </w:t>
      </w:r>
      <w:bookmarkStart w:id="247" w:name="pg9067_79754"/>
    </w:p>
    <w:p>
      <w:pPr>
        <w:pStyle w:val="BookText"/>
        <w:rPr/>
      </w:pPr>
      <w:bookmarkEnd w:id="247"/>
      <w:r>
        <w:rPr>
          <w:rFonts w:ascii="Amiri" w:hAnsi="Amiri" w:eastAsia="Amiri" w:cs="Amiri"/>
          <w:color w:val="111111"/>
          <w:sz w:val="28"/>
          <w:sz w:val="28"/>
          <w:szCs w:val="28"/>
          <w:rtl w:val="true"/>
          <w:lang w:bidi="ar-SA"/>
        </w:rPr>
        <w:t>وعليه فالقاعدة العملية الأولية هي أصالة الاشتغال بحكم العقل ما لم يثبت الترخيص الجاد في ترك التحفظ على ما تقدم في مباحث القطع</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وأوضحها في بحوثه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المولوية عبارة عن حق الطاعة، وحق الطاعة يدركه العقل بملاك من الملاكات، كملاك شكر المنعم أو ملاك الخالقية أو المالكية، ولكن حق الطاعة له مراتب وكلما كان الملاك آكد كان حق الطاعة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مولوية المولى أوسع دائرة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منعميته بدرجةٍ يترتب عليها حق الطاعة حتى في المشكوكات والمحتمَلات من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بحسب الحقيقة سعة في دائرة المولوية، إذن فالحجية ليست شيئاً منفصلاً عن المولوية وحق الطاعة، ومرجع البحث في قاعدة قُبح العقاب بلا بيان إلى البحث عن أن مولوية المولى هل تشمل التكاليف المحتمَلة أو لا؟</w:t>
      </w:r>
    </w:p>
    <w:p>
      <w:pPr>
        <w:pStyle w:val="BookText"/>
        <w:rPr/>
      </w:pPr>
      <w:r>
        <w:rPr>
          <w:rFonts w:ascii="Amiri" w:hAnsi="Amiri" w:eastAsia="Amiri" w:cs="Amiri"/>
          <w:color w:val="111111"/>
          <w:sz w:val="28"/>
          <w:sz w:val="28"/>
          <w:szCs w:val="28"/>
          <w:rtl w:val="true"/>
          <w:lang w:bidi="ar-SA"/>
        </w:rPr>
        <w:t>ولا شك أنه في التكاليف العقلائية عادة تكون المولوية ضيقة ومحدودة بموارد العلم بالتكليف، وأمّا في المولى الحقيقي فسعة المولوية وضيقها يُرجع فيها إلى حكم العقل العملي تجاه الخالق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ومظنوني أنه بعد الالتفات إلى ما بيّناه لا يبقى مَن لا يقول بسعة مولوية المولى الحقيقي بنحو تشمل حتى التكاليف الموهومة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ويبتني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مزيد 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مقدمتين</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465036_2870459653"/>
      <w:bookmarkStart w:id="249" w:name="_Toc90"/>
      <w:bookmarkEnd w:id="248"/>
      <w:r>
        <w:rPr>
          <w:rtl w:val="true"/>
        </w:rPr>
        <w:t>مقدمتين</w:t>
      </w:r>
      <w:bookmarkEnd w:id="249"/>
    </w:p>
    <w:p>
      <w:pPr>
        <w:pStyle w:val="Heading5"/>
        <w:numPr>
          <w:ilvl w:val="4"/>
          <w:numId w:val="1"/>
        </w:numPr>
        <w:rPr/>
      </w:pPr>
      <w:bookmarkStart w:id="250" w:name="__RefHeading___Toc2465038_2870459653"/>
      <w:bookmarkStart w:id="251" w:name="_Toc91"/>
      <w:bookmarkEnd w:id="250"/>
      <w:r>
        <w:rPr>
          <w:rtl w:val="true"/>
        </w:rPr>
        <w:t>المقدمة الأولى</w:t>
      </w:r>
      <w:bookmarkEnd w:id="251"/>
    </w:p>
    <w:p>
      <w:pPr>
        <w:pStyle w:val="BookText"/>
        <w:rPr/>
      </w:pPr>
      <w:r>
        <w:rPr>
          <w:rFonts w:ascii="Amiri" w:hAnsi="Amiri" w:eastAsia="Amiri" w:cs="Amiri"/>
          <w:color w:val="111111"/>
          <w:sz w:val="28"/>
          <w:sz w:val="28"/>
          <w:szCs w:val="28"/>
          <w:rtl w:val="true"/>
          <w:lang w:bidi="ar-SA"/>
        </w:rPr>
        <w:t>أن حق الطاعة ذو مراتب وحق الله تعالى هو بأقصى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نعمته تعالى آكد فيكون حقه آكد</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2465040_2870459653"/>
      <w:bookmarkStart w:id="253" w:name="_Toc92"/>
      <w:bookmarkEnd w:id="252"/>
      <w:r>
        <w:rPr>
          <w:rtl w:val="true"/>
        </w:rPr>
        <w:t>المقدمة الثانية</w:t>
      </w:r>
      <w:bookmarkEnd w:id="25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مرتبة الحق تؤثر في درجة لزوم مراعاة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حق </w:t>
      </w:r>
    </w:p>
    <w:p>
      <w:pPr>
        <w:pStyle w:val="BookText"/>
        <w:rPr/>
      </w:pPr>
      <w:r>
        <w:rPr>
          <w:rFonts w:ascii="Amiri" w:hAnsi="Amiri" w:eastAsia="Amiri" w:cs="Amiri"/>
          <w:color w:val="111111"/>
          <w:sz w:val="28"/>
          <w:sz w:val="28"/>
          <w:szCs w:val="28"/>
          <w:rtl w:val="true"/>
          <w:lang w:bidi="ar-SA"/>
        </w:rPr>
        <w:t>الآمر بدرجة توجب الاعتناء بالتكاليف المعلومة، وقد تكون بدرجة أعلى بحيث توجب مراعاة التكاليف المحتمَلة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لأهمية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العناوين الطارئة عليه في مرحلة معلولات الأحكام من قبيل عنوان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على فاعلية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أهميته بلحاظ ذات المحتمَل وملاكاته في مقام علل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الأعراض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تَجبر ضعف الاحتمال وتقّوي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المقدمة تبتني على اللحاظ الأول للمحتمَل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الحكم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صادراً ممَّن له حق عظيم ترتب على ذلك الإتيان به، وذلك لاحتمال المطلوبية التي تمثّل أمراً مهماً بمقتضى حقه العظيم كما في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الطالب ذا حق عظيم انعكس ذلك على أهمية مطلوبه في الرتبة اللاحقة للحكم، لا في الرتبة السابقة عليه التي تمثل مرتبة علل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فأهمية المحتمَل في ما نحن فيه لم تنبعث عن أهمية الحكم ولا عن مقام الملاك في حدّ نفسه، بل باعتبار أن الإتيان به يكون طاعة لهذا الحاكم لأن شخصيته ودرجة حقه تنعكسان على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المحتمَل مُهماً فيلزم الاعتناء به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مسلكه على القول الأول المذكور في الأمر الثالث من ربط الأوامر والأحكام بالشخصية بنحو يوجب توسعة الشخصية ليشمل المأمور به، فالمأمور به داخل في حيطة شخصية الحاكم بحيث يؤثر في الطاعة وما يترتب عليها في الرتبة اللاحقة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أورِد على هذا المسلك بعدة إيرادات مبنوية وبنائية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الإيراد المبنوي فهو ما حُكِيَ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bookmarkStart w:id="254" w:name="pg9067_79756"/>
    </w:p>
    <w:p>
      <w:pPr>
        <w:pStyle w:val="BookText"/>
        <w:rPr/>
      </w:pPr>
      <w:bookmarkEnd w:id="254"/>
      <w:r>
        <w:rPr>
          <w:rFonts w:ascii="Amiri" w:hAnsi="Amiri" w:eastAsia="Amiri" w:cs="Amiri"/>
          <w:color w:val="111111"/>
          <w:sz w:val="28"/>
          <w:sz w:val="28"/>
          <w:szCs w:val="28"/>
          <w:rtl w:val="true"/>
          <w:lang w:bidi="ar-SA"/>
        </w:rPr>
        <w:t>أن هذا المسلك مبتنٍ على أنّ ما يصدر من العبد عند المخالفة إنما يُعَدُّ ظلماً وهتكاً له تعالى فيستحق العقوبة عليه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حق المولى يقتضي إطاعته في ما يأمر به، وهذا المبنى غير صحيح إذ لا يتمكن الإنسان من هتك حرمة الله تعالى وإيراد الظلم عليه بمخالفة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الإنسان حينئذٍ إلا ظالماً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ما تقدم الكلام فيه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465042_2870459653"/>
      <w:bookmarkStart w:id="256" w:name="_Toc93"/>
      <w:bookmarkEnd w:id="255"/>
      <w:r>
        <w:rPr>
          <w:rtl w:val="true"/>
        </w:rPr>
        <w:t>وأمّا الإيرادات البنائية فهي</w:t>
      </w:r>
      <w:bookmarkEnd w:id="256"/>
    </w:p>
    <w:p>
      <w:pPr>
        <w:pStyle w:val="Heading5"/>
        <w:numPr>
          <w:ilvl w:val="4"/>
          <w:numId w:val="1"/>
        </w:numPr>
        <w:rPr/>
      </w:pPr>
      <w:bookmarkStart w:id="257" w:name="__RefHeading___Toc2465044_2870459653"/>
      <w:bookmarkStart w:id="258" w:name="_Toc94"/>
      <w:bookmarkEnd w:id="257"/>
      <w:r>
        <w:rPr>
          <w:rtl w:val="true"/>
        </w:rPr>
        <w:t>الإيراد الأول</w:t>
      </w:r>
      <w:bookmarkEnd w:id="258"/>
    </w:p>
    <w:p>
      <w:pPr>
        <w:pStyle w:val="BookText"/>
        <w:rPr/>
      </w:pPr>
      <w:r>
        <w:rPr>
          <w:rFonts w:ascii="Amiri" w:hAnsi="Amiri" w:eastAsia="Amiri" w:cs="Amiri"/>
          <w:color w:val="111111"/>
          <w:sz w:val="28"/>
          <w:sz w:val="28"/>
          <w:szCs w:val="28"/>
          <w:rtl w:val="true"/>
          <w:lang w:bidi="ar-SA"/>
        </w:rPr>
        <w:t xml:space="preserve">ما عن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من أنه على فرض التسليم بقضاء العقل الدقيق بلزوم الاحتياط في المشكوكات، فإنّه إنما يصحّ الاعتماد عليه في ما إذا كان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إطاعة المولى في المظنونات والمشكوكات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واضحاً عند أكثر العقول، فعلى المولى أن يعتمد على قضاء عقل العبد في ذلك المجال، وأمّا إذا كان حكمه مغفولاً عنه عند العامّة حيث اعتاد الناس على أن الامتثال رهن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السائد بين العقلاء في ما يرجع إلى الرئيس والمرؤوس هو ذاك، فاعتماد المولى على هذا الحكم الخفيّ على أكثر الناس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عنه بأن هذا التقرير بظاهره غيرُ مناسب مع ما هو المفروض في كلام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التقريب بحق الشارع دون عامة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المنظور في الإيراد هو عقلاء المتشرعة من أرباب الأديان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يُجابُ عنه بأنّ عدم التفاتهم إمّا أن يكون من باب غفلتهم عن عِظَم الحق</w:t>
      </w:r>
      <w:r>
        <w:rPr>
          <w:rFonts w:eastAsia="Amiri" w:cs="Amiri" w:ascii="Amiri" w:hAnsi="Amiri"/>
          <w:color w:val="111111"/>
          <w:sz w:val="28"/>
          <w:szCs w:val="28"/>
          <w:rtl w:val="true"/>
          <w:lang w:bidi="ar-SA"/>
        </w:rPr>
        <w:t xml:space="preserve">, </w:t>
      </w:r>
      <w:bookmarkStart w:id="259" w:name="pg9067_79757"/>
    </w:p>
    <w:p>
      <w:pPr>
        <w:pStyle w:val="BookText"/>
        <w:rPr/>
      </w:pPr>
      <w:bookmarkEnd w:id="259"/>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دفعه تنبيهُ النصوص الشرعية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من باب عدم التفاتهم إلى أهمية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الناشئة في المرتبة اللاحقة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عظم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تفكيك بين الحق والحكم المحتمَل بما هو مطلوب من ذي حقٍ عظيم وهذا غير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التفت إلى عِظَم حق شخص عليه واحتمل طلبه لَزِمه الإتيان به لأن عِظَم الحق يُعطي ثقلا للمطلوب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الرتبة اللاحقة للطلب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ينقدح إيراد على أصل البيان في ضوء هذا الجواب بأن عِظم حق الطالب وإن أوجب ثقلا ما على مطلوبه المحتمَل ولكنه لا يستلزم الإتيان به عقلا بحيث لو لم يأتِ به المُكلف عُدَّ عاصياً مستوجباً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التفكيك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تحميل المطلوب على الغير ممَّن له حق يقتضي ثبوت موقف واضح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المطلوبية إنما يقتضي حُسن الانقياد لا وجوب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ما بين تحميل المطلوب من الآخرين على نفسه وبين تحميل المطلوب من الطالب على الآخرين لا سيّما في رتبة معلولات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اقتضى احتمال المطلوبية الإتيانَ به عقلا لكان هذا الحكم مشهوداً عند عامة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تلك الشهادة على سبيل المُنبّهية لإدراك العقل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البعيد أن يُطْبِق العقلاء على أمر مخالف لمقتضى أحكام العقل</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2465046_2870459653"/>
      <w:bookmarkStart w:id="261" w:name="_Toc95"/>
      <w:bookmarkEnd w:id="260"/>
      <w:r>
        <w:rPr>
          <w:rtl w:val="true"/>
        </w:rPr>
        <w:t>الإيراد الثاني</w:t>
      </w:r>
      <w:bookmarkEnd w:id="261"/>
    </w:p>
    <w:p>
      <w:pPr>
        <w:pStyle w:val="BookText"/>
        <w:rPr/>
      </w:pPr>
      <w:r>
        <w:rPr>
          <w:rFonts w:ascii="Amiri" w:hAnsi="Amiri" w:eastAsia="Amiri" w:cs="Amiri"/>
          <w:color w:val="111111"/>
          <w:sz w:val="28"/>
          <w:sz w:val="28"/>
          <w:szCs w:val="28"/>
          <w:rtl w:val="true"/>
          <w:lang w:bidi="ar-SA"/>
        </w:rPr>
        <w:t xml:space="preserve">ما أورده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الطاعة أدب متقوّم بجانب نفسي وجانب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سوء الأدب في حال عدم تحقق الواقع المخالف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بوجوب الطاعة وحرمة المعصية نوع من الأدب الواجب الذي لا يتحقق إلا في حالات العلم بمعنى أنه لا يبلغ حدّ الوجوب إلا في </w:t>
      </w:r>
      <w:bookmarkStart w:id="262" w:name="pg9067_79758"/>
    </w:p>
    <w:p>
      <w:pPr>
        <w:pStyle w:val="BookText"/>
        <w:rPr/>
      </w:pPr>
      <w:bookmarkEnd w:id="262"/>
      <w:r>
        <w:rPr>
          <w:rFonts w:ascii="Amiri" w:hAnsi="Amiri" w:eastAsia="Amiri" w:cs="Amiri"/>
          <w:color w:val="111111"/>
          <w:sz w:val="28"/>
          <w:sz w:val="28"/>
          <w:szCs w:val="28"/>
          <w:rtl w:val="true"/>
          <w:lang w:bidi="ar-SA"/>
        </w:rPr>
        <w:t>حالات العلم، لا بمعنى أن مراعاة الأدب مع شخص بتحقيق مطلوبه لا تُعقل إلا مع العلم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الشحنات والمناسبات الأدبية لا تبلغ حدّ الذروة المؤدي إلى الوجوب إلا مع تنامي الحالة الإدراكية إلى مستوى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هناك هتك بدون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هذا إنكار لوجود أدب مستحب في حالة الاحتمال فإنّه لا مانع من البناء عليه إذ هو معنى حسن الانقياد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بقية الأصوليين في أن مقتضى الأدب مراعاة الحكم المحتمَل وهو ما يُعبّر عنه حسن الاحتياط، ولكن الخلاف بينهما في أن تأكّد الحق هل يوجب أن تكون مراعاة الحكم غير المعلوم من قبيل الأدب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مراعاته من الهتك المحظور أو لا؟</w:t>
      </w:r>
    </w:p>
    <w:p>
      <w:pPr>
        <w:pStyle w:val="BookText"/>
        <w:rPr/>
      </w:pPr>
      <w:r>
        <w:rPr>
          <w:rFonts w:ascii="Amiri" w:hAnsi="Amiri" w:eastAsia="Amiri" w:cs="Amiri"/>
          <w:color w:val="111111"/>
          <w:sz w:val="28"/>
          <w:sz w:val="28"/>
          <w:szCs w:val="28"/>
          <w:rtl w:val="true"/>
          <w:lang w:bidi="ar-SA"/>
        </w:rPr>
        <w:t xml:space="preserve">فالسيد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أثراً أساسياً للعلم في تحقق الأدب الواجب، وهو محل تأمل</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2465048_2870459653"/>
      <w:bookmarkStart w:id="264" w:name="_Toc96"/>
      <w:bookmarkEnd w:id="263"/>
      <w:r>
        <w:rPr>
          <w:rtl w:val="true"/>
        </w:rPr>
        <w:t>الإيراد الثالث</w:t>
      </w:r>
      <w:bookmarkEnd w:id="264"/>
    </w:p>
    <w:p>
      <w:pPr>
        <w:pStyle w:val="BookText"/>
        <w:rPr/>
      </w:pPr>
      <w:r>
        <w:rPr>
          <w:rFonts w:ascii="Amiri" w:hAnsi="Amiri" w:eastAsia="Amiri" w:cs="Amiri"/>
          <w:color w:val="111111"/>
          <w:sz w:val="28"/>
          <w:sz w:val="28"/>
          <w:szCs w:val="28"/>
          <w:rtl w:val="true"/>
          <w:lang w:bidi="ar-SA"/>
        </w:rPr>
        <w:t xml:space="preserve">ما عن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معارضة حيثية الطاعة بالنسبة للأحكام الإلزامية مع احتمال اعتناء الشارع بالترخيص وفق تخطيطه العام، فإننا كما نحتمل أن الشارع ألزمنا بمراعاة الحكم المحتمَل فكذلك نحتمل أن يكون قد رخّص لنا في عدم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فالترخيص قد يكون اقتضائياً بأن يكون فيه ملاك يقتضي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اقتضائياً بأن يكون منشؤه جعل الحرية للإنسان مقابل العمل من دون أن يكون فيه ملاك يقتضي الإلزام أو الترخيص</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يعني تساوي احتمالي الترخيص والوجوب في الشحنة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احتمال الوجوب في كل مورد شخصي أقوى شحنة من احتمال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مجرد اختلاط </w:t>
      </w:r>
    </w:p>
    <w:p>
      <w:pPr>
        <w:pStyle w:val="BookText"/>
        <w:rPr/>
      </w:pPr>
      <w:r>
        <w:rPr>
          <w:rFonts w:ascii="Amiri" w:hAnsi="Amiri" w:eastAsia="Amiri" w:cs="Amiri"/>
          <w:color w:val="111111"/>
          <w:sz w:val="28"/>
          <w:sz w:val="28"/>
          <w:szCs w:val="28"/>
          <w:rtl w:val="true"/>
          <w:lang w:bidi="ar-SA"/>
        </w:rPr>
        <w:t>الحلال بالحرام في موارد العلم الإجمالي في الشبهة غير المحصورة لا يسوّغ إيقاع المزاحمة بين الحليّة الاقتضائية وبين الوجوب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هذا الوجوب مهيمناً على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المحاسبة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تأمل موارد الاحتمال الإلزامية بالنظر الجَمعي مع ملاحظة الواقع العملي في الفقه الإسلامي يُعطي أن الحال قد لا يكون على حدّ المحاسبة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أننا نحتمل أن يكون اهتمام الشارع بالترخيص في الأمور المحتمَلة محل عناية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بتجميع الشحنات الترخيصية بما لا يقل عن قيمة الوجوب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ورد في الأخبار من أن الله تعالى يُحِبُّ أنْ يُؤخَذ برُخَصه كما يُحِبُّ أن يُؤخَذ بعزائمه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كان احتمال الوجوب والحرمة في بضعة موارد مع وجود نصوص تشريعية كافية في الموارد الباقية بحيث لا تصل النوبة إلى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للالتزام بمسلك حق الطاعة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موارد احتمال الحكم التي نفتقد فيها الأمارة الكافية تشمل مساحة واسعة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أصبح مسلك حق الطاعة يمثل تضييقاً كبيراً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يحصل ترديد في 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التساؤل عن أن الشارع يعتني بحرية المكلف في هذه الدائرة الواسعة عناية أدنى من عنايته بالأحكام الإلزامية المحتمَلة فيها؟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يكون مختلفاً عمّا هو موجود في الموازنة الفردية لأن المساحة واسعة بحيث تمثّل منهجاً لا حالات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قوانين الحياة مبتنية على حِكَم وموازنات بين الحدود المُرخَّص فيها بالتشريع وبين الحدود الإلزامية حتى لو قلنا بمراعاة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تأمل زاوية الأدب من جهة الأحكام الإلزامية دون غيرها لجواز أن تستبطن الأحكام </w:t>
      </w:r>
    </w:p>
    <w:p>
      <w:pPr>
        <w:pStyle w:val="BookText"/>
        <w:rPr/>
      </w:pPr>
      <w:r>
        <w:rPr>
          <w:rFonts w:ascii="Amiri" w:hAnsi="Amiri" w:eastAsia="Amiri" w:cs="Amiri"/>
          <w:color w:val="111111"/>
          <w:sz w:val="28"/>
          <w:sz w:val="28"/>
          <w:szCs w:val="28"/>
          <w:rtl w:val="true"/>
          <w:lang w:bidi="ar-SA"/>
        </w:rPr>
        <w:t>الترخيصية في مساحتها المجموعية مساحة 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الشخص لابد أن يعيش نحواً من الحرية ومنه قد نُحرِز أن الشارع لا يريد الاعتناء بالآداب إلى 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توجد لديه البراءة الشرعية التي تُلغي الآثار الميدانية للاحتياط العقلي الذي التزم به لَمَا كان قد التزم بمسلك حق الطاعة، فلو افترضنا أنه لا يرى تمامية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للمناقشة في الأدلة السمعية بالخدش في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للمناقشة في سيرة المسلمين فإنّ البراءة العقلية سوف يتأتى لها أن تكون فاعلة في ساحة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فقدان الأمارات والإطلاقات والعمومات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يلزم التوقف في كل مورد تُحتمل فيه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بكل شيء يُحتمل فيه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ولظهر بهذا أن هذا المنهج غير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يتوجه على هذا الإيراد ما أفاده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نقده للاعتراض الذي أورده على مسلك حق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من إيراد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موارد الشكّ في التكليف كما نحتمل أن يكون الحكم الواقعي حكماً تكليفياً مشتملاً على ملاك اقتضائي للإلزام، كذلك نحتمل أن يكون حكماً ترخيصياً مشتملاً على ملاك اقتضائي للإباحة، فلو كان الاحتمال الأول مقتضياً لحكم العقل بالبناء على الإلزام، لضمان الحفاظ على الملاك الإلزامي المحتمَل على فرض وجوده، لكان الاحتمال الثاني أيضاً مقتضياً لحكم العقل بالبناء على الترخيص لضمان الحفاظ على الملاك الترخيصي المحتمَل على فرض وجوده، لأن كليهما من الملاكات ذوات الأهمية عند المولى على فرض وجودها، ولا وجه لترجيح الأول على الثاني ما لم نُحرز كونه أهمّ منه عند المولى إلى درجة تقتضي تقديم ضمان حفظه على ضمان حفظ الثاني عند التزاحم </w:t>
      </w:r>
    </w:p>
    <w:p>
      <w:pPr>
        <w:pStyle w:val="BookText"/>
        <w:rPr/>
      </w:pPr>
      <w:r>
        <w:rPr>
          <w:rFonts w:ascii="Amiri" w:hAnsi="Amiri" w:eastAsia="Amiri" w:cs="Amiri"/>
          <w:color w:val="111111"/>
          <w:sz w:val="28"/>
          <w:sz w:val="28"/>
          <w:szCs w:val="28"/>
          <w:rtl w:val="true"/>
          <w:lang w:bidi="ar-SA"/>
        </w:rPr>
        <w:t>بينهما في مقام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بجوابين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حق الطاعة هو التكليف لا مطلق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فرّق بين الحكم والتكليف وجَعَلَ الإباحةَ من أقسام الحكم لا التكليف فلا موضوع للطاعة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على نفسه بالتسليم بكون الإباحة الإقتضائية ليست من أقسام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جعل الإباحة الاقتضائية يتلخّص في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المكلّف بكون حكم اللّه تعالى في هذا المورد هو الإباحة لا غير، وهذا هو المسمّى بالموافقة الإلتزامية، فلو كان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 بالتفصيل وجب الاعتقاد بإباحته تفصيلاً، وإن لم يكن معلوماً بالتفصيل كما في المقام كفى الاعتقاد بصحّة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المورد إجمالاً، كلّ ذلك بناءً على وجوب الموافقة الإلتزامية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المكلّف على الصعيد العملي من جانب الشارع دون أن يكون هناك 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المطلوب من جعل الإباحة الإقتضائية هو الترخيص بما هو هو فهذا حاصل غير منتفٍ، إذ ليس من جانب المولى أي إيجاب أو تحريم بل حكم بالتسوية بين الفعل والترك، ولكنّه لا ينافي أن يتعلّق إلزام بالفعل المباح القطعي فضلاً عن المحتمَل، لأجل انطباق عنوان آخر</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عدم توجهه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بالجواب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في حال المحاسبة الفردية دون الجمعية التي تستبطن الإلزام بجعل الإنسان حراً مطلق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يستقيم ما أفاده من الجواب في دفع الاعتراض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هنا شيء وهو أنه قد يظهر من بعض كلمات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بينه وبين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قيمة الاحتمال وعدمها يشمل أهمية المحتمَل سواء كان في مقام ذوات الأحكام بلحاظ درجة تأكّدها أم في مقام معلولات الأحكام كما هو محل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المعالم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في رأينا هو أنّ الأصل في كل تكليف محتمل هو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لشمول حق الطاعة للتكاليف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يُدرك أن للمولى على الإنسان حق الطاعة لا في التكاليف المعلومة فحسب بل في التكاليف المحتمَلة أيضاً ما لم يثبت بدليل أن المولى لا يهتم بالتكليف المحتمَل إلا التي تدعو إلى إلزام المكلف بلا 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في ذلك كثير من الأصوليين إيماناً منهم بأن الأصل في المكلف أن لا يكون مسؤولاً عن التكاليف المشكوكة ولو احتمل أهميتها بدرجة كبيرة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أفاده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في بيان مسلكه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نعرف حدود حق الطاعة الثابت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الحق يشمل التكاليف المشكوكة التي يحتمل المكلف أهميتها بدرجة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عقاب الله للمكلف إذا خالفها قبيحاً لأن بمخالفتها يُفرّط في حق مولاه ويستحق العقاب</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تكرر منه هذا المعنى في غير موضع</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وللمناقشة فيه مجال فإنّ الظاهر أنّ لزوم مراعاة الحكم المحتمَل في ما لو كانت الأهمية في مقام ذات الأحكام مما لا كلام فيه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اختلفوا في تخريجه </w:t>
      </w:r>
      <w:bookmarkStart w:id="265" w:name="pg9067_79763"/>
    </w:p>
    <w:p>
      <w:pPr>
        <w:pStyle w:val="BookText"/>
        <w:rPr/>
      </w:pPr>
      <w:bookmarkEnd w:id="265"/>
      <w:r>
        <w:rPr>
          <w:rFonts w:ascii="Amiri" w:hAnsi="Amiri" w:eastAsia="Amiri" w:cs="Amiri"/>
          <w:color w:val="111111"/>
          <w:sz w:val="28"/>
          <w:sz w:val="28"/>
          <w:szCs w:val="28"/>
          <w:rtl w:val="true"/>
          <w:lang w:bidi="ar-SA"/>
        </w:rPr>
        <w:t xml:space="preserve">بحسب ما يظهر من كلماتهم في لزوم مراعاة الحكم المحتمَل لمنجّزية الاحتمال فقط من دون وجود حكم آخر وهو المناسب لما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الجمع بين الأحكام الظاهرية والواقعية من أن حقيقة الحكم الطريقي مجرد تنبيه على أهمية المحتمَل ومقتضاه تنجز حكم العقل بلا حاجة إلى تشريع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العقل في حالات إدراكه لأهمية المحتمَل يستكشف وجود ايجاب احتياط بالملازمة بملاحظة كون هذا الإدراك في رتبة علل الأحكام كما يظهر ذلك من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 في البيان الرئيس لهذا المسلك وما يمكن أن يُلاحظ عليه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2465050_2870459653"/>
      <w:bookmarkStart w:id="267" w:name="_Toc97"/>
      <w:bookmarkEnd w:id="266"/>
      <w:r>
        <w:rPr>
          <w:rtl w:val="true"/>
        </w:rPr>
        <w:t xml:space="preserve">سائر الوجوه التي ذكرها السيد صاحب البحوث </w:t>
      </w:r>
      <w:r>
        <w:rPr>
          <w:rtl w:val="true"/>
        </w:rPr>
        <w:t>(</w:t>
      </w:r>
      <w:r>
        <w:rPr>
          <w:rtl w:val="true"/>
        </w:rPr>
        <w:t>قدس سره</w:t>
      </w:r>
      <w:r>
        <w:rPr>
          <w:rtl w:val="true"/>
        </w:rPr>
        <w:t>)</w:t>
      </w:r>
      <w:bookmarkEnd w:id="267"/>
    </w:p>
    <w:p>
      <w:pPr>
        <w:pStyle w:val="Heading4"/>
        <w:numPr>
          <w:ilvl w:val="3"/>
          <w:numId w:val="1"/>
        </w:numPr>
        <w:rPr/>
      </w:pPr>
      <w:bookmarkStart w:id="268" w:name="__RefHeading___Toc2465052_2870459653"/>
      <w:bookmarkStart w:id="269" w:name="_Toc98"/>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وأمّا سائر الوجوه التي ذكرها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كمؤيدات لمسلكه أو مُنبّهات لبطلان القول بالبراءة العقلية فهي خمسة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465054_2870459653"/>
      <w:bookmarkStart w:id="271" w:name="_Toc99"/>
      <w:bookmarkEnd w:id="270"/>
      <w:r>
        <w:rPr>
          <w:rtl w:val="true"/>
        </w:rPr>
        <w:t>الوجه الأول</w:t>
      </w:r>
      <w:bookmarkEnd w:id="27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محاولة إيجاد عمق تاريخي لمسلكه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تخفيفاً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لوطأة إنكار البراءة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تسالم العلماء عليها منذ عصور يمثّل حالة وجدانية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ومؤشر على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 ذلك في أول بحث أصالة الاحتياط العقلي وذلك بما ذكره في أول بحث أصالة الاحتياط العقلي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المرحلة الأولى وهو إثبات الاحتياط العقلي فقد ذُكر في تقريبه قديماً أن الأصل في الأشياء الحظر إذا لم يسبق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العدة قد استشكل في أصالة الحظر وبدّله إلى أصالة الوقف وكأنّه نظر إلى مقام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نخرج عن التوقف إلا بما يرد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الترخيص على خلافه، وظني أن هذه الكلمات ناظرة إلى ما قلناه وعبّرنا عنه في مسألة البراءة العقلية من لزوم الاحتياط في الشبهات </w:t>
      </w:r>
    </w:p>
    <w:p>
      <w:pPr>
        <w:pStyle w:val="BookText"/>
        <w:rPr/>
      </w:pPr>
      <w:r>
        <w:rPr>
          <w:rFonts w:ascii="Amiri" w:hAnsi="Amiri" w:eastAsia="Amiri" w:cs="Amiri"/>
          <w:color w:val="111111"/>
          <w:sz w:val="28"/>
          <w:sz w:val="28"/>
          <w:szCs w:val="28"/>
          <w:rtl w:val="true"/>
          <w:lang w:bidi="ar-SA"/>
        </w:rPr>
        <w:t>مراعاةً لحق المولى</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 ملحظان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 في مقدمة البحث من أن كلمات القدماء في مسألة أصالة الحظر والإباحة كانت تنطلق من استيجاب احتمال الضرر للحظر أو لا قبل ورود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مسوقة لبيان الموقف عند عدم ورود التكليف في شيء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بأصالة الحظر أو الإباحة كانوا يُركّزون على ما يوجبه ملاك التكليف من الحظر أو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يركّزوا على مراعاة الحكم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أنهم قد فرغوا من أن التكليف المحتمَل في حدّ نفسه 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كلام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القائلين بالإباحة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لم توجد أمارة المفسدة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الحكم بالإباحة مع احتمال التكليف بما يحتمل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قدماء علمائنا لم ينطلقوا في إيجاب الاحتياط من احتمال الحكم على أساس حق المولى، بل كان كلامهم يرتكز على منهج محاسبة المصالح والمفاسد ووجوب التوقّي عن الضرر ونحوه، فكان تأملهم في ملاكات علل الأحكام، وكأنّهم فرضوا أن الملاكات التي يراعيها الشارع في أحكامه إنْ كانت ملاكات تستوجب التوقف فالمفروض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تستوجبه جاز للمكلف الارتكاب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بالنتيحة ليس بتلك المعهودية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غير مطروح في كلمات القدماء</w:t>
      </w:r>
      <w:r>
        <w:rPr>
          <w:rFonts w:eastAsia="Amiri" w:cs="Amiri" w:ascii="Amiri" w:hAnsi="Amiri"/>
          <w:color w:val="111111"/>
          <w:sz w:val="28"/>
          <w:szCs w:val="28"/>
          <w:rtl w:val="true"/>
          <w:lang w:bidi="ar-SA"/>
        </w:rPr>
        <w:t xml:space="preserve">. </w:t>
      </w:r>
      <w:bookmarkStart w:id="272" w:name="pg9067_79765"/>
    </w:p>
    <w:p>
      <w:pPr>
        <w:pStyle w:val="BookText"/>
        <w:rPr/>
      </w:pPr>
      <w:bookmarkEnd w:id="272"/>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نحن فيه من أن سيرة عامة المسلمين والفقهاء جارية على عدم الاعتناء بالحكم بمجرد احتماله من غير انتظار براءة شرعية إلا إذا كان الاحتمال قوياً أو كان الحكم المحتمَل مُهماً في حدِّ نفسه، ومن البعيد أن تكون هذه السيرة مستندة إلى البراءة الشرعية، فهذه الأدلة بين ما لا دلالة له وبين ما هو ضعيف، على أن جملة من الإخباريين لم يستسيغوا الاحتياط في مورد الشبهة الوجوبية</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465056_2870459653"/>
      <w:bookmarkStart w:id="274" w:name="_Toc100"/>
      <w:bookmarkEnd w:id="273"/>
      <w:r>
        <w:rPr>
          <w:rtl w:val="true"/>
        </w:rPr>
        <w:t>الوجه الثاني</w:t>
      </w:r>
      <w:bookmarkEnd w:id="274"/>
    </w:p>
    <w:p>
      <w:pPr>
        <w:pStyle w:val="BookText"/>
        <w:rPr/>
      </w:pPr>
      <w:r>
        <w:rPr>
          <w:rFonts w:ascii="Amiri" w:hAnsi="Amiri" w:eastAsia="Amiri" w:cs="Amiri"/>
          <w:color w:val="111111"/>
          <w:sz w:val="28"/>
          <w:sz w:val="28"/>
          <w:szCs w:val="28"/>
          <w:rtl w:val="true"/>
          <w:lang w:bidi="ar-SA"/>
        </w:rPr>
        <w:t>وقوع الخلاف في حدود البراءة العقلية من قِبل جملة من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مُنبِّها على عدم فطريتها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البحوث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 في العصر الثالث من علم الأصول تبلورت البراءة العقلية بعنوان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شكك جملة منهم في جريانها في الشبهات المفهومية؛ لأن البيان العُرفي قد يكون تاماً فيها على تقدير شمول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تام عند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 قبل الآخرين بأنّ المراد من البيان العلم عند المكلف نفسه فلابدّ من تمامية البيان عند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ذهب بعضهم إلى عدم جريانها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المولى ليس من وظيفته بيان الموضوعات وتعيين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التشكيكات توحي بأن القاعدة ليست فطرية ومسلمة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التشكيك في حدود القاعدة لا يعني الشك في وضوح وفطرية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الأحكام العقلية يكون أصلها واضحاً ولكن يقع الشك في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يتوجه عليه ما أفاده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ذهب إليه بعضهم من عدم جريان البراءة العقلية في الشبهات الموضوعية قد يكون نتيجة تأمل المسألة من جهة التعبير السائد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تقبح العقوبة في الشبهات </w:t>
      </w:r>
      <w:bookmarkStart w:id="275" w:name="pg9067_79766"/>
    </w:p>
    <w:p>
      <w:pPr>
        <w:pStyle w:val="BookText"/>
        <w:rPr/>
      </w:pPr>
      <w:bookmarkEnd w:id="275"/>
      <w:r>
        <w:rPr>
          <w:rFonts w:ascii="Amiri" w:hAnsi="Amiri" w:eastAsia="Amiri" w:cs="Amiri"/>
          <w:color w:val="111111"/>
          <w:sz w:val="28"/>
          <w:sz w:val="28"/>
          <w:szCs w:val="28"/>
          <w:rtl w:val="true"/>
          <w:lang w:bidi="ar-SA"/>
        </w:rPr>
        <w:t>الموضوعية لعدم بيان للمولى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للاختلاف في الشبهات المفهومية</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465058_2870459653"/>
      <w:bookmarkStart w:id="277" w:name="_Toc101"/>
      <w:bookmarkEnd w:id="276"/>
      <w:r>
        <w:rPr>
          <w:rtl w:val="true"/>
        </w:rPr>
        <w:t>الوجه الثالث</w:t>
      </w:r>
      <w:bookmarkEnd w:id="277"/>
    </w:p>
    <w:p>
      <w:pPr>
        <w:pStyle w:val="Heading5"/>
        <w:numPr>
          <w:ilvl w:val="4"/>
          <w:numId w:val="1"/>
        </w:numPr>
        <w:rPr/>
      </w:pPr>
      <w:bookmarkStart w:id="278" w:name="__RefHeading___Toc2465060_2870459653"/>
      <w:bookmarkStart w:id="279" w:name="_Toc102"/>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وقوع الخلط عند الأصوليين بين مقام الحجية ومقام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البحوث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ومنشأ هذا التفكير ما أشرنا إليه في مباحث القطع من أن المحققين من علماء الأصوليين قد فصّلوا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مولوية المولى وحق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المولوية وحق الطاعة كلياً متواطئاً لا يقبل الزيادة والنقصان وليس ذا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حق طاعة كل تكليف يصدر عن المولى واقعاً إذا تمت الحجية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الحجية والمنجّزية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 البحث في أصل المولوية موضعه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البحث عن ميزان الحجية فهو وظيفة البحث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المجال بيَّنوا 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القطع وأن كل حجة لا بدّ من أن ترجع إلى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والحجية ذاتية للقطع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الحجية بانتفاء القطع لأنه من مستلزمات كون الحجية ذاتية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فصل بين الحجية والمولوية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البحث عن الحجية بحث عن حدود المولوية بحسب الحقيقة لأن المولوية عبارة عن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الطاعة يُدركه العقل بملاك من الملاكات كملاك شكر المنعم أو ملاك الخالقية أو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حق الطاعة له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الملاك آكد كان حق الطاعة 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ومظنوني أنه بعد الالتفات إلى ما بيّناه لا يبقى مَن لا يقول بسعة مولوية </w:t>
      </w:r>
      <w:bookmarkStart w:id="280" w:name="pg9067_79767"/>
    </w:p>
    <w:p>
      <w:pPr>
        <w:pStyle w:val="BookText"/>
        <w:rPr/>
      </w:pPr>
      <w:bookmarkEnd w:id="280"/>
      <w:r>
        <w:rPr>
          <w:rFonts w:ascii="Amiri" w:hAnsi="Amiri" w:eastAsia="Amiri" w:cs="Amiri"/>
          <w:color w:val="111111"/>
          <w:sz w:val="28"/>
          <w:sz w:val="28"/>
          <w:szCs w:val="28"/>
          <w:rtl w:val="true"/>
          <w:lang w:bidi="ar-SA"/>
        </w:rPr>
        <w:t>المولى الحقيقي بنحو تشمل حتى التكاليف الموهومة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نحن لا نرى جريان البراءة العقلية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له كلاماً في مبحث القطع يتحد مضمونه مع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الأصوليين لم ينتبهوا إلى تفرّع الظلم على وجود الحق في مرحلة سابقة بعد حكمهم بكون مخالفة المولى عند القطع بحكمه ظلماً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تصوّروا أن الظلم بنفسه عنوان رئيس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فلم يربطوا بين حجية القطع وحق المولى</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يلاحظ عليه ملحظان</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2465062_2870459653"/>
      <w:bookmarkStart w:id="282" w:name="_Toc103"/>
      <w:bookmarkEnd w:id="281"/>
      <w:r>
        <w:rPr>
          <w:rtl w:val="true"/>
        </w:rPr>
        <w:t>الملحظ الأول</w:t>
      </w:r>
      <w:bookmarkEnd w:id="282"/>
    </w:p>
    <w:p>
      <w:pPr>
        <w:pStyle w:val="BookText"/>
        <w:rPr/>
      </w:pPr>
      <w:r>
        <w:rPr>
          <w:rFonts w:ascii="Amiri" w:hAnsi="Amiri" w:eastAsia="Amiri" w:cs="Amiri"/>
          <w:color w:val="111111"/>
          <w:sz w:val="28"/>
          <w:sz w:val="28"/>
          <w:szCs w:val="28"/>
          <w:rtl w:val="true"/>
          <w:lang w:bidi="ar-SA"/>
        </w:rPr>
        <w:t xml:space="preserve">ما عن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ملازمة بين مولويته تعالى النابعة من كونه تعالى خالقاً ومنعماً وبين 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في 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تكون مولويته وسيعة، لكن يكون حقّ الطاعة مضيّقاً، وذلك لأن سعة المولوية تابعة لسعة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 سبحانه في عامة الحالات خالقاً موجداً للعبد من العدم إلى الوجود فهو مولى العباد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سعة الطاعة وضيقها فليسا تابعين لسعة المولوية وضيقها، بل تابعين لصحّة الاحتجاج على العبد عقلاً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اختصاصها بصورة وجود موضوع الطاعة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سعة الطاعة وضيقها مترتبين على سعة المولوية وعدمها غير صحيح، فإنّ السعة والضيق في مجال الطاعة تابعان لصحّة الاحتجاج وعدمها، فإنّ قلنا بأنه يصحّ الاحتجاج على العبد في كلّ الأحوال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والظن والشك، وجب على العبد الطاعة من دون حاجة إلى ملاحظة سعة مولويته أو ضيقها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قلنا بعدم صحّة الاحتجاج على العبد إلاّ في ما تمّت الحجّة فيه على العبد، فلا يصحّ الاحتجاج في صورة الظن والشكّ، وإن كانت مولويته وسيعة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تفترق المولوية عن حقّ الطاعة والتنجيز في صورة القطع بالخلاف، فالمولوية ثابتة حتّى مع الجهل المركب ولا يمكن سلبها عن العباد لكونها نابعة من أمر تكويني ذاتي، دون حقّ الطاعة أو التنجيز، بل هو مرتفع لكون القطع بالخلاف مانعاً من التنجّز، وليكن الجهل بالواقع كالقطع بالخلاف مانعاً، لا لقصور في المقتضي بل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تخصيص المشهور التنجّزَ بصورة البيان الواصل ليس لغاية التبعيض في حق الطاعة، لافتراض أنه أمر واقعي نابع من خالقيته أو منعميته بل تخصيصه بصورة وجود البيان لأجل وجود القصور في ناحية المطيع، لجهله بالحكم وعدم علمه بالوظيفة، فالمقتضي للطاعة وإن كان موجوداً، لكن المانع غير مفقود</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الإيراد ليس بوارد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المولوية التكوينية لله تعالى بل في مولويته التشريعية التي هي نفس حق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ويدركه العقل بمناط الخالقية أو المنعمية ونحوه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المولوية التكوينية لله تعالى تستتبع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الحق هو المولوية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المولوية التكوينية ينعكس على عظم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يستوجب لزوم مراعاة مطلوب المولى حتى لو كان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لانعكاس شخصية صاحب الحق وعِظَم حقه على الطلب نفسه في الرتبة اللاحقة للطلب</w:t>
      </w:r>
      <w:r>
        <w:rPr>
          <w:rFonts w:eastAsia="Amiri" w:cs="Amiri" w:ascii="Amiri" w:hAnsi="Amiri"/>
          <w:color w:val="111111"/>
          <w:sz w:val="28"/>
          <w:szCs w:val="28"/>
          <w:rtl w:val="true"/>
          <w:lang w:bidi="ar-SA"/>
        </w:rPr>
        <w:t xml:space="preserve">. </w:t>
      </w:r>
      <w:bookmarkStart w:id="283" w:name="pg9067_79769"/>
    </w:p>
    <w:p>
      <w:pPr>
        <w:pStyle w:val="BookText"/>
        <w:rPr/>
      </w:pPr>
      <w:bookmarkEnd w:id="283"/>
      <w:r>
        <w:rPr>
          <w:rFonts w:ascii="Amiri" w:hAnsi="Amiri" w:eastAsia="Amiri" w:cs="Amiri"/>
          <w:color w:val="111111"/>
          <w:sz w:val="28"/>
          <w:sz w:val="28"/>
          <w:szCs w:val="28"/>
          <w:rtl w:val="true"/>
          <w:lang w:bidi="ar-SA"/>
        </w:rPr>
        <w:t xml:space="preserve">على أن بالإمكان أنْ يُلاحظ على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تخصيص المشهور التنجُزَ بصورة البيان إنما هو لوجود قصور من ناحية المُطيع لجهله بالحكم مع وجود مقتضٍ للطاعة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المطيع بالحكم هو جهله بكونه واصلاً بحجة معتبرة فمجرد الجهل لا يوجب قصوراً في المُطيع للتحرك من خلال الاحتمال فإن الاحتمال إنما يكون فاعلاً ومحركاً بعد افتراض أهمية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 هو الجهل بالحكم من رأس فلا مقتضي للطاعة إذ لم يقل أحد بوجوب طاعة الحكم غير الواصل ولو احتمالاً</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2465064_2870459653"/>
      <w:bookmarkStart w:id="285" w:name="_Toc104"/>
      <w:bookmarkEnd w:id="284"/>
      <w:r>
        <w:rPr>
          <w:rtl w:val="true"/>
        </w:rPr>
        <w:t>الملحظ الثاني</w:t>
      </w:r>
      <w:bookmarkEnd w:id="285"/>
    </w:p>
    <w:p>
      <w:pPr>
        <w:pStyle w:val="BookText"/>
        <w:rPr/>
      </w:pPr>
      <w:r>
        <w:rPr>
          <w:rFonts w:ascii="Amiri" w:hAnsi="Amiri" w:eastAsia="Amiri" w:cs="Amiri"/>
          <w:color w:val="111111"/>
          <w:sz w:val="28"/>
          <w:sz w:val="28"/>
          <w:szCs w:val="28"/>
          <w:rtl w:val="true"/>
          <w:lang w:bidi="ar-SA"/>
        </w:rPr>
        <w:t xml:space="preserve">ما أورده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كون الظلم تجاوزاً للحق وتفرّعه على وجود الحق له تعالى مما لا يخفى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قولهم إن المخالفة عند القطع بالحكم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له حقاً وإن لم يصرحوا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حيث جعلوا التجاوز ظلماً له فقد شخّصوا طبيعة هذا الحق ولأجله حكموا بصدق الظلم عند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نبّهوا في مبحث التجري صريحاً على أن الحق الثابت لله تعالى باعتبار الأدب الثابت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بربط الأصوليين حجية القطع مع الظلم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البعيد القول إنهم فصّلوا بين الحجية والمولوية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نفس جعل مخالفة الحكم المقطوع به ظلماً دلالة إلتزامية واضحة على وجود تجاوز لحقٍ في البين</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465066_2870459653"/>
      <w:bookmarkStart w:id="287" w:name="_Toc105"/>
      <w:bookmarkEnd w:id="286"/>
      <w:r>
        <w:rPr>
          <w:rtl w:val="true"/>
        </w:rPr>
        <w:t>الوجه الرابع</w:t>
      </w:r>
      <w:bookmarkEnd w:id="287"/>
    </w:p>
    <w:p>
      <w:pPr>
        <w:pStyle w:val="BookText"/>
        <w:rPr/>
      </w:pPr>
      <w:r>
        <w:rPr>
          <w:rFonts w:ascii="Amiri" w:hAnsi="Amiri" w:eastAsia="Amiri" w:cs="Amiri"/>
          <w:color w:val="111111"/>
          <w:sz w:val="28"/>
          <w:sz w:val="28"/>
          <w:szCs w:val="28"/>
          <w:rtl w:val="true"/>
          <w:lang w:bidi="ar-SA"/>
        </w:rPr>
        <w:t xml:space="preserve">تعميم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به إلى وقوع 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البراءة في كلمات الأصوليين للمولوية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لتشمل مولوية الباري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أثبتوا مولوية الباري تعالى بالمولوية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 هذا المعنى بقوله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إلى الوجدان العرفي والعقلائي في باب المولويات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نرى أنهم لا يؤاخذون على ارتكاب مخالفة التكليف الواقعي في موارد الجهل وعدم العلم بالحكم الواقعي ولا الظاهري الإلزامي فيكون منبّهاً عقلاً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تام لأنه مبني على أن يكون حق الطاعة والمولوية أمراً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التقريب المذكور قد وقع فيه الخلط بين المولويات الاعتبارية المجعولة والمولوية الحقيقية الذاتية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أننا لا نجد في كلمات الأعلام كالشيخ الأنصاري وصاحب الكفاية والمحققين الثلاثة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لهذه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شاهد على وقوع مثل هذا الخلط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كثير منهم لم يستشهد بالمولوية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كلمات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استشهاده على البراءة العقلية بالمولى العرفي</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مجمع الفكر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العقاب على شيء من دون بيان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حكم العقلاء كافة بقُبح مؤاخذة المولى عبده على فعلِ ما يعترف بعدم إعلامه أصلاً بتحريمه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لجعل الواقع وجدانياً من خلال هذا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الغفلة عن المولى الحقيقي في كلامهم ضعيف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فذكرهم للموالي العرفيين وسيرتهم مع مواليهم إنما هو استشهادات ومُنبِّهات على حكم العقل بالبراءة العقلية وليس على حدّ الدليل واستظهار البراءة العقلية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288" w:name="pg9067_79771"/>
    </w:p>
    <w:p>
      <w:pPr>
        <w:pStyle w:val="BookText"/>
        <w:rPr/>
      </w:pPr>
      <w:bookmarkEnd w:id="288"/>
      <w:r>
        <w:rPr>
          <w:rFonts w:ascii="Amiri" w:hAnsi="Amiri" w:eastAsia="Amiri" w:cs="Amiri"/>
          <w:color w:val="111111"/>
          <w:sz w:val="28"/>
          <w:sz w:val="28"/>
          <w:szCs w:val="28"/>
          <w:rtl w:val="true"/>
          <w:lang w:bidi="ar-SA"/>
        </w:rPr>
        <w:t xml:space="preserve">مرَّ عن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يشير إلى أن هذه السيرة في الموالي عامة فتكشف عن حكم عقلي فطري بعدم المؤاخذة على ترك ما شُكَّ في مطلوبيته للمولى</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2465068_2870459653"/>
      <w:bookmarkStart w:id="290" w:name="_Toc106"/>
      <w:bookmarkEnd w:id="289"/>
      <w:r>
        <w:rPr>
          <w:rtl w:val="true"/>
        </w:rPr>
        <w:t>الوجه الخامس</w:t>
      </w:r>
      <w:bookmarkEnd w:id="290"/>
    </w:p>
    <w:p>
      <w:pPr>
        <w:pStyle w:val="BookText"/>
        <w:rPr/>
      </w:pPr>
      <w:r>
        <w:rPr>
          <w:rFonts w:ascii="Amiri" w:hAnsi="Amiri" w:eastAsia="Amiri" w:cs="Amiri"/>
          <w:color w:val="111111"/>
          <w:sz w:val="28"/>
          <w:sz w:val="28"/>
          <w:szCs w:val="28"/>
          <w:rtl w:val="true"/>
          <w:lang w:bidi="ar-SA"/>
        </w:rPr>
        <w:t>صلاحية مسلك حق الطاعة للقول بتنجّز الحكم في موارد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على قول المشهور بالبراءة العقلية فلا يستقيم البحث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في مبحثي القطع والعلم الإجمالي يتضمن تشنيعاً وتهكماً على مسلك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أورَدَ هذا الكلام ليكون في قوة المُنبِّه على صحة مسلكه وفساد القول بالبراءة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مبحث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البحث عن أصل منجّزية العلم الإجمالي لحرمة المخالفة إنما يتجه على مسلك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افتراض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إذْ يُبحث عن أن العلم الإجمالي هل يصلح لأن يكون بيانا أو لا؟</w:t>
      </w:r>
    </w:p>
    <w:p>
      <w:pPr>
        <w:pStyle w:val="BookText"/>
        <w:rPr/>
      </w:pPr>
      <w:r>
        <w:rPr>
          <w:rFonts w:ascii="Amiri" w:hAnsi="Amiri" w:eastAsia="Amiri" w:cs="Amiri"/>
          <w:color w:val="111111"/>
          <w:sz w:val="28"/>
          <w:sz w:val="28"/>
          <w:szCs w:val="28"/>
          <w:rtl w:val="true"/>
          <w:lang w:bidi="ar-SA"/>
        </w:rPr>
        <w:t>وأمّا بناءً على مسلكنا القائل بالاحتياط العقلي على أساس حق الطاعة فسوف يكون احتمال التكليف منجّزاً بحسب افتراض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بالعلم به؟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من البحوث عند الكلام في منجّزية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مسالك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يثبت أن عدم منجّزية العلم الإجمالي لوجوب الموافقة القطعية بناءً على قبول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المسالك في حقيقة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النتائج الغريبة المترتبة على هذا المبنى المشهور لدى الأصوليين والتي لا يقبلها العقل السليم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ذكر هذا المعنى في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من فضائح القول بقاعدة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ونشوء هذه المسالك إنما كان بسبب التمسك بهذه القاعدة التي خلقها الأصوليون وقدّسوها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إيرادات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مبنوية وبنائية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مناقشة تفصيلية سنذكرها بلفظها مقتصرين على أهم ما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يظهر من مجموع كلماته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تخريج تنجّز الحكم في موارد العلم الإجمالي في جميع الأطراف على غير مسلك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مسلك حق الطاعة لتخريج تنجّز الحكم في هذه الموارد على وجه كافٍ ومُغنٍ عن حديث منجّزية العلم الإجمالي، أو مبطل له أصلاً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الأول فقد صرح به في غير موضع من كلماته إذْ بنى على كاشفية العلم الإجمالي عن الجامع وتنجيزه إياه فقط، مدعياً عدم وجود سبيل إلى إيجاب الموافقة القطعية لو قيل بالبراءة العقلية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كشف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المسالك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الواقع والفرد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ذلك من شناعة القول بالبراءة العقلية</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والواقع أن هذا الكلام ليس كما ينبغي فإنّه لا يخلو عن مبالغة وإفراط، ولم يكن </w:t>
      </w:r>
    </w:p>
    <w:p>
      <w:pPr>
        <w:pStyle w:val="BookText"/>
        <w:rPr/>
      </w:pPr>
      <w:r>
        <w:rPr>
          <w:rFonts w:ascii="Amiri" w:hAnsi="Amiri" w:eastAsia="Amiri" w:cs="Amiri"/>
          <w:color w:val="111111"/>
          <w:sz w:val="28"/>
          <w:sz w:val="28"/>
          <w:szCs w:val="28"/>
          <w:rtl w:val="true"/>
          <w:lang w:bidi="ar-SA"/>
        </w:rPr>
        <w:t xml:space="preserve">يتوقع صدور مثله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يتوجه عليه ملاحظ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الملحظ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في نفس استشناع تجويز المخالفة الاحتمالية للعلم الإجمالي ما يقتضي تأثيره في إيجاب المخالفة القطعية، إذ مبنى الاستشناع هو أن الوجدان يقضي بوجوب الطاعة القطعية في موارد العلم الإجمالي شهادةً لا نشهد مثلها ولا بمستواها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يكون هذا بنفسه منبّهاً على خصوصية للعلم الإجمالي أو الاحتمال المُقوّم به؟ وإلا لكان الحال في ما يزيد على المعلوم بالإجمال حال الشبهة البدوية، أليس هذا أدل على الخلاف؟</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تلقّى موافقة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فهم من كلامه – عدم صلاحية العلم الإجمالي للتنجيز في ما وراء الجامع، ورأى عدم تمامية التوجيه الذي جرى عليه، أيقن أن من المستحيل تحصيل تخريج فني لوجوب الموافقة القطعية، إذ ليس إلا العلم الإجمالي وهو لا يصلح إلا لتنجيز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استخلص من ذلك شاهداً على مدعاه من مسلك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الواقع أن مثل هذه الظنون ينبغي عدّها ضرباً من الشبهة في مقابل البديهة، لانطواء المصادرة الوجدانية المعترَف بها على إثبات امتياز للمقام، فكيف أراد تفسير ذلك بعنصر مشترك بين ما نحن فيه وبين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وجود عنصر آخر صالح لتنجيز الحكم في حدّ الموافقة القطعية لدى العقلاء، لوضوح عدم عموم حق الطاعة في التكاليف العقلائية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يُنكر تنجّز الحكم عندهم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يتنجّز في حدّ الجامع فحسب، ولعله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ولكن هذا الإنكار على الإجمال مصادم للبديهة العقلائية، كما أنه منافٍ للموازين التحليلية القاضية بوجود قيمة للعلم الإجمالي عندهم في الجملة، لأن قيمة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تنبّه له 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على مقدار اقتضاء ملاكات الأحكام المعلومة بالإجمال، ومن ثَمّ كان الاحتمال مع أهمية المحتمَل منجّزاً حتى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فمن الطبيعي أن تكون جملةٌ من ملاكات الأحكام العقلائية مستوجبة لمراعاتها في حال العلم الإجمالي بها باشتباه موردها بأمور مباحة لا أهمية للإباحة فيها حسب مقتضيات التزاحم الحفظي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تلك الملاكات ومصلحة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مجال لاحتمال عدم تنجّز الحكم المعلوم بالإجمال لدى العقلاء إلا في حدّ الموافقة الاحتمالية، بل لا شك في لزوم موافقته القطعية، مع أن منجّزية الاحتمال من جهة حق الطاعة غير جارية عندهم بإذعانه، فما هو السبيل إليه لولا وجود منجّز خاص في الحكم من جهة العلم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الملحظ الثالث</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بالإمكان إثبات تنجز الحكم المعلوم بالإجمال في جميع الأطراف بالعلم الإجمالي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وتعلقُه بالجامع الفاني في الواقع لا يقتضي تنجيزه للجامع بنحو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بنحو المرآتية المقتضية لتنجزّ الواقع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إذا فرضنا تعذّر تنجيز العلم الإجمالي نفسه للحكم المعلوم بالإجمال أمكن التوصل إلى تنجّز الحكم من خلال احتمال انطباق المعلوم بالإجمال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علماً أن الذي يُستظهر من مجموع كلماته في مباحث العلم الإجمالي البناء على الاقتضاء العقلائي للموافقة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ادّعى منجّزية العلم الإجمالي وجعله في طول تعارض الأصول وتساقطها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بنى عدم تنجيزه في حال قيام الحجة على الحكم في بعض الأطراف وإلى غيره من الحدود العامة لمنجّزية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الواقع أن القول بالاقتضاء كذلك لا يكفي أيضاً لأنه يوجب كون تلك الحدود جميعاً حدوداً شرعية لا عقلية ولا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صلاحية مسلك حق الطاعة لتخريج تنجّز الحكم في موارد العلم الإجمالي وآثار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الآثار التي يمكن أن تُدّعى لمسلك حق الطاعة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تنجيز الحكم في جميع الأطراف بأحد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دون الحاجة إلى منجّزية العلم الإجمالي ولو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الاعتماد على منجّزية العلم الإجمالي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البناء عليه فلا محل للبناء على تنجّز الحكم بالعلم الإجمالي في حدّ الجامع أو في حدّ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أمر مستغنى عنه لا حاجة للحديث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الأثر الأول فيتوجه عليه ملحظان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الملحظ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من عدم جدوى حق الطاعة في تخريج تنجّز الحكم في موارد العلم الإجمالي في الأحكام العقلية والعقلائية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الصلاحية المدعاة فيه فضلاً عن الاستغناء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نكتة مهمة لم يُعتد بها في هذا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محدودية الأفق المنظور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الملحظ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إذا لم يكن منجّزاً للحكم أصلاً جرت البراءة الشرعية عن الحكم بحسب إطلاق أدلتها ولم يكن هناك مانع عن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تحول عن تنجّز الحكم من جهة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بنى عليه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البراءة عن الحكم المحتمَل في كل من الطرفين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النحو المتعارف من جريان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البراءة عن الحكم المعلوم بالإجمال المحتمَل في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النحو الأول لا يؤمّن من جهة الحكم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كان العلم الإجمالي منجّزاً للحكم بمقدار الجامع لم يكن هناك مانع من جريان أصالة البراءة في الجامع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الجامع كالطبيعي يتعدد بتعدد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لوحظ أحدهما تفصيلياً وقابلاً للانطباق على أي واحد منهما كان الآخر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البراءة الشرعية في الأحد الكلي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عدم شمول العموم للأحد الانتزاعي مندفعٌ بأن العموم هنا يشمل الشك في الأحد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نفسه ليس أمراً انتزاعياً ولكنه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أذعن العلم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العام المُخصَّص وفي مباحث الاشتغال بشمول العموم للأحد الانتزاعي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فعدم جريان البراءة الشرعية في خصوص موارد العلم الإجمالي يقتضي بناء الشارع على قيمة العلم الإجمالي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إمضاءً لقيمته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يُذعن به في الجملة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يدعي أن الوجه في عدم جريانها هو انصراف دليل البراءة عن مورد العلم الإجمالي، وهو لا يقتضي الاعتناء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من باب الاعتناء باحتمال الطاعة في هذا المورد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هذه الدعوى غير واردة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حقيقة هذا التفصيل من الشارع بين الشبهة البدوية والشبهة المقرونة بالعلم الإجمالي في مقام إجراء الأصل الشرعي توجيهين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بنى عليه العلم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مرجع ذلك إلى التفصيل في قيمة الاحتمال البدوي بين الموردين من غير اكتراث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دليل الأصل الشرعي هو الترخيص في عدم رعاية احتمال التكليف الإلزامي في ما لم يقترن بالعلم الإجمالي، من دون إعطاء قيمة للعلم الإجمالي أصلا، بل القيمة العامة للاحتمال بموجب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منه الاحتمال في مورد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من أن مرجع ذلك إلى إلغاء قيمة احتمال التكليف في نفسه وثبوت الاعتبار للعلم الإجمالي، فلا يكون هناك تفصيل في قيمة الاحتمال بل بين الاحتمال والعلم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هو المتعين، وذلك لخمسة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المناسب للموضوع في نفسه، فالاحتمال البدوي كاشف أدنى من العلم الإجمالي درجةً واعتباراً، فإذا اعتدّ الشارع بالحكم المعلوم بالإجمال بخصوصه دون مطلق الحكم المحتمَل فإنّ المناسب مع ذلك أنه لم يعتنِ بالاحتمال المحض مطلقاً وإنما اهتم بالعلم الإجمالي، لا أنه فصّل في الاعتناء بالاحتمال بين حال وجود العلم الإجمالي وعدمه، فإن هذا يعني كون محور الاعتبار هو الاحتمال لا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وجوده قيد في الاعتناء بالاحتمال، وهذا غير مناسب كما هو ظاهر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المناسب لإلقاء الخطاب إلى العقلاء،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يُذعن بأن العقلاء يميّزون في شأن غير الأحكام الشرعية بين الشبهة البدوية والشبهة المقرونة بالعلم </w:t>
      </w:r>
    </w:p>
    <w:p>
      <w:pPr>
        <w:pStyle w:val="BookText"/>
        <w:rPr/>
      </w:pPr>
      <w:r>
        <w:rPr>
          <w:rFonts w:ascii="Amiri" w:hAnsi="Amiri" w:eastAsia="Amiri" w:cs="Amiri"/>
          <w:color w:val="111111"/>
          <w:sz w:val="28"/>
          <w:sz w:val="28"/>
          <w:szCs w:val="28"/>
          <w:rtl w:val="true"/>
          <w:lang w:bidi="ar-SA"/>
        </w:rPr>
        <w:t>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يُذعن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بأن هذا التمييز مبني على أنّ شخصية أي مشرِّع </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غير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الاعتناء بمطلوبه أكثر من اقتضاء غرضه، والأغراض</w:t>
      </w:r>
    </w:p>
    <w:p>
      <w:pPr>
        <w:pStyle w:val="BookText"/>
        <w:rPr/>
      </w:pPr>
      <w:r>
        <w:rPr>
          <w:rFonts w:ascii="Amiri" w:hAnsi="Amiri" w:eastAsia="Amiri" w:cs="Amiri"/>
          <w:color w:val="111111"/>
          <w:sz w:val="28"/>
          <w:sz w:val="28"/>
          <w:szCs w:val="28"/>
          <w:rtl w:val="true"/>
          <w:lang w:bidi="ar-SA"/>
        </w:rPr>
        <w:t>المحتمَلة احتمالاً بدوياً لا تستوجب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إذا كانت من قبيل الدماء وأخواتها من الأمور المهمة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الأغراض المعلومة إجمالا تستوجب الاعتناء، لأنها أهم مع مورد الترخيص المشتبه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الاعتناء بالأغراض المعلومة إجمالا يوجب قيمة العلم الإجمالي لدى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الاحتمال في مورد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الأغراض الإلزامية في التكاليف بحسب النظر العقلائي لا يرفع اليد عن ما أُحرز منها لمجرد غرض ترخيصي آخر محتمل أو معلوم مشتبه معه، إذ الأغراض الترخيصية في ارتكاز العقلاء لا يمكن أن تبلغ درجة تتقدم على غرض إلزامي معلوم، ومن هنا يكون الترخيص في تمام الأطراف بحسب أنظارهم كأنّه تفويت لذلك الغرض الإلزامي ومناقض معه، وهذا هو نفس الارتكاز الذي كان يشعر به بعضُ الأعلام بحسب إحساسه العقلائي والوجداني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 كاشفاً عن حكم عقلي بعليّة العلم الإجمالي لحرمة المخالفة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فهو وإن كان يرى أن الأمر لا يختلف عند الشارع من جهة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فأهميةُ امتثال حكمه لا تنبعث من أهمية الغرض نفسه بل من أهمية حقه على العبد إلا أنه من خلال دليل الأصل الشرعي المرخص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عن حقه وأجرى البراءة عن الحكم المحتمَل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مقتضى هذا بعد التأمل فيه أن الشارع جرى في رعاية أحكامه مجرى العقلاء في عدم الاعتناء باحتمال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والاعتناء بالعلم الإجمالي رعاية لمقتضى أغراضه متجاوزاً عن مقتضى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منه وحكمة حيث كان غرضه تعالى حماية الملاكات بحقه العظيم دون ما يزيد على ذلك فرخَّص في مورد قصور مقتضاها تسهيلاً ومنّة ً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أنه اعتنى باحتمال التكليف في مورد العلم الإجمالي لا بالعلم الإجمالي غيرُ مناسبة جداً، فإنّ اعتنائه بالاحتمال يعني تمّسكه بحق الطاعة له بأوسع مما يقتضيه الغرض، مع أنه لا يطالب فعلا بما يزيد على مقتضى غرضه لطفاً منه وجرياً منه على ما يجري عليه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هو المناسب أيضاً مع مبادئ الحكم، فإنّ مسألة جريان الأصل المرخِّص في أطراف العلم وعدمه تبتني على التزاحم الحفظي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ملاكات الأحكام الواقعية الإلزامية والتسهيلية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جعل سائر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ومراعاةُ الملاكات الواقعية تعتمد على قوة الكاشف والمُنكشَف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فيعتمد في مورد الأمارات على قوة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الأصول العملية على حال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المحتمَل الترخيصي أهم رخّص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الإلزامي أهم اعتنى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تفصيل كما في الاستصحاب فصّل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أن المناسب في مورد العلم الإجمالي رعاية الملاك المنكشف إجمالاً 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أنه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مقام التزاحم الحفظي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أذعن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بل بالغ فيه في غير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نسق الحكم </w:t>
      </w:r>
    </w:p>
    <w:p>
      <w:pPr>
        <w:pStyle w:val="BookText"/>
        <w:rPr/>
      </w:pPr>
      <w:r>
        <w:rPr>
          <w:rFonts w:ascii="Amiri" w:hAnsi="Amiri" w:eastAsia="Amiri" w:cs="Amiri"/>
          <w:color w:val="111111"/>
          <w:sz w:val="28"/>
          <w:sz w:val="28"/>
          <w:szCs w:val="28"/>
          <w:rtl w:val="true"/>
          <w:lang w:bidi="ar-SA"/>
        </w:rPr>
        <w:t>يتناسب مع نسق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كان هناك ما يقتضي اختيار نسق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الملاك المعلوم بالإجمال هو المهم فلِمَ لا يكون هناك اعتناء بأهمية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المناسب مع النكتة المانعة عن شمول أدلة الأصول المرخِّصة لأطراف العلم الإجمالي مع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أهم ما يمكن أن يقال في عدمها إن هذه الأدلة ليست ناظرة إلى إلغاء قيمة العلم الإجمالي المتركّز في نفوس العقلاء بمجرد إطلاقها، فإنّ بيان مثله يحتاج إلى مؤونة زائدة، ولا يكاد يفي بها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يرجع إلى هذا المعنى 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البيان يستبطن إذعاناً ضمنياً من الشارع بقيمة العلم الإجمالي حسب ما عليه العقلاء، لا سيما أن هذا البيان إنما يقتضي إخراج موارد العلم الإجمالي المنجّز لدى العقلاء لا مطلق موارده، ومن ثَمّ فلا مانع من شموله لمورد العلم الإجمالي غير المنجّز، كما لو قامت الحجة في بعض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يرتكز على هذا الأساس فتوجيهه بما لا يبتني عليه تكلّف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حال الحجج الإجمالية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ثبوت الحجية لها مما لا شك فيه، كما أذعن بذلك في بحث العلم الإجمالي بالحكم الظاهري من تنبيهات الاشتغال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ذلك أمر غاية في الوضوح، فلا يتأتى إنكار ثبوت الحجية لها في حال </w:t>
      </w:r>
    </w:p>
    <w:p>
      <w:pPr>
        <w:pStyle w:val="BookText"/>
        <w:rPr/>
      </w:pPr>
      <w:r>
        <w:rPr>
          <w:rFonts w:ascii="Amiri" w:hAnsi="Amiri" w:eastAsia="Amiri" w:cs="Amiri"/>
          <w:color w:val="111111"/>
          <w:sz w:val="28"/>
          <w:sz w:val="28"/>
          <w:szCs w:val="28"/>
          <w:rtl w:val="true"/>
          <w:lang w:bidi="ar-SA"/>
        </w:rPr>
        <w:t>الإجمال ليقتصر أثرها على إسقاط البراءة الشرعية في الأطراف، إذ لا تكاد تسقط البراءة إن لم تثبت لها الحجية الجعلية، فإنّ مبنى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بدعوى انصراف أدلة البراءة عن النظر إلى إسقاط الحجج الإجمالية ولو كانت جعلية، أو بدعوى أن مقتضى الجمع بين الدليلين تقدم دليل حجية الأمارة ونحوها على دليل الأصل الشرعي المرخِّص كالبراءة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فلابد من عموم دليل حجية هذه الحجج لحال إجمالها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لم تسقط الأصول المرخِّصة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يُعقل أنْ لا يكون للعلم الإجمالي اعتبار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منجّزاً في حقه مجردُ الاحتمال ولكن يكون للحجة الإجمالية اعتبار زائد طارد للأصل المرخص؟</w:t>
      </w:r>
    </w:p>
    <w:p>
      <w:pPr>
        <w:pStyle w:val="BookText"/>
        <w:rPr/>
      </w:pPr>
      <w:r>
        <w:rPr>
          <w:rFonts w:ascii="Amiri" w:hAnsi="Amiri" w:eastAsia="Amiri" w:cs="Amiri"/>
          <w:color w:val="111111"/>
          <w:sz w:val="28"/>
          <w:sz w:val="28"/>
          <w:szCs w:val="28"/>
          <w:rtl w:val="true"/>
          <w:lang w:bidi="ar-SA"/>
        </w:rPr>
        <w:t xml:space="preserve">وأمّا الأثر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منجّزية العلم الإجمالي بعد تنجزّ احتمال التكليف في نفسه كما هو مساق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فيتوجه عليه عدم المانع من البناء على منجّزية العلم الإجمالي مضافاً إلى منجّزية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محيص عنه حسب ما تقدم في الأحكام العقلية والعقلائية بل الشرعية منعاً لجريان البراءة الشرعية في الأطراف</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جملةٌ مما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مناقشة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نقلنا جُلَّها؛ نظراً لِما تحويه من نكات تحليلية على وفق الارتكازات العقلية والعقلائية لفهم كلمات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تضمّنته من إلفات النظر إلى مواطن الضعف في مسلك حق الطاعة</w:t>
      </w:r>
      <w:r>
        <w:rPr>
          <w:rFonts w:eastAsia="Amiri" w:cs="Amiri" w:ascii="Amiri" w:hAnsi="Amiri"/>
          <w:color w:val="111111"/>
          <w:sz w:val="28"/>
          <w:szCs w:val="28"/>
          <w:rtl w:val="true"/>
          <w:lang w:bidi="ar-SA"/>
        </w:rPr>
        <w:t xml:space="preserve">. </w:t>
      </w:r>
      <w:bookmarkStart w:id="291" w:name="pg9067_79782"/>
    </w:p>
    <w:p>
      <w:pPr>
        <w:pStyle w:val="Heading3"/>
        <w:numPr>
          <w:ilvl w:val="2"/>
          <w:numId w:val="1"/>
        </w:numPr>
        <w:rPr/>
      </w:pPr>
      <w:bookmarkStart w:id="292" w:name="__RefHeading___Toc2465070_2870459653"/>
      <w:bookmarkStart w:id="293" w:name="_Toc107"/>
      <w:bookmarkEnd w:id="291"/>
      <w:bookmarkEnd w:id="292"/>
      <w:r>
        <w:rPr>
          <w:rtl w:val="true"/>
        </w:rPr>
        <w:t>الخاتمة</w:t>
      </w:r>
      <w:bookmarkEnd w:id="293"/>
    </w:p>
    <w:p>
      <w:pPr>
        <w:pStyle w:val="Heading4"/>
        <w:numPr>
          <w:ilvl w:val="3"/>
          <w:numId w:val="1"/>
        </w:numPr>
        <w:rPr/>
      </w:pPr>
      <w:bookmarkStart w:id="294" w:name="__RefHeading___Toc2465072_2870459653"/>
      <w:bookmarkStart w:id="295" w:name="_Toc108"/>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يقع الكلام في حدود البراءة العقلية بمقدار ما يتعلق بإيضاح نكتتها وملاكها من خلال هذه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وتحوي هذه الخاتمة قسمين</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2465074_2870459653"/>
      <w:bookmarkStart w:id="297" w:name="_Toc109"/>
      <w:bookmarkEnd w:id="296"/>
      <w:r>
        <w:rPr>
          <w:rtl w:val="true"/>
        </w:rPr>
        <w:t>القسم الأول</w:t>
      </w:r>
      <w:bookmarkEnd w:id="297"/>
    </w:p>
    <w:p>
      <w:pPr>
        <w:pStyle w:val="Heading5"/>
        <w:numPr>
          <w:ilvl w:val="4"/>
          <w:numId w:val="1"/>
        </w:numPr>
        <w:rPr/>
      </w:pPr>
      <w:bookmarkStart w:id="298" w:name="__RefHeading___Toc2465076_2870459653"/>
      <w:bookmarkStart w:id="299" w:name="_Toc110"/>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ما يتعلق بالحدود التي تتفرع على طبيعة النكتة المُعتمَدة في البراءة العقلية وتفصيلها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يتضمن أربعة أمور</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2465078_2870459653"/>
      <w:bookmarkStart w:id="301" w:name="_Toc111"/>
      <w:bookmarkEnd w:id="300"/>
      <w:r>
        <w:rPr>
          <w:rtl w:val="true"/>
        </w:rPr>
        <w:t>الأمر الأول</w:t>
      </w:r>
      <w:bookmarkEnd w:id="301"/>
    </w:p>
    <w:p>
      <w:pPr>
        <w:pStyle w:val="BookText"/>
        <w:rPr/>
      </w:pPr>
      <w:r>
        <w:rPr>
          <w:rFonts w:ascii="Amiri" w:hAnsi="Amiri" w:eastAsia="Amiri" w:cs="Amiri"/>
          <w:color w:val="111111"/>
          <w:sz w:val="28"/>
          <w:sz w:val="28"/>
          <w:szCs w:val="28"/>
          <w:rtl w:val="true"/>
          <w:lang w:bidi="ar-SA"/>
        </w:rPr>
        <w:t>اختصاص البراءة العقلية بالأحكام الإلزامية في موارد الشك وعدم جريانها في الأحكام غير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لكون مؤداها قُبح العقاب على المخالفة بلا بيان والأحكامُ غير الإلزامية لا عقوبة على مخالفتها مقطوعة كانت أو مشكوكة</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2465080_2870459653"/>
      <w:bookmarkStart w:id="303" w:name="_Toc112"/>
      <w:bookmarkEnd w:id="302"/>
      <w:r>
        <w:rPr>
          <w:rtl w:val="true"/>
        </w:rPr>
        <w:t>الأمر الثاني</w:t>
      </w:r>
      <w:bookmarkEnd w:id="303"/>
    </w:p>
    <w:p>
      <w:pPr>
        <w:pStyle w:val="BookText"/>
        <w:rPr/>
      </w:pPr>
      <w:r>
        <w:rPr>
          <w:rFonts w:ascii="Amiri" w:hAnsi="Amiri" w:eastAsia="Amiri" w:cs="Amiri"/>
          <w:color w:val="111111"/>
          <w:sz w:val="28"/>
          <w:sz w:val="28"/>
          <w:szCs w:val="28"/>
          <w:rtl w:val="true"/>
          <w:lang w:bidi="ar-SA"/>
        </w:rPr>
        <w:t>أن البراءة العقلية لا تجري في موارد الشكّ في التكليف المقرون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العلم الإجمالي يكون بياناً سواء بُني على القول بالعليّة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بُني على القول بالاقتضاء لأن غاية هذا القول إمكان الترخيص من قِبل الشارع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خُلّي وطبعه كان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يتضح أن البيان المأخوذ في موضوع البراءة العقلية هو الأعم من التفصيلي والإجمالي</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2465082_2870459653"/>
      <w:bookmarkStart w:id="305" w:name="_Toc113"/>
      <w:bookmarkEnd w:id="304"/>
      <w:r>
        <w:rPr>
          <w:rtl w:val="true"/>
        </w:rPr>
        <w:t>الأمر الثالث</w:t>
      </w:r>
      <w:bookmarkEnd w:id="305"/>
    </w:p>
    <w:p>
      <w:pPr>
        <w:pStyle w:val="Heading6"/>
        <w:numPr>
          <w:ilvl w:val="5"/>
          <w:numId w:val="1"/>
        </w:numPr>
        <w:rPr/>
      </w:pPr>
      <w:bookmarkStart w:id="306" w:name="__RefHeading___Toc2465084_2870459653"/>
      <w:bookmarkStart w:id="307" w:name="_Toc114"/>
      <w:bookmarkEnd w:id="306"/>
      <w:r>
        <w:rPr>
          <w:rtl w:val="true"/>
        </w:rPr>
        <w:t>اشارة</w:t>
      </w:r>
      <w:bookmarkEnd w:id="30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لدى الأصوليين في عدم جريان البراءة العقلية في الشبهات الحُكمية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وقع الخلاف بينهم في أن ذلك لقصور ملاكها في حدّ نفسه أو لوجه آخر من قبيل العلم الإجمالي أو أدلة وجوب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الأول فما هو الوجه لقصور البراءة العقلية؟ فهنا جهتان</w:t>
      </w:r>
      <w:r>
        <w:rPr>
          <w:rFonts w:eastAsia="Amiri" w:cs="Amiri" w:ascii="Amiri" w:hAnsi="Amiri"/>
          <w:color w:val="111111"/>
          <w:sz w:val="28"/>
          <w:szCs w:val="28"/>
          <w:rtl w:val="true"/>
          <w:lang w:bidi="ar-SA"/>
        </w:rPr>
        <w:t xml:space="preserve">: </w:t>
      </w:r>
      <w:bookmarkStart w:id="308" w:name="pg9067_79783"/>
    </w:p>
    <w:p>
      <w:pPr>
        <w:pStyle w:val="Heading6"/>
        <w:numPr>
          <w:ilvl w:val="5"/>
          <w:numId w:val="1"/>
        </w:numPr>
        <w:rPr/>
      </w:pPr>
      <w:bookmarkStart w:id="309" w:name="__RefHeading___Toc2465086_2870459653"/>
      <w:bookmarkStart w:id="310" w:name="_Toc115"/>
      <w:bookmarkEnd w:id="308"/>
      <w:bookmarkEnd w:id="309"/>
      <w:r>
        <w:rPr>
          <w:rtl w:val="true"/>
        </w:rPr>
        <w:t>الجهة الأولى</w:t>
      </w:r>
      <w:bookmarkEnd w:id="310"/>
    </w:p>
    <w:p>
      <w:pPr>
        <w:pStyle w:val="BookText"/>
        <w:rPr/>
      </w:pPr>
      <w:r>
        <w:rPr>
          <w:rFonts w:ascii="Amiri" w:hAnsi="Amiri" w:eastAsia="Amiri" w:cs="Amiri"/>
          <w:color w:val="111111"/>
          <w:sz w:val="28"/>
          <w:sz w:val="28"/>
          <w:szCs w:val="28"/>
          <w:rtl w:val="true"/>
          <w:lang w:bidi="ar-SA"/>
        </w:rPr>
        <w:t>أن المشهور عندهم قصور ملاك البراءة العقلية قبل الفحص عن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ذهب بعض الأصوليين إلى جريان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أفاد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صحة الاحتجاج في نظر العقلاء بوجود الحجة واقعاً مع عدم وصولها إلى المكلف وجهله بها، ومجردُ كونه قادراً على رفع جهله لا يُصحِّح العقاب كما هو الحال في الشبهات الموضوعية أيضاً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ما عليه المشهور، فإنّ الظاهر أنّ المولى متى ما لم يكن مُتعهداً بإيصال الحجة إلى المكلف فعلاً وأن وظيفته جعلها في معرض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المُكلف البحث عن الحجة وعلى هذا تجري سيرة العقلاء</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2465088_2870459653"/>
      <w:bookmarkStart w:id="312" w:name="_Toc116"/>
      <w:bookmarkEnd w:id="311"/>
      <w:r>
        <w:rPr>
          <w:rtl w:val="true"/>
        </w:rPr>
        <w:t>الجهة الثانية</w:t>
      </w:r>
      <w:bookmarkEnd w:id="312"/>
    </w:p>
    <w:p>
      <w:pPr>
        <w:pStyle w:val="BookText"/>
        <w:rPr/>
      </w:pPr>
      <w:r>
        <w:rPr>
          <w:rFonts w:ascii="Amiri" w:hAnsi="Amiri" w:eastAsia="Amiri" w:cs="Amiri"/>
          <w:color w:val="111111"/>
          <w:sz w:val="28"/>
          <w:sz w:val="28"/>
          <w:szCs w:val="28"/>
          <w:rtl w:val="true"/>
          <w:lang w:bidi="ar-SA"/>
        </w:rPr>
        <w:t xml:space="preserve">أن في وجه عدم جريان البراءة العقلية وجوهاً لخّصها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هذه الاحتمالات من حيث مقتضياتها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الثالث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توقف العقل عن حكمه بالبراءة قبل الفحص واليأس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احتمال التكليف بياناً ومنجّزاً عند العقلاء كسائر الحجج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البيان الذي عدمه موضوع لقُبح العقاب هو الحجة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احتمال وجود الحجة لا يُحرز موضوع القاعدة فلا حكم للعقل للشك في موضوعه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البيان المذكور هو الحجة الواصلة لولا تقصير المكلف بترك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الفحص لا يُحرز عدم مثل هذه الحجة لجواز وصولها إلى المكلف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للعقل بقُبح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ويترتب على الأول حسنُ العقاب على مخالفة الواقع قبل الفحص وإن لم تكن عليه حجة في الواقع لتحقق الحجة عليه وهي الاحتمال، وليس كذلك الأخيران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الثاني حسنُ العقاب إذا كان حجة على التكليف في الواقع وإن لم يمكن أن يعثر عليها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الأخير فإنّ حُسن العقاب عليه مشروط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حجة على الواقع وكونها مما يعثر عليها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المراد بالبيان هو الحجة الواصلة فعلا جاز الرجوع إلى البراءة العقلية قبل الفحص بمجرد الشك لعدم وصول الحجة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غريب وليس له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وجود النظير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 سابقا وأن المنجّز ليس هو الشك بل هو العلم المستمر حال الشك في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أضعف منه يظهر ذلك مما عرفت من لازمه والثالث قريب</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حكم العقل بقُبح العقاب بلا بيان إنما هو عدم البيان، فما لم يُحرز ذلك بالفحص لا يستقل العقل بقُبح العقاب، إذ ليس المراد من البيان إيصال التكليف إلى العبد قهراً، بل المراد منه بيانه على الوجه المتعارف، وجعله بمرأى ومسمع من العبد، بحيث يمكن الوصول إليه، فلو كان التكليف مبيّناً من قبل المولى ولم يتفحص عنه العبد، صحّ العقاب على مخالفته، ولا يكون عقابه بلا بيان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 تكون البراءة العقلية في نفسها قاصرة عن الشمول لِما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موضوعها عدم البيان وهو لا يُحرَز إلا بالفحص فلا مقتضي لها قبله</w:t>
      </w:r>
      <w:r>
        <w:rPr>
          <w:rFonts w:eastAsia="Amiri" w:cs="Amiri" w:ascii="Amiri" w:hAnsi="Amiri"/>
          <w:color w:val="111111"/>
          <w:sz w:val="28"/>
          <w:szCs w:val="28"/>
          <w:rtl w:val="true"/>
          <w:lang w:bidi="ar-SA"/>
        </w:rPr>
        <w:t xml:space="preserve">. </w:t>
      </w:r>
      <w:bookmarkStart w:id="313" w:name="pg9067_79785"/>
    </w:p>
    <w:p>
      <w:pPr>
        <w:pStyle w:val="BookText"/>
        <w:rPr/>
      </w:pPr>
      <w:bookmarkEnd w:id="313"/>
      <w:r>
        <w:rPr>
          <w:rFonts w:ascii="Amiri" w:hAnsi="Amiri" w:eastAsia="Amiri" w:cs="Amiri"/>
          <w:color w:val="111111"/>
          <w:sz w:val="28"/>
          <w:sz w:val="28"/>
          <w:szCs w:val="28"/>
          <w:rtl w:val="true"/>
          <w:lang w:bidi="ar-SA"/>
        </w:rPr>
        <w:t>وأمّا مقدار البحث الواجب فهو اليأس عن الظفر بالدليل فيما إذا بُحث عنه في مظانه</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2465090_2870459653"/>
      <w:bookmarkStart w:id="315" w:name="_Toc117"/>
      <w:bookmarkEnd w:id="314"/>
      <w:r>
        <w:rPr>
          <w:rtl w:val="true"/>
        </w:rPr>
        <w:t>الأمر الرابع</w:t>
      </w:r>
      <w:bookmarkEnd w:id="315"/>
    </w:p>
    <w:p>
      <w:pPr>
        <w:pStyle w:val="Heading6"/>
        <w:numPr>
          <w:ilvl w:val="5"/>
          <w:numId w:val="1"/>
        </w:numPr>
        <w:rPr/>
      </w:pPr>
      <w:bookmarkStart w:id="316" w:name="__RefHeading___Toc2465092_2870459653"/>
      <w:bookmarkStart w:id="317" w:name="_Toc118"/>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اختلف الأصوليون في جريان البراءة العقلية في الشبهات الموضوعية في موضعين</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2465094_2870459653"/>
      <w:bookmarkStart w:id="319" w:name="_Toc119"/>
      <w:bookmarkEnd w:id="318"/>
      <w:r>
        <w:rPr>
          <w:rtl w:val="true"/>
        </w:rPr>
        <w:t>الموضع الأول</w:t>
      </w:r>
      <w:bookmarkEnd w:id="319"/>
    </w:p>
    <w:p>
      <w:pPr>
        <w:pStyle w:val="Heading6"/>
        <w:numPr>
          <w:ilvl w:val="5"/>
          <w:numId w:val="1"/>
        </w:numPr>
        <w:rPr/>
      </w:pPr>
      <w:bookmarkStart w:id="320" w:name="__RefHeading___Toc2465096_2870459653"/>
      <w:bookmarkStart w:id="321" w:name="_Toc120"/>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ما يتعلق بأصل جريان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ملاك البراءة العقلية هو شأنية البيان من المولى فلا تجري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العلم فتجري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2465098_2870459653"/>
      <w:bookmarkStart w:id="323" w:name="_Toc121"/>
      <w:bookmarkEnd w:id="322"/>
      <w:r>
        <w:rPr>
          <w:rtl w:val="true"/>
        </w:rPr>
        <w:t>القول الأول</w:t>
      </w:r>
      <w:bookmarkEnd w:id="323"/>
    </w:p>
    <w:p>
      <w:pPr>
        <w:pStyle w:val="BookText"/>
        <w:rPr/>
      </w:pPr>
      <w:r>
        <w:rPr>
          <w:rFonts w:ascii="Amiri" w:hAnsi="Amiri" w:eastAsia="Amiri" w:cs="Amiri"/>
          <w:color w:val="111111"/>
          <w:sz w:val="28"/>
          <w:sz w:val="28"/>
          <w:szCs w:val="28"/>
          <w:rtl w:val="true"/>
          <w:lang w:bidi="ar-SA"/>
        </w:rPr>
        <w:t xml:space="preserve">ما ذهب إليه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من عدم جريان البراءة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نظراً إلى أخذ البيان في موضوع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وظيفة المولى هي بيان الأحكام الكلية وجعلها في معرض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 الأحكام الجزئية والموضوعات الخارجية وبيان الصغريات من كون هذا الشيء من أفراد الموضوع الكذائي فليس من وظيفة الشارع، والكبرى المجعولة الشرعية في الشبهات الموضوعية تكون قد وردت ووصلت إلى المكلف وحصل العلم بها، وإنما تكون الشبهة في الصغرى، فلا مجال للتمسك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التمسك بقاعدة الاشتغال، لأن العلم باشتغال الذمة بالكبرى المجعولة المعلومة الواصلة يقتضى العلم بالفراغ عقلا، وهذا لا يحصل إلا بالتجنّب عن موارد الشبهة</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2465100_2870459653"/>
      <w:bookmarkStart w:id="325" w:name="_Toc122"/>
      <w:bookmarkEnd w:id="324"/>
      <w:r>
        <w:rPr>
          <w:rtl w:val="true"/>
        </w:rPr>
        <w:t>القول الثاني</w:t>
      </w:r>
      <w:bookmarkEnd w:id="32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عليه سائر الأصوليين من جريان البراءة العقلية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 العلم بالكبريات </w:t>
      </w:r>
      <w:bookmarkStart w:id="326" w:name="pg9067_79786"/>
    </w:p>
    <w:p>
      <w:pPr>
        <w:pStyle w:val="BookText"/>
        <w:rPr/>
      </w:pPr>
      <w:bookmarkEnd w:id="326"/>
      <w:r>
        <w:rPr>
          <w:rFonts w:ascii="Amiri" w:hAnsi="Amiri" w:eastAsia="Amiri" w:cs="Amiri"/>
          <w:color w:val="111111"/>
          <w:sz w:val="28"/>
          <w:sz w:val="28"/>
          <w:szCs w:val="28"/>
          <w:rtl w:val="true"/>
          <w:lang w:bidi="ar-SA"/>
        </w:rPr>
        <w:t>المجعولة لا يكفي في تنجّزها وصحة العقوبة على مخالفتها ما لم يعلم بتحقق صغرياتها خارجا، فإنّ تنجّز التكليف الذي عليه تدور صحة العقوبة إنما يكون بعد فعلية الخطاب، وفعليةُ الخطاب إنما تكون بوجود موضوعه خارجاً في التكاليف التي لها تعلّق بالموضوعات الخارجية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2465102_2870459653"/>
      <w:bookmarkStart w:id="328" w:name="_Toc123"/>
      <w:bookmarkEnd w:id="327"/>
      <w:r>
        <w:rPr>
          <w:rtl w:val="true"/>
        </w:rPr>
        <w:t>الموضع الثاني</w:t>
      </w:r>
      <w:bookmarkEnd w:id="328"/>
    </w:p>
    <w:p>
      <w:pPr>
        <w:pStyle w:val="Heading6"/>
        <w:numPr>
          <w:ilvl w:val="5"/>
          <w:numId w:val="1"/>
        </w:numPr>
        <w:rPr/>
      </w:pPr>
      <w:bookmarkStart w:id="329" w:name="__RefHeading___Toc2465104_2870459653"/>
      <w:bookmarkStart w:id="330" w:name="_Toc124"/>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على تقدير جريان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 جريانها مشروطاً بالفحص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أيضاً</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2465106_2870459653"/>
      <w:bookmarkStart w:id="332" w:name="_Toc125"/>
      <w:bookmarkEnd w:id="331"/>
      <w:r>
        <w:rPr>
          <w:rtl w:val="true"/>
        </w:rPr>
        <w:t>القول الأول</w:t>
      </w:r>
      <w:bookmarkEnd w:id="332"/>
    </w:p>
    <w:p>
      <w:pPr>
        <w:pStyle w:val="BookText"/>
        <w:rPr/>
      </w:pPr>
      <w:r>
        <w:rPr>
          <w:rFonts w:ascii="Amiri" w:hAnsi="Amiri" w:eastAsia="Amiri" w:cs="Amiri"/>
          <w:color w:val="111111"/>
          <w:sz w:val="28"/>
          <w:sz w:val="28"/>
          <w:szCs w:val="28"/>
          <w:rtl w:val="true"/>
          <w:lang w:bidi="ar-SA"/>
        </w:rPr>
        <w:t>ما هو المشهور بين الأصوليين من عدم اشتراط جريان البراءة بوجوب الفحص في الشبهات الموضوعية لعدم جريان البيانات المذكورة في الشبهات الحُكمية هنا</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2465108_2870459653"/>
      <w:bookmarkStart w:id="334" w:name="_Toc126"/>
      <w:bookmarkEnd w:id="333"/>
      <w:r>
        <w:rPr>
          <w:rtl w:val="true"/>
        </w:rPr>
        <w:t>القول الثاني</w:t>
      </w:r>
      <w:bookmarkEnd w:id="334"/>
    </w:p>
    <w:p>
      <w:pPr>
        <w:pStyle w:val="BookText"/>
        <w:rPr/>
      </w:pPr>
      <w:r>
        <w:rPr>
          <w:rFonts w:ascii="Amiri" w:hAnsi="Amiri" w:eastAsia="Amiri" w:cs="Amiri"/>
          <w:color w:val="111111"/>
          <w:sz w:val="28"/>
          <w:sz w:val="28"/>
          <w:szCs w:val="28"/>
          <w:rtl w:val="true"/>
          <w:lang w:bidi="ar-SA"/>
        </w:rPr>
        <w:t xml:space="preserve">ما بنى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الموضوعات التي لا يتوقف العلم بها عادة على نظر فلا يجب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التي يتوقف العلم بها وانكشافها للمكلف على إعمال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الفحص يلزم الوقوع في مخالفة التكليف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تشريع الحكم على هذا الوجه، فيمكن دعوى الملازمة العُرفية بين تشريع مثل هذا الحكم وبين إيجاب الفحص عن موضوعه، فإطلاق القول بعدم وجوب الفحص في الشبهات الموضوعية لا يستقيم، بل الأقوى وجوب الفحص عن الموضوعات التي يتوقف العلم بها غالباً على الفحص</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2465110_2870459653"/>
      <w:bookmarkStart w:id="336" w:name="_Toc127"/>
      <w:bookmarkEnd w:id="335"/>
      <w:r>
        <w:rPr>
          <w:rtl w:val="true"/>
        </w:rPr>
        <w:t>القسم الثاني</w:t>
      </w:r>
      <w:bookmarkEnd w:id="336"/>
    </w:p>
    <w:p>
      <w:pPr>
        <w:pStyle w:val="Heading5"/>
        <w:numPr>
          <w:ilvl w:val="4"/>
          <w:numId w:val="1"/>
        </w:numPr>
        <w:rPr/>
      </w:pPr>
      <w:bookmarkStart w:id="337" w:name="__RefHeading___Toc2465112_2870459653"/>
      <w:bookmarkStart w:id="338" w:name="_Toc128"/>
      <w:bookmarkEnd w:id="337"/>
      <w:r>
        <w:rPr>
          <w:rtl w:val="true"/>
        </w:rPr>
        <w:t>اشارة</w:t>
      </w:r>
      <w:bookmarkEnd w:id="33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يتعلق ببيان الفرق بين مفاد البراءة العقلية ومفاد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العقلية منها فهي عبارة عن المُعذّرية وعدم المؤاخذة على المخالفة على التكليف </w:t>
      </w:r>
      <w:bookmarkStart w:id="339" w:name="pg9067_79787"/>
    </w:p>
    <w:p>
      <w:pPr>
        <w:pStyle w:val="BookText"/>
        <w:rPr/>
      </w:pPr>
      <w:bookmarkEnd w:id="339"/>
      <w:r>
        <w:rPr>
          <w:rFonts w:ascii="Amiri" w:hAnsi="Amiri" w:eastAsia="Amiri" w:cs="Amiri"/>
          <w:color w:val="111111"/>
          <w:sz w:val="28"/>
          <w:sz w:val="28"/>
          <w:szCs w:val="28"/>
          <w:rtl w:val="true"/>
          <w:lang w:bidi="ar-SA"/>
        </w:rPr>
        <w:t>المحتمَل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تختلف بمفادها عن مفاد البراءة الشرعية سواء كان مفاد الشرعية أنها بنفسها حكم كلي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مفادها إحراز عدم أهمية المحتمَل على ما بنى عليه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البراءة الشرعية مسلكين</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2465114_2870459653"/>
      <w:bookmarkStart w:id="341" w:name="_Toc129"/>
      <w:bookmarkEnd w:id="340"/>
      <w:r>
        <w:rPr>
          <w:rtl w:val="true"/>
        </w:rPr>
        <w:t>المسلك الأول</w:t>
      </w:r>
      <w:bookmarkEnd w:id="341"/>
    </w:p>
    <w:p>
      <w:pPr>
        <w:pStyle w:val="BookText"/>
        <w:rPr/>
      </w:pPr>
      <w:r>
        <w:rPr>
          <w:rFonts w:ascii="Amiri" w:hAnsi="Amiri" w:eastAsia="Amiri" w:cs="Amiri"/>
          <w:color w:val="111111"/>
          <w:sz w:val="28"/>
          <w:sz w:val="28"/>
          <w:szCs w:val="28"/>
          <w:rtl w:val="true"/>
          <w:lang w:bidi="ar-SA"/>
        </w:rPr>
        <w:t>ما ذهب إليه المشهور من أنها ترخيص ظاهري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 بينها وبين البراءة العقلية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الوظيفة الشرعية إنما هو الترخيص لا الحكم بعدم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يثبت عدم الاستحقاق بالتبع والملازمة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حكم العقل فإنّ ادراكه إنما يتعلق بعدم الاستحقاق وهو الذي يستقل به ويلزمه الترخيص في العمل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فالترخيص ليس من شأن العقل ومدركاته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2465116_2870459653"/>
      <w:bookmarkStart w:id="343" w:name="_Toc130"/>
      <w:bookmarkEnd w:id="342"/>
      <w:r>
        <w:rPr>
          <w:rtl w:val="true"/>
        </w:rPr>
        <w:t>المسلك الثاني</w:t>
      </w:r>
      <w:bookmarkEnd w:id="343"/>
    </w:p>
    <w:p>
      <w:pPr>
        <w:pStyle w:val="Heading6"/>
        <w:numPr>
          <w:ilvl w:val="5"/>
          <w:numId w:val="1"/>
        </w:numPr>
        <w:rPr/>
      </w:pPr>
      <w:bookmarkStart w:id="344" w:name="__RefHeading___Toc2465118_2870459653"/>
      <w:bookmarkStart w:id="345" w:name="_Toc131"/>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 xml:space="preserve">ما بنى عليه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إرشاد إلى عدم أهمية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لها مفادٌ برأسه مقابل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البراءة العقلية منوطةٌ بأهمية الاحتمال والمحتمَل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البراءة الشرعية لجرت بمناط عدم إحراز أهمية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البراءة الشرعية منها فهي إحراز لعدم أهمية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البراءة الشرعية بعد جريان البراءة العقلية ؟</w:t>
      </w:r>
    </w:p>
    <w:p>
      <w:pPr>
        <w:pStyle w:val="BookText"/>
        <w:rPr/>
      </w:pPr>
      <w:r>
        <w:rPr>
          <w:rFonts w:ascii="Amiri" w:hAnsi="Amiri" w:eastAsia="Amiri" w:cs="Amiri"/>
          <w:color w:val="111111"/>
          <w:sz w:val="28"/>
          <w:sz w:val="28"/>
          <w:szCs w:val="28"/>
          <w:rtl w:val="true"/>
          <w:lang w:bidi="ar-SA"/>
        </w:rPr>
        <w:t>يمكن أن تكون الفائدة أحد أمور على سبيل منع الخلو</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2465120_2870459653"/>
      <w:bookmarkStart w:id="347" w:name="_Toc132"/>
      <w:bookmarkEnd w:id="346"/>
      <w:r>
        <w:rPr>
          <w:rtl w:val="true"/>
        </w:rPr>
        <w:t>الأمر الأول</w:t>
      </w:r>
      <w:bookmarkEnd w:id="34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البراءة الشرعية أقوى ضماناً وأشد تأميناً للمكلف من العقوبة المحتمَلة عند احتمال التكليف من البراءة العقلية، وذلك لأن مفاد البراءة العقلية قُبح </w:t>
      </w:r>
      <w:bookmarkStart w:id="348" w:name="pg9067_79788"/>
    </w:p>
    <w:p>
      <w:pPr>
        <w:pStyle w:val="BookText"/>
        <w:rPr/>
      </w:pPr>
      <w:bookmarkEnd w:id="348"/>
      <w:r>
        <w:rPr>
          <w:rFonts w:ascii="IRNazanin" w:hAnsi="IRNazanin" w:eastAsia="IRNazanin"/>
          <w:color w:val="111111"/>
          <w:sz w:val="28"/>
          <w:sz w:val="28"/>
          <w:szCs w:val="28"/>
          <w:rtl w:val="true"/>
          <w:lang w:bidi="fa-IR"/>
        </w:rPr>
        <w:t xml:space="preserve">العقاب بلا بيان ومفاد البراءة الشرعية بيان عدم العقوبة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أمتي 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قُبح العقاب مع البيان على عدمه أشدّ من قُبحه مع عدم البيان</w:t>
      </w:r>
      <w:r>
        <w:rPr>
          <w:rFonts w:eastAsia="IRNazanin" w:cs="IRNazanin"/>
          <w:color w:val="111111"/>
          <w:sz w:val="28"/>
          <w:szCs w:val="28"/>
          <w:rtl w:val="true"/>
          <w:lang w:bidi="fa-IR"/>
        </w:rPr>
        <w:t>.</w:t>
      </w:r>
    </w:p>
    <w:p>
      <w:pPr>
        <w:pStyle w:val="Heading6"/>
        <w:numPr>
          <w:ilvl w:val="5"/>
          <w:numId w:val="1"/>
        </w:numPr>
        <w:rPr/>
      </w:pPr>
      <w:bookmarkStart w:id="349" w:name="__RefHeading___Toc2465122_2870459653"/>
      <w:bookmarkStart w:id="350" w:name="_Toc133"/>
      <w:bookmarkEnd w:id="349"/>
      <w:r>
        <w:rPr>
          <w:rtl w:val="true"/>
        </w:rPr>
        <w:t>الأمر الثاني</w:t>
      </w:r>
      <w:bookmarkEnd w:id="350"/>
    </w:p>
    <w:p>
      <w:pPr>
        <w:pStyle w:val="BookText"/>
        <w:rPr/>
      </w:pPr>
      <w:r>
        <w:rPr>
          <w:rFonts w:ascii="Amiri" w:hAnsi="Amiri" w:eastAsia="Amiri" w:cs="Amiri"/>
          <w:color w:val="111111"/>
          <w:sz w:val="28"/>
          <w:sz w:val="28"/>
          <w:szCs w:val="28"/>
          <w:rtl w:val="true"/>
          <w:lang w:bidi="ar-SA"/>
        </w:rPr>
        <w:t xml:space="preserve">أن البراءة الشرعية تستبطن حيثية الامتنان بمعنى أن الشارع كان له أن يأمر بمراعاة الحكم المحتمَل حيث إن مقتضي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رخّص الشارع فيه امتناناً منه وتسهيلا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البراءة العقلية فهي مبنية على عدم العلم بمقتضي الإلزام</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2465124_2870459653"/>
      <w:bookmarkStart w:id="352" w:name="_Toc134"/>
      <w:bookmarkEnd w:id="351"/>
      <w:r>
        <w:rPr>
          <w:rtl w:val="true"/>
        </w:rPr>
        <w:t>الأمر الثالث</w:t>
      </w:r>
      <w:bookmarkEnd w:id="352"/>
    </w:p>
    <w:p>
      <w:pPr>
        <w:pStyle w:val="BookText"/>
        <w:rPr/>
      </w:pPr>
      <w:r>
        <w:rPr>
          <w:rFonts w:ascii="Amiri" w:hAnsi="Amiri" w:eastAsia="Amiri" w:cs="Amiri"/>
          <w:color w:val="111111"/>
          <w:sz w:val="28"/>
          <w:sz w:val="28"/>
          <w:szCs w:val="28"/>
          <w:rtl w:val="true"/>
          <w:lang w:bidi="ar-SA"/>
        </w:rPr>
        <w:t>أنها مجعولة على نحو القضية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ومواردها غير محصورة بالبراءة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صحة جعل الحكم العام بنحو القضية الحقيقية وجودُ الأثر في بعض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مورد دوران الأمر بين الأقل والأكثر الارتباطيين لشبهة الغرض أو الأصل المثبت على بعض المباني</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2465126_2870459653"/>
      <w:bookmarkStart w:id="354" w:name="_Toc135"/>
      <w:bookmarkEnd w:id="353"/>
      <w:r>
        <w:rPr>
          <w:rtl w:val="true"/>
        </w:rPr>
        <w:t>الأمر الرابع</w:t>
      </w:r>
      <w:bookmarkEnd w:id="354"/>
    </w:p>
    <w:p>
      <w:pPr>
        <w:pStyle w:val="BookText"/>
        <w:rPr/>
      </w:pPr>
      <w:r>
        <w:rPr>
          <w:rFonts w:ascii="Amiri" w:hAnsi="Amiri" w:eastAsia="Amiri" w:cs="Amiri"/>
          <w:color w:val="111111"/>
          <w:sz w:val="28"/>
          <w:sz w:val="28"/>
          <w:szCs w:val="28"/>
          <w:rtl w:val="true"/>
          <w:lang w:bidi="ar-SA"/>
        </w:rPr>
        <w:t>قد يقال إن جعل البراءة الشرعية يرفع شوائب الشك والترديد اللذين قد يقعان في 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مَنْ يُنكر البراءة العقلية فلم يبقَ له إلا البراءة الشرعية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الترديد والشك يقتضي الإرشاد إلى حكم العقل لا أنه يقتضي جعلاً شرعياً على وفقه على حدّ بيان الشارع لكثير من الأحكام بلسان الإرشاد كقُبح الكذب ونحو ذلك</w:t>
      </w:r>
      <w:r>
        <w:rPr>
          <w:rFonts w:eastAsia="Amiri" w:cs="Amiri" w:ascii="Amiri" w:hAnsi="Amiri"/>
          <w:color w:val="111111"/>
          <w:sz w:val="28"/>
          <w:szCs w:val="28"/>
          <w:rtl w:val="true"/>
          <w:lang w:bidi="ar-SA"/>
        </w:rPr>
        <w:t xml:space="preserve">. </w:t>
      </w:r>
      <w:bookmarkStart w:id="355" w:name="pg9067_79789"/>
    </w:p>
    <w:p>
      <w:pPr>
        <w:pStyle w:val="Heading3"/>
        <w:numPr>
          <w:ilvl w:val="2"/>
          <w:numId w:val="1"/>
        </w:numPr>
        <w:rPr/>
      </w:pPr>
      <w:bookmarkStart w:id="356" w:name="__RefHeading___Toc2465128_2870459653"/>
      <w:bookmarkStart w:id="357" w:name="_Toc136"/>
      <w:bookmarkEnd w:id="355"/>
      <w:bookmarkEnd w:id="356"/>
      <w:r>
        <w:rPr>
          <w:rtl w:val="true"/>
        </w:rPr>
        <w:t>نتائج البحث</w:t>
      </w:r>
      <w:bookmarkEnd w:id="357"/>
    </w:p>
    <w:p>
      <w:pPr>
        <w:pStyle w:val="Heading4"/>
        <w:numPr>
          <w:ilvl w:val="3"/>
          <w:numId w:val="1"/>
        </w:numPr>
        <w:rPr/>
      </w:pPr>
      <w:bookmarkStart w:id="358" w:name="__RefHeading___Toc2465130_2870459653"/>
      <w:bookmarkStart w:id="359" w:name="_Toc137"/>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تجدر الإشارة إلى النتائج المستخلصة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سبع</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2465132_2870459653"/>
      <w:bookmarkStart w:id="361" w:name="_Toc138"/>
      <w:bookmarkEnd w:id="360"/>
      <w:r>
        <w:rPr>
          <w:rtl w:val="true"/>
        </w:rPr>
        <w:t>النتيجة الأولى</w:t>
      </w:r>
      <w:bookmarkEnd w:id="361"/>
    </w:p>
    <w:p>
      <w:pPr>
        <w:pStyle w:val="BookText"/>
        <w:rPr/>
      </w:pPr>
      <w:r>
        <w:rPr>
          <w:rFonts w:ascii="Amiri" w:hAnsi="Amiri" w:eastAsia="Amiri" w:cs="Amiri"/>
          <w:color w:val="111111"/>
          <w:sz w:val="28"/>
          <w:sz w:val="28"/>
          <w:szCs w:val="28"/>
          <w:rtl w:val="true"/>
          <w:lang w:bidi="ar-SA"/>
        </w:rPr>
        <w:t>تبيّن من خلال المقدمة في ما يتعلق بتاريخ البراءة العقلية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عُمق تأريخي للبراءة العقلية في كلمات قدامى الأصوليين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ينفي كون الغالب في الاستدلال بها في تلك المرحلة على وجه الأمارية قطعية كانت أو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نظراً إلى أنّ فكرة الأصل العملي لم تكن بذلك الوضوح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فكرة الأصل العملي إنما تبلورتْ بنحو واضح في عصر محمد أمين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حملة التشكيكات التي أوردها على مناهج الاستنباط العقلي والظني لدى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وازدادت وضوحاً بعده حتى استقرت أسسها في عصر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وانفصلت عن مبحث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ما في كلام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الأمرين</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2465134_2870459653"/>
      <w:bookmarkStart w:id="363" w:name="_Toc139"/>
      <w:bookmarkEnd w:id="362"/>
      <w:r>
        <w:rPr>
          <w:rtl w:val="true"/>
        </w:rPr>
        <w:t>النتيجة الثانية</w:t>
      </w:r>
      <w:bookmarkEnd w:id="363"/>
    </w:p>
    <w:p>
      <w:pPr>
        <w:pStyle w:val="BookText"/>
        <w:rPr/>
      </w:pPr>
      <w:r>
        <w:rPr>
          <w:rFonts w:ascii="Amiri" w:hAnsi="Amiri" w:eastAsia="Amiri" w:cs="Amiri"/>
          <w:color w:val="111111"/>
          <w:sz w:val="28"/>
          <w:sz w:val="28"/>
          <w:szCs w:val="28"/>
          <w:rtl w:val="true"/>
          <w:lang w:bidi="ar-SA"/>
        </w:rPr>
        <w:t>أن محل الكلام في البراءة والاحتياط العقليين هو في مدى استيجاب احتمال الحكم بنفسه وظيفة عقلية أو كشفه عن وظيفة شرعية ثانوية من قبيل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للبراءة العقلية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العقاب بلا محرّك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مجرد جعل الحكم الواقعي من دون محرّك في البين لا يُسوّغ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المصادرة مسلّمة بين المسلكين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العقاب عند احتمال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ينطوي على كبرى متمثّلة بالبراءة بالمستوى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وصغرى وهي أن مجرد الاحتمال ليس مُحرِّكا ذاتاً ولا كاشفاً تلقائياً عن وظيفة شرعية</w:t>
      </w:r>
      <w:r>
        <w:rPr>
          <w:rFonts w:eastAsia="Amiri" w:cs="Amiri" w:ascii="Amiri" w:hAnsi="Amiri"/>
          <w:color w:val="111111"/>
          <w:sz w:val="28"/>
          <w:szCs w:val="28"/>
          <w:rtl w:val="true"/>
          <w:lang w:bidi="ar-SA"/>
        </w:rPr>
        <w:t xml:space="preserve">. </w:t>
      </w:r>
      <w:bookmarkStart w:id="364" w:name="pg9067_79790"/>
    </w:p>
    <w:p>
      <w:pPr>
        <w:pStyle w:val="BookText"/>
        <w:rPr/>
      </w:pPr>
      <w:bookmarkEnd w:id="364"/>
      <w:r>
        <w:rPr>
          <w:rFonts w:ascii="Amiri" w:hAnsi="Amiri" w:eastAsia="Amiri" w:cs="Amiri"/>
          <w:color w:val="111111"/>
          <w:sz w:val="28"/>
          <w:sz w:val="28"/>
          <w:szCs w:val="28"/>
          <w:rtl w:val="true"/>
          <w:lang w:bidi="ar-SA"/>
        </w:rPr>
        <w:t>ومحل الكلام فيما نحن فيه هو هذا المستوى من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مرجع النزاع بالدقة إلى أن الاحتمال ليس حجة عقلا ولا كاشفاً عن حكم شرعي</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465136_2870459653"/>
      <w:bookmarkStart w:id="366" w:name="_Toc140"/>
      <w:bookmarkEnd w:id="365"/>
      <w:r>
        <w:rPr>
          <w:rtl w:val="true"/>
        </w:rPr>
        <w:t>النتيجة الثالثة</w:t>
      </w:r>
      <w:bookmarkEnd w:id="366"/>
    </w:p>
    <w:p>
      <w:pPr>
        <w:pStyle w:val="BookText"/>
        <w:rPr/>
      </w:pPr>
      <w:r>
        <w:rPr>
          <w:rFonts w:ascii="Amiri" w:hAnsi="Amiri" w:eastAsia="Amiri" w:cs="Amiri"/>
          <w:color w:val="111111"/>
          <w:sz w:val="28"/>
          <w:sz w:val="28"/>
          <w:szCs w:val="28"/>
          <w:rtl w:val="true"/>
          <w:lang w:bidi="ar-SA"/>
        </w:rPr>
        <w:t xml:space="preserve">الظاهر تمامية مذهب المشهور من حكم العقل بالبراءة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التقريبات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تلك التقريبات في النكتة التي ترتكز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التقريب الأول أبرز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عدم فعلية التكليف مع عدم الوصول الذي يرجع إلى القصور في اقتضاء الحكم للطاعة في حال عدم 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التقريب الثاني ركّز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نكتة عدم كون الحكم حقيقياً مع عدم الوصول وهو يرجع إلى قصور في مستوى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التقريب الثالث ركّزَ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نكتة اقتضاء الموازنة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البيان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مراعاة المحتمَل ما لم تثبت أهميته في مورد ضعف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اقتضائها ذلك من حيث إن كمالَ التشريع إيصالُ المولى مراداته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كانت بدرجة من الأهمية توجب مراعاتها ولو في ظرف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قطعية كما عليه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465138_2870459653"/>
      <w:bookmarkStart w:id="368" w:name="_Toc141"/>
      <w:bookmarkEnd w:id="367"/>
      <w:r>
        <w:rPr>
          <w:rtl w:val="true"/>
        </w:rPr>
        <w:t>النتيجة الرابعة</w:t>
      </w:r>
      <w:bookmarkEnd w:id="368"/>
    </w:p>
    <w:p>
      <w:pPr>
        <w:pStyle w:val="BookText"/>
        <w:rPr/>
      </w:pPr>
      <w:r>
        <w:rPr>
          <w:rFonts w:ascii="Amiri" w:hAnsi="Amiri" w:eastAsia="Amiri" w:cs="Amiri"/>
          <w:color w:val="111111"/>
          <w:sz w:val="28"/>
          <w:sz w:val="28"/>
          <w:szCs w:val="28"/>
          <w:rtl w:val="true"/>
          <w:lang w:bidi="ar-SA"/>
        </w:rPr>
        <w:t>الظاهر عدم تمامية مسلك حق الطاعة وذلك لأمور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المسلك على الملازمة بين عِظَم حق المولى وإضفاء شخصية ذي الحق على المطلوب وبين لزوم الإتيان بالمطلوب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التفكيك بينهما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الطاعة أدبٌ متقوّم بجانب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والجانب النفسي لا يبلغ حدّ الذروة بمجرد الاحتمال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حيثية الطاعة بالنسبة للأحكام الإلزامية مع احتمال اعتناء الشارع </w:t>
      </w:r>
      <w:bookmarkStart w:id="369" w:name="pg9067_79791"/>
    </w:p>
    <w:p>
      <w:pPr>
        <w:pStyle w:val="BookText"/>
        <w:rPr/>
      </w:pPr>
      <w:bookmarkEnd w:id="369"/>
      <w:r>
        <w:rPr>
          <w:rFonts w:ascii="Amiri" w:hAnsi="Amiri" w:eastAsia="Amiri" w:cs="Amiri"/>
          <w:color w:val="111111"/>
          <w:sz w:val="28"/>
          <w:sz w:val="28"/>
          <w:szCs w:val="28"/>
          <w:rtl w:val="true"/>
          <w:lang w:bidi="ar-SA"/>
        </w:rPr>
        <w:t>بالترخيص بالنظر الجَمعي لموارد الاحتمال الإلزامية مع ملاحظة الواقع العملي في الفقه، فإننا كما نحتمل أن يكون الشارع قد ألزمنا بمراعاة الحكم المحتمَل فكذلك نحتمل أن يكون قد رخّص لنا في عدم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يحصل ترديد في 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الشارع هل يعتني بحرية المكلف في هذه الدائرة الواسعة بدرجة أدنى من عنايته بالأحكام الإلزامية المحتمَلة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فربما تستبطن الأحكام الترخيصية في مساحتها المجموعية مساحة إلزامية ولا ينبغي تأمل زاوية الأدب فقط بالنسبة للأحكام الإلزامية</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465140_2870459653"/>
      <w:bookmarkStart w:id="371" w:name="_Toc142"/>
      <w:bookmarkEnd w:id="370"/>
      <w:r>
        <w:rPr>
          <w:rtl w:val="true"/>
        </w:rPr>
        <w:t>النتيجة الخامسة</w:t>
      </w:r>
      <w:bookmarkEnd w:id="371"/>
    </w:p>
    <w:p>
      <w:pPr>
        <w:pStyle w:val="BookText"/>
        <w:rPr/>
      </w:pPr>
      <w:r>
        <w:rPr>
          <w:rFonts w:ascii="Amiri" w:hAnsi="Amiri" w:eastAsia="Amiri" w:cs="Amiri"/>
          <w:color w:val="111111"/>
          <w:sz w:val="28"/>
          <w:sz w:val="28"/>
          <w:szCs w:val="28"/>
          <w:rtl w:val="true"/>
          <w:lang w:bidi="ar-SA"/>
        </w:rPr>
        <w:t xml:space="preserve">أن ما ذكره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الاستشهادات والمُنبّهات على عدم تمامية البراءة العقلية وبطلان القول بها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استشهاده بوقوع الخلاف في حدودها من بعض الأصوليين فلوضوح أن إنكار بعض حدود الأمر الواضح في نفسه لا يعني سريان الشك في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استشهاده بوقوع خلطٍ عند الأصوليين بين مقام المولوية وبين مقام الحجية وأنهم فصّلوا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أنهم لم يغفلوا عن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حكمُهم بكون المخالفة ظلماً للمولى وهتكاً له إلا اعترافاً منهم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حكمُهم هذا يقتضي تشخيصهم للحق في الرتبة السابقة ولأجله حكموا بكون مخالفته ظلماً وهتكاً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استشهاده بتعميم المولوية العرفية لمولوية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وجِد فهو استشهاد بحالة واضحة الحكم وجداناً لإلفات النظر إلى حالة قد يعتريها غموض ما ليكون مثيراً ومنبّهاً لحكم العقل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منبّهية انسجام مسلك حق الطاعة مع وجوب الموافقة القطعية في مبحث العلم الإجمالي فيلاحظ عليه أن هذا المسلك لا يُفسِّر لزوم مراعاة الأحكام </w:t>
      </w:r>
      <w:bookmarkStart w:id="372" w:name="pg9067_79792"/>
    </w:p>
    <w:p>
      <w:pPr>
        <w:pStyle w:val="BookText"/>
        <w:rPr/>
      </w:pPr>
      <w:bookmarkEnd w:id="372"/>
      <w:r>
        <w:rPr>
          <w:rFonts w:ascii="Amiri" w:hAnsi="Amiri" w:eastAsia="Amiri" w:cs="Amiri"/>
          <w:color w:val="111111"/>
          <w:sz w:val="28"/>
          <w:sz w:val="28"/>
          <w:szCs w:val="28"/>
          <w:rtl w:val="true"/>
          <w:lang w:bidi="ar-SA"/>
        </w:rPr>
        <w:t>العقلية أو العقلائية بقطع النظر عن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الأحكام الشرعية فإنّه بالتأمل يُنتج عكس ما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المناسب مع اعتداد الشارع بالحكم المعلوم بالإجمال دون مطلق الحكم المحتمَل هو اعتناؤه بالعلم الإجمالي لا بالاحتمال المحض مطلقاً، لا أنه فصّل في الاعتناء بالاحتمال بين حال وجود العلم الإجمالي وعدمه</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465142_2870459653"/>
      <w:bookmarkStart w:id="374" w:name="_Toc143"/>
      <w:bookmarkEnd w:id="373"/>
      <w:r>
        <w:rPr>
          <w:rtl w:val="true"/>
        </w:rPr>
        <w:t>النتيجة السادسة</w:t>
      </w:r>
      <w:bookmarkEnd w:id="374"/>
    </w:p>
    <w:p>
      <w:pPr>
        <w:pStyle w:val="BookText"/>
        <w:rPr/>
      </w:pPr>
      <w:r>
        <w:rPr>
          <w:rFonts w:ascii="Amiri" w:hAnsi="Amiri" w:eastAsia="Amiri" w:cs="Amiri"/>
          <w:color w:val="111111"/>
          <w:sz w:val="28"/>
          <w:sz w:val="28"/>
          <w:szCs w:val="28"/>
          <w:rtl w:val="true"/>
          <w:lang w:bidi="ar-SA"/>
        </w:rPr>
        <w:t>قد تبيّن فيما يتعلق بحدود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البراءة العقلية بالأحكام الإلزامية في موارد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جريانها في الأحكام غير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الأحكام غير الإلزامية لا عقوبة على مخالفتها مقطوعة كانت أو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العقلية في موارد الشك بالتكليف المقرون بالعلم الإجمالي سواء على القول بالعلية أم بالاقتضاء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جريانها منوط بعدم البيان الأعم من التفصيلي والإجمالي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عدم جريان البراءة العقلية في الشبهات الحُكمية إلا بعد الفحص واليأس عن الظفر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سِرِّ عدم جريانها هو عدم جريان ملاكها قبل الفحص واليأس عن الظفر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موضعين للخلاف في جريان البراءة العقلية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جريان البراءة العقلية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أنها تجري بلا إشكال لجهل المكلف وعدم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إلى عدم جريانها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شأن المولى بيان الأحكام لا الموضوعات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جريانها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bookmarkStart w:id="375" w:name="pg9067_79793"/>
    </w:p>
    <w:p>
      <w:pPr>
        <w:pStyle w:val="BookText"/>
        <w:rPr/>
      </w:pPr>
      <w:bookmarkEnd w:id="375"/>
      <w:r>
        <w:rPr>
          <w:rFonts w:ascii="Amiri" w:hAnsi="Amiri" w:eastAsia="Amiri" w:cs="Amiri"/>
          <w:color w:val="111111"/>
          <w:sz w:val="28"/>
          <w:sz w:val="28"/>
          <w:szCs w:val="28"/>
          <w:rtl w:val="true"/>
          <w:lang w:bidi="ar-SA"/>
        </w:rPr>
        <w:t>جريانها حتى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بنى على التفصيل بين الموضوعات التي لا يتوقف العلم بها عادة على نظر فلا يجب فيها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التي يتوقف العلم بها وانكشافها للمكلف على إعمال النظر الذي لولاه لوقع في مخالفة الواقع</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2465144_2870459653"/>
      <w:bookmarkStart w:id="377" w:name="_Toc144"/>
      <w:bookmarkEnd w:id="376"/>
      <w:r>
        <w:rPr>
          <w:rtl w:val="true"/>
        </w:rPr>
        <w:t>النتيجة السابعة</w:t>
      </w:r>
      <w:bookmarkEnd w:id="377"/>
    </w:p>
    <w:p>
      <w:pPr>
        <w:pStyle w:val="BookText"/>
        <w:rPr/>
      </w:pPr>
      <w:r>
        <w:rPr>
          <w:rFonts w:ascii="Amiri" w:hAnsi="Amiri" w:eastAsia="Amiri" w:cs="Amiri"/>
          <w:color w:val="111111"/>
          <w:sz w:val="28"/>
          <w:sz w:val="28"/>
          <w:szCs w:val="28"/>
          <w:rtl w:val="true"/>
          <w:lang w:bidi="ar-SA"/>
        </w:rPr>
        <w:t>أن مفاد البراءة العقلية هو المُعذّرية وعدم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مفاد البراءة الشرعية فالمشهور أنه ترخيص ظاهري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إرشاد إلى عدم أهمية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لها مفاد في مقابل البراءة العقلية غير إحراز عدم أهمية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في البراءة العقلية لا يُغني عن البحث في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لأسباب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البراءة الشرعية أشد تأميناً للمكلف من العقوبة المحتمَلة عند احتمال التكليف من البراءة العقلية، وذلك لأن مفاد البراءة العقلية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البراءة الشرعية بيان عدم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استبطان البراءة الشرعية حيثية الامتنان والتسهيل على المكلف بالترخيص مع وجود مقتضٍ للإلزام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مجعولة على نحو القضية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ومواردها غير محصورة بالبراءة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مورد دوران الأمر بين الأقل والأكثر الارتباطيين على بعض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bookmarkStart w:id="378" w:name="pg9067_79794"/>
    </w:p>
    <w:p>
      <w:pPr>
        <w:pStyle w:val="Heading3"/>
        <w:numPr>
          <w:ilvl w:val="2"/>
          <w:numId w:val="1"/>
        </w:numPr>
        <w:rPr/>
      </w:pPr>
      <w:bookmarkStart w:id="379" w:name="__RefHeading___Toc2465146_2870459653"/>
      <w:bookmarkStart w:id="380" w:name="_Toc145"/>
      <w:bookmarkEnd w:id="378"/>
      <w:bookmarkEnd w:id="379"/>
      <w:r>
        <w:rPr>
          <w:rtl w:val="true"/>
        </w:rPr>
        <w:t>المصادر</w:t>
      </w:r>
      <w:bookmarkEnd w:id="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للمحقق الشيخ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للسيد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علم الأصول للسيد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الرافد في الأصول للسيد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ومقالات للشيخ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للشيخ لابن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حقيقته ومنجزيته عقلاً للسيد محمد باقر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مجمع الفكر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للمحقق الشيخ محمد حسين النايئني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الأصول للسيد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الأصول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للمحقق الشيخ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الأصول للسيد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للمحقق الشيخ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للمحقق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bookmarkStart w:id="381" w:name="pg9067_79795"/>
    </w:p>
    <w:p>
      <w:pPr>
        <w:pStyle w:val="Heading2"/>
        <w:numPr>
          <w:ilvl w:val="1"/>
          <w:numId w:val="1"/>
        </w:numPr>
        <w:rPr/>
      </w:pPr>
      <w:bookmarkStart w:id="382" w:name="__RefHeading___Toc2465148_2870459653"/>
      <w:bookmarkStart w:id="383" w:name="_Toc146"/>
      <w:bookmarkEnd w:id="381"/>
      <w:bookmarkEnd w:id="382"/>
      <w:r>
        <w:rPr>
          <w:rtl w:val="true"/>
        </w:rPr>
        <w:t xml:space="preserve">حديث الحجب </w:t>
      </w:r>
      <w:r>
        <w:rPr>
          <w:rtl w:val="true"/>
        </w:rPr>
        <w:t xml:space="preserve">- </w:t>
      </w:r>
      <w:r>
        <w:rPr>
          <w:rtl w:val="true"/>
        </w:rPr>
        <w:t xml:space="preserve">الشيخ منذر الخزاعي </w:t>
      </w:r>
      <w:r>
        <w:rPr>
          <w:rtl w:val="true"/>
        </w:rPr>
        <w:t>(</w:t>
      </w:r>
      <w:r>
        <w:rPr>
          <w:rtl w:val="true"/>
        </w:rPr>
        <w:t>دام عزه</w:t>
      </w:r>
      <w:r>
        <w:rPr>
          <w:rtl w:val="true"/>
        </w:rPr>
        <w:t>)</w:t>
      </w:r>
      <w:bookmarkEnd w:id="383"/>
    </w:p>
    <w:p>
      <w:pPr>
        <w:pStyle w:val="Heading3"/>
        <w:numPr>
          <w:ilvl w:val="2"/>
          <w:numId w:val="1"/>
        </w:numPr>
        <w:rPr/>
      </w:pPr>
      <w:bookmarkStart w:id="384" w:name="__RefHeading___Toc2465150_2870459653"/>
      <w:bookmarkStart w:id="385" w:name="_Toc147"/>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إذا كان النزاع في مسألة البراءة قد حُسم تقريباً لصالح القائلين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لا زال جارٍ بينهم حول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بعض الأدلة عليها باتت شبه متفق عليها فإنَّ الكلام لا زال على أشدّه في البعض الآخر بين النافين والمثبتين 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الأدلّة التي وقع البحث في تماميتها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محاولة لتسليط الضوء على ما جرى من البحث حوله بين الأصوليين</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9067_79797"/>
      <w:bookmarkStart w:id="387" w:name="pg9067_79797"/>
      <w:bookmarkEnd w:id="387"/>
    </w:p>
    <w:p>
      <w:pPr>
        <w:pStyle w:val="BookText"/>
        <w:rPr/>
      </w:pPr>
      <w:bookmarkStart w:id="388" w:name="pg9067_79797"/>
      <w:bookmarkEnd w:id="388"/>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2465152_2870459653"/>
      <w:bookmarkStart w:id="390" w:name="_Toc148"/>
      <w:bookmarkEnd w:id="389"/>
      <w:r>
        <w:rPr>
          <w:rtl w:val="true"/>
        </w:rPr>
        <w:t>مقدمة</w:t>
      </w:r>
      <w:bookmarkEnd w:id="390"/>
    </w:p>
    <w:p>
      <w:pPr>
        <w:pStyle w:val="BookText"/>
        <w:rPr/>
      </w:pPr>
      <w:r>
        <w:rPr>
          <w:rFonts w:ascii="Amiri" w:hAnsi="Amiri" w:eastAsia="Amiri" w:cs="Amiri"/>
          <w:color w:val="111111"/>
          <w:sz w:val="28"/>
          <w:sz w:val="28"/>
          <w:szCs w:val="28"/>
          <w:rtl w:val="true"/>
          <w:lang w:bidi="ar-SA"/>
        </w:rPr>
        <w:t>اختلفت كلمات الأصحاب حول حديث الحجب لفظاً وسنداً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رواه مشتملا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رواه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رواه مزيدا 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منهم من ذهب إلى تماميته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عدّه ساقطا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ذهب إلى عَدِّه من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خير ما يُستدل به عليها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بعض آخر أجنبيا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يقع في مقامات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الحديث</w:t>
      </w:r>
      <w:r>
        <w:rPr>
          <w:rFonts w:eastAsia="Amiri" w:cs="Amiri" w:ascii="Amiri" w:hAnsi="Amiri"/>
          <w:color w:val="111111"/>
          <w:sz w:val="28"/>
          <w:szCs w:val="28"/>
          <w:rtl w:val="true"/>
          <w:lang w:bidi="ar-SA"/>
        </w:rPr>
        <w:t xml:space="preserve">. </w:t>
      </w:r>
      <w:bookmarkStart w:id="391" w:name="pg9067_79798"/>
    </w:p>
    <w:p>
      <w:pPr>
        <w:pStyle w:val="Heading3"/>
        <w:numPr>
          <w:ilvl w:val="2"/>
          <w:numId w:val="1"/>
        </w:numPr>
        <w:rPr/>
      </w:pPr>
      <w:bookmarkStart w:id="392" w:name="__RefHeading___Toc2465154_2870459653"/>
      <w:bookmarkStart w:id="393" w:name="_Toc149"/>
      <w:bookmarkEnd w:id="391"/>
      <w:bookmarkEnd w:id="392"/>
      <w:r>
        <w:rPr>
          <w:rtl w:val="true"/>
        </w:rPr>
        <w:t>المقام الأول</w:t>
      </w:r>
      <w:r>
        <w:rPr>
          <w:rtl w:val="true"/>
        </w:rPr>
        <w:t xml:space="preserve">: </w:t>
      </w:r>
      <w:r>
        <w:rPr>
          <w:rtl w:val="true"/>
        </w:rPr>
        <w:t>لفظ الحديث</w:t>
      </w:r>
      <w:bookmarkEnd w:id="393"/>
    </w:p>
    <w:p>
      <w:pPr>
        <w:pStyle w:val="Heading4"/>
        <w:numPr>
          <w:ilvl w:val="3"/>
          <w:numId w:val="1"/>
        </w:numPr>
        <w:rPr/>
      </w:pPr>
      <w:bookmarkStart w:id="394" w:name="__RefHeading___Toc2465156_2870459653"/>
      <w:bookmarkStart w:id="395" w:name="_Toc150"/>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ورد الحديث في كتب الأصحاب الحديثية والفقهية والعقائدية بألفاظ ثلاث</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2465158_2870459653"/>
      <w:bookmarkStart w:id="397" w:name="_Toc151"/>
      <w:bookmarkEnd w:id="396"/>
      <w:r>
        <w:rPr>
          <w:rtl w:val="true"/>
        </w:rPr>
        <w:t>اللفظ الأول</w:t>
      </w:r>
      <w:bookmarkEnd w:id="397"/>
    </w:p>
    <w:p>
      <w:pPr>
        <w:pStyle w:val="BookText"/>
        <w:rPr/>
      </w:pP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عن أبيه عن أحمد بن محمد بن عيسى عن ابن فضال عن داود بن فرقد عن أبي الحسن زكريا بن يحيى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 بهذا اللفظ في اعتقاداته</w:t>
      </w:r>
      <w:r>
        <w:rPr>
          <w:rStyle w:val="FootnoteAnchor"/>
          <w:rtl w:val="true"/>
        </w:rPr>
        <w:footnoteReference w:id="314"/>
      </w:r>
      <w:r>
        <w:rPr>
          <w:rFonts w:ascii="IRNazanin" w:hAnsi="IRNazanin" w:eastAsia="IRNazanin"/>
          <w:color w:val="111111"/>
          <w:sz w:val="28"/>
          <w:sz w:val="28"/>
          <w:szCs w:val="28"/>
          <w:rtl w:val="true"/>
          <w:lang w:bidi="fa-IR"/>
        </w:rPr>
        <w:t xml:space="preserve">مرسلا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ونقله عنه بهذا اللفظ غير واحد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الأصيلة</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w:t>
      </w:r>
      <w:r>
        <w:rPr>
          <w:rStyle w:val="FootnoteAnchor"/>
          <w:rtl w:val="true"/>
        </w:rPr>
        <w:footnoteReference w:id="316"/>
      </w:r>
      <w:r>
        <w:rPr>
          <w:rFonts w:ascii="Amiri" w:hAnsi="Amiri" w:eastAsia="Amiri" w:cs="Amiri"/>
          <w:color w:val="111111"/>
          <w:sz w:val="28"/>
          <w:sz w:val="28"/>
          <w:szCs w:val="28"/>
          <w:rtl w:val="true"/>
          <w:lang w:bidi="ar-SA"/>
        </w:rPr>
        <w:t>وفي الفصول المهمة في أصول الأئمة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نقله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فصوله أيضاً عن الكافي بهذا اللفظ بقرينة الحديثين السابقين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نقلهما عن الكليني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بعد نقل حديث التوحيد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الكليني في الكافي عن محمد بن يحيى</w:t>
      </w:r>
      <w:r>
        <w:rPr>
          <w:rFonts w:eastAsia="Amiri" w:cs="Amiri" w:ascii="Amiri" w:hAnsi="Amiri"/>
          <w:color w:val="111111"/>
          <w:sz w:val="28"/>
          <w:szCs w:val="28"/>
          <w:rtl w:val="true"/>
          <w:lang w:bidi="ar-SA"/>
        </w:rPr>
        <w:t xml:space="preserve">). </w:t>
      </w:r>
      <w:bookmarkStart w:id="398" w:name="pg9067_79799"/>
    </w:p>
    <w:p>
      <w:pPr>
        <w:pStyle w:val="BookText"/>
        <w:rPr/>
      </w:pPr>
      <w:bookmarkEnd w:id="398"/>
      <w:r>
        <w:rPr>
          <w:rFonts w:ascii="Amiri" w:hAnsi="Amiri" w:eastAsia="Amiri" w:cs="Amiri"/>
          <w:color w:val="111111"/>
          <w:sz w:val="28"/>
          <w:sz w:val="28"/>
          <w:szCs w:val="28"/>
          <w:rtl w:val="true"/>
          <w:lang w:bidi="ar-SA"/>
        </w:rPr>
        <w:t>ولكن لم نجده بهذا اللفظ في ما راجعناه من نسخ الكافي المطبوعة والمخطوطة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ينبّه عليه محققوا الكافي في طبعته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نقله عن التوحيد الفاضل التوني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في باب التعريف والحجة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عن أحمد بن محمد بن عيسى عن ابن فضال عن داود بن فرقد عن أبي الحسن زكريا بن يحيى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وساق الحديث متضمنا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في سند الحديث سقطا؛ لأن أحمد محمد بن يحيى العطار مضافاً إلى أنه لا يروي عن أحمد بن محمد بن عيسى مباشرة فقد روى هذا الحديث عن أبيه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بعد أن نقل حديث التوحيد بلفظه المذكور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في الكافي في باب حجج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تنبيه على اختلاف اللفظ</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2465160_2870459653"/>
      <w:bookmarkStart w:id="400" w:name="_Toc152"/>
      <w:bookmarkEnd w:id="399"/>
      <w:r>
        <w:rPr>
          <w:rtl w:val="true"/>
        </w:rPr>
        <w:t>اللفظ الثاني</w:t>
      </w:r>
      <w:bookmarkEnd w:id="400"/>
    </w:p>
    <w:p>
      <w:pPr>
        <w:pStyle w:val="BookText"/>
        <w:rPr/>
      </w:pPr>
      <w:r>
        <w:rPr>
          <w:rFonts w:ascii="IRNazanin" w:hAnsi="IRNazanin" w:eastAsia="IRNazanin"/>
          <w:color w:val="111111"/>
          <w:sz w:val="28"/>
          <w:sz w:val="28"/>
          <w:szCs w:val="28"/>
          <w:rtl w:val="true"/>
          <w:lang w:bidi="fa-IR"/>
        </w:rPr>
        <w:t xml:space="preserve">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 غير مشتمل على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العطار أحمد بن محمد بن عيسى عن ابن فضال عن داود بن فرقد عن أبي الحسن زكريا بن يحيى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عن العباد فهو موضوع عنهم</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2465162_2870459653"/>
      <w:bookmarkStart w:id="402" w:name="_Toc153"/>
      <w:bookmarkEnd w:id="401"/>
      <w:r>
        <w:rPr>
          <w:rtl w:val="true"/>
        </w:rPr>
        <w:t>اللفظ الثالث</w:t>
      </w:r>
      <w:bookmarkEnd w:id="40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في تحف العقول مزيدا في صدره وذيله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ومجردا عن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حجب الله عن العباد فهو موضوع عنهم حتى يُعرفهموه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ما عثرنا عليه من لفظ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هما الصيغتان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مصدر الصيغة الثالثة من إرسال، والبحث فيهما يقع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ما نقلاه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حديث واحد أم حديثان؟</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كونهما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حصلت زيادة في رواية التوحيد أم أن هناك سقطا في رواية الكافي ؟</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اللفظين حديث واحد وذلك لوحدة السند ابتداء من محمد بن يحيى العطار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وتطابقُ الألفاظ تماما لولا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التنبيه من قبل نقلة الحديث على ذلك مع وصوله إليهم، ولم أقف على من قال إنهما حديثان إلا ما حكاه البعض</w:t>
      </w:r>
      <w:r>
        <w:rPr>
          <w:rStyle w:val="FootnoteAnchor"/>
          <w:rtl w:val="true"/>
        </w:rPr>
        <w:footnoteReference w:id="321"/>
      </w:r>
      <w:r>
        <w:rPr>
          <w:rFonts w:ascii="Amiri" w:hAnsi="Amiri" w:eastAsia="Amiri" w:cs="Amiri"/>
          <w:color w:val="111111"/>
          <w:sz w:val="28"/>
          <w:sz w:val="28"/>
          <w:szCs w:val="28"/>
          <w:rtl w:val="true"/>
          <w:lang w:bidi="ar-SA"/>
        </w:rPr>
        <w:t>عن ضوابط الأصول من غير أن يذكر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جهة وجود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 دون الأخر وليس ذلك مما يوجب القول بالتعدد مع جميع هذه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ترجيح أحد الأحتمالين على الأخر لا بد أولاً من معرفة مصدر الخلل، والمقبول من الاحتمالات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سقطت من قلم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أضافها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شيخه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أكثر من شيخ إجازه بل كان له أثر حقيقي في وصول الحديث الى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سياتي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بترجيح نقل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تقديم أصالة عدم الزيادة على أصالة عدم النقيصة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ليس من موارد الأصل المذكور على ما يتحصل من كلمات جملة من الأعلام في موارد متفرقة حتى لو تم الأصل المذكور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الأصول المقررة عند العقلاء أصالة عدم الغفلة في القول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الأنسان إذا قال شيئا أو فعل شيئا فإنه لا يلتفت الى احتمال صدوره منه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يبنى على أن يكون قد قاله أو فعله عن قصد والتفات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هذا الأصل أن الغفلة والسهو في الفعل والقول خلاف طبيعة الإنسان، إذ الإنسان بطبعه يفعل ما يفعل عن التفات، ويقول ما يقول عن التفات، ولذا استقر البناء من العقلاء على عدم الإعتناء باحتمال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أصلان يرجعان الى هذا الأصل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الزيادة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النقيصة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الزيادة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الأول احتمال وجود نقص في النقل دون احتمال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الثاني احتمال وجود زيادة في النقل دون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يحصل أحيانا ورود كلا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الزيادة أو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اختلف النقل في الزيادة والنقيصة مع وحدة المنقول بحيث يحرز خطا أحد النقلين وأن أحدهما هو الواقع دون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التسالم على تقدم أصالة عدم الزيادة على أصالة عدم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النقل المشتمل على الزيادة على الآخر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 بعد كون الأصول المتقدمة أصول عقلائية لا تعبد فيها وإنما منشؤها نكتة 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استبعاد الغفلة والسهو وغلبة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يُقدّم ينبغي أن يكون هو الأبعد وقوعا من جهة الغفلة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العبرة بحصول الوثوق </w:t>
      </w:r>
    </w:p>
    <w:p>
      <w:pPr>
        <w:pStyle w:val="BookText"/>
        <w:rPr/>
      </w:pPr>
      <w:r>
        <w:rPr>
          <w:rFonts w:ascii="Amiri" w:hAnsi="Amiri" w:eastAsia="Amiri" w:cs="Amiri"/>
          <w:color w:val="111111"/>
          <w:sz w:val="28"/>
          <w:sz w:val="28"/>
          <w:szCs w:val="28"/>
          <w:rtl w:val="true"/>
          <w:lang w:bidi="ar-SA"/>
        </w:rPr>
        <w:t>بأحد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بالأصل المذكور مع كون احتمال النقيصة معتدا به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الوثوق بعدم الزيادة يتوقف على أمور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شخصية القضية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تارة تحرز شخصية القضية المختلف في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يحتمل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اذا كان أحد الكلامين صدر في قضية والأخر صدر في قضية أخرى ومورد الأصل هو الأول دون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لم تكن القضية واحدة أمكن أن يتعدد المروي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مع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ادعي ذلك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أساس أنه تكرر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من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فلا تنافي بين ما يشتمل على الزيادة وما لا يشتمل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الزيادة جملة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حذفها على معنى الرواية وإنْ كان مؤثرا على عموم المعنى وشموله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الزائد بمثابة العلّة للمذكور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اشتمل على العلّة والمُعلَّل لا ينافي ما اشتمل على المعلَّل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 بها الحكم في قضية سمرة مثلا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حذفها مؤثرا على معنى بقية الرواية، لكنه مؤثر على عموم المعنى المعلَّل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لاتنافي بين ماتضمن ذكر العلّة والآخر الخالي عن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كانت الزيادة معنى إضافيا لا ربط له بالمعنى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قال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يستحب في ليلة الجمعة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دعاء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شخص المقطع الأول دون أن يكون لكلامه إطلاق مقامي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الأخر تمام الكلام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المقام خصوصية تقضتي زيادة احتمال الغفلة من جهة الزيادة، لأن منشأ حجية هذين الأصلين في حد أنفسهما ليس تعبديا صرفا كما عرفت، </w:t>
      </w:r>
    </w:p>
    <w:p>
      <w:pPr>
        <w:pStyle w:val="BookText"/>
        <w:rPr/>
      </w:pPr>
      <w:r>
        <w:rPr>
          <w:rFonts w:ascii="Amiri" w:hAnsi="Amiri" w:eastAsia="Amiri" w:cs="Amiri"/>
          <w:color w:val="111111"/>
          <w:sz w:val="28"/>
          <w:sz w:val="28"/>
          <w:szCs w:val="28"/>
          <w:rtl w:val="true"/>
          <w:lang w:bidi="ar-SA"/>
        </w:rPr>
        <w:t>بل هو من باب بناء العقلاء وأبعدية الغفلة من جهة الزيادة بالنسبة الى الغفلة من جهة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الخصوصيات التي تقتضي ذلك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الزيادة من المعاني المأنوسة والأمور المألوفة لسبب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كارتكاز الأشباه والنظائر مما يقرب احتمال الوقوع في الغفلة، مثلا قد تكون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ارتكازية نظائره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الأسلام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مناجشة في الأسلام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اخصاء في الأسلام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الزيادة من المعاني القريبة من الأذهان بحسب مناسبات الحكم والموضوع الأرتكازية، بحيث ينساق إليها الذهن عند التلقي ثم انعكاسها في مقام النقل فان مثل هذه الزيادة لا يكون احتمال خطأ الراوي في نقلها أبعد من احتمال خطأ الراوي الأخر في ترك نقلها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الراوي من جانب النقيصة مع وحدة الراوي من جانب الزيادة، لأن غفلة المتعدد أبعد من غفلة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حضر ثلاثة اشخاص مجلس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ونقلوا جميعا كلاما واحداً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اثنين منهم نقلوه بلا زيادة والثالث نقله مع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احتمال غفلة الإثنين عن النقيصة أبعد عن احتمال غفلة الواحد عن الزيادة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التعدد الطولي للنقل في جانب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اذا حضر شخصان مجلس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أحدهما لنا مباشرة كلاماً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لنا شخص عن آخر عمّن حضر ذلك المجلس الكلام نفسه مع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التعدد الطولي في النقل يزيد من احتمال الغفلة خلافا للنقل المباشر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الراويين أضبط من الآخر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غفلته أبعد </w:t>
      </w:r>
    </w:p>
    <w:p>
      <w:pPr>
        <w:pStyle w:val="BookText"/>
        <w:rPr/>
      </w:pPr>
      <w:r>
        <w:rPr>
          <w:rFonts w:ascii="Amiri" w:hAnsi="Amiri" w:eastAsia="Amiri" w:cs="Amiri"/>
          <w:color w:val="111111"/>
          <w:sz w:val="28"/>
          <w:sz w:val="28"/>
          <w:szCs w:val="28"/>
          <w:rtl w:val="true"/>
          <w:lang w:bidi="ar-SA"/>
        </w:rPr>
        <w:t>من غفلة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المعروف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أضبط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يحصل الوثوق بأصالة عدم الزيادة في نقل الشيخ لتقدّم على أصالة عدم النقيصة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معه يحتمل أن تكون الزيادة عن عمد من الناقل تفصيلا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تكون النقيصة إجمالاً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الزيادة في نقل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بأبعد عن الغفلة من احتمال النقيصة في نقل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لاجتماع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الطولي في النقل من جانب الزيادة يرفع من احتمال حصول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عن محمد بن يحيى العطار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بواسطة ابنه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ما عرف به من دقّة في النقل وضبط للأحاديث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بأحمد بن محمد بن يحيى الذي لم يعرف عنه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بوثاقته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وقياسا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 عنه من قوة الحافظة التي لاشك في اعتماده عليها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المورد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تقوي احتمال ذلك فإنها مقتضى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لعلها من دلالة الاقتضاء على أساس أن حجب الأحكام إنما يكون بحجب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قد يكون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هذا العنصر المقدّر في الكلام سهوا بسبب انعكاس انطباعه عن الحديث وفهمه له في مقام النقل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عدم ثبوت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 باختلاف نسخ الكافي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عين رواية التوحيد إلى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w:t>
      </w:r>
    </w:p>
    <w:p>
      <w:pPr>
        <w:pStyle w:val="BookText"/>
        <w:rPr/>
      </w:pPr>
      <w:r>
        <w:rPr>
          <w:rFonts w:ascii="Amiri" w:hAnsi="Amiri" w:eastAsia="Amiri" w:cs="Amiri"/>
          <w:color w:val="111111"/>
          <w:sz w:val="28"/>
          <w:sz w:val="28"/>
          <w:szCs w:val="28"/>
          <w:rtl w:val="true"/>
          <w:lang w:bidi="ar-SA"/>
        </w:rPr>
        <w:t>عبارته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باب التعريف والبيان 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 بعد ذكر تمام الرواية المتضمنة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وهذه الرواية في الكافي باب حجج الله على خلقه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الوسائل بعد نقل حديث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الكليني عن محمد بن يحيى عن أحمد بن محمد بن عيسى</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رواية الكافي عين رواية التوحيد وإلاّ 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في الفصول المهمة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أحمد بن محمد بن عيسى عن ابن فضال عن داود بن فرقد عن أبي الحسن زكريا بن يحيى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 أنه نقل الحديث الأول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الحديث الثاني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مما يدل بوضوح على أنه بصدد نقل رواية الكافي محل الكلام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الفاضل التوني وصاحب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بوضوح على ثبوت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نسختي الكافي التي اعتمدا عليها، واحتمال أن يكون مقصود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الحديث إجمالاً في الكافي أو أنه لم يلتفت الى خلوه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فلا يتم في نقل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له عن الكافي في اكثر من موضع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أن نقله عن الكافي بدون اللفظ المذكور غير صحيح كما في </w:t>
      </w:r>
    </w:p>
    <w:p>
      <w:pPr>
        <w:pStyle w:val="BookText"/>
        <w:rPr/>
      </w:pPr>
      <w:r>
        <w:rPr>
          <w:rFonts w:ascii="IRNazanin" w:hAnsi="IRNazanin" w:eastAsia="IRNazanin"/>
          <w:color w:val="111111"/>
          <w:sz w:val="28"/>
          <w:sz w:val="28"/>
          <w:szCs w:val="28"/>
          <w:rtl w:val="true"/>
          <w:lang w:bidi="fa-IR"/>
        </w:rPr>
        <w:t>فوائده</w:t>
      </w:r>
      <w:r>
        <w:rPr>
          <w:rStyle w:val="FootnoteAnchor"/>
          <w:rtl w:val="true"/>
        </w:rPr>
        <w:footnoteReference w:id="325"/>
      </w:r>
      <w:r>
        <w:rPr>
          <w:rFonts w:ascii="Amiri" w:hAnsi="Amiri" w:eastAsia="Amiri" w:cs="Amiri"/>
          <w:color w:val="111111"/>
          <w:sz w:val="28"/>
          <w:sz w:val="28"/>
          <w:szCs w:val="28"/>
          <w:rtl w:val="true"/>
          <w:lang w:bidi="ar-SA"/>
        </w:rPr>
        <w:t>في مقام الرد على من استدل بالحديث على 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كل هذا فإن عدم نقل أحد غير العلمين اللفظ المذكور عن الكافي بما فيهم بعض معاصريهم كالمولى المازنداني في شرحه</w:t>
      </w:r>
      <w:r>
        <w:rPr>
          <w:rStyle w:val="FootnoteAnchor"/>
          <w:rtl w:val="true"/>
        </w:rPr>
        <w:footnoteReference w:id="326"/>
      </w:r>
      <w:r>
        <w:rPr>
          <w:rFonts w:ascii="Amiri" w:hAnsi="Amiri" w:eastAsia="Amiri" w:cs="Amiri"/>
          <w:color w:val="111111"/>
          <w:sz w:val="28"/>
          <w:sz w:val="28"/>
          <w:szCs w:val="28"/>
          <w:rtl w:val="true"/>
          <w:lang w:bidi="ar-SA"/>
        </w:rPr>
        <w:t>والمولى رفيع الدين النائيني 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اللفظ المذكور في شيء من نسخ الكافي المتوفرة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ومطبوعة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ينبّه عليه في طبعة دار الحديث يوجب الوثوق بأن الصحيح ما في الكافي المطبوع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الكليني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في النص على الأرجح لو ثبت اختلاف نسخ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وثوق بثبوت اللفظ المذكور في متن الحديث</w:t>
      </w:r>
      <w:r>
        <w:rPr>
          <w:rFonts w:eastAsia="Amiri" w:cs="Amiri" w:ascii="Amiri" w:hAnsi="Amiri"/>
          <w:color w:val="111111"/>
          <w:sz w:val="28"/>
          <w:szCs w:val="28"/>
          <w:rtl w:val="true"/>
          <w:lang w:bidi="ar-SA"/>
        </w:rPr>
        <w:t xml:space="preserve">. </w:t>
      </w:r>
      <w:bookmarkStart w:id="403" w:name="pg9067_79807"/>
    </w:p>
    <w:p>
      <w:pPr>
        <w:pStyle w:val="Heading3"/>
        <w:numPr>
          <w:ilvl w:val="2"/>
          <w:numId w:val="1"/>
        </w:numPr>
        <w:rPr/>
      </w:pPr>
      <w:bookmarkStart w:id="404" w:name="__RefHeading___Toc2465164_2870459653"/>
      <w:bookmarkStart w:id="405" w:name="_Toc154"/>
      <w:bookmarkEnd w:id="403"/>
      <w:bookmarkEnd w:id="404"/>
      <w:r>
        <w:rPr>
          <w:rtl w:val="true"/>
        </w:rPr>
        <w:t>المقام الثاني</w:t>
      </w:r>
      <w:r>
        <w:rPr>
          <w:rtl w:val="true"/>
        </w:rPr>
        <w:t xml:space="preserve">: </w:t>
      </w:r>
      <w:r>
        <w:rPr>
          <w:rtl w:val="true"/>
        </w:rPr>
        <w:t>سند الحديث</w:t>
      </w:r>
      <w:bookmarkEnd w:id="405"/>
    </w:p>
    <w:p>
      <w:pPr>
        <w:pStyle w:val="Heading4"/>
        <w:numPr>
          <w:ilvl w:val="3"/>
          <w:numId w:val="1"/>
        </w:numPr>
        <w:rPr/>
      </w:pPr>
      <w:bookmarkStart w:id="406" w:name="__RefHeading___Toc2465166_2870459653"/>
      <w:bookmarkStart w:id="407" w:name="_Toc155"/>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وأمّا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فرجال السند هم</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2465168_2870459653"/>
      <w:bookmarkStart w:id="409" w:name="_Toc156"/>
      <w:bookmarkEnd w:id="408"/>
      <w:r>
        <w:rPr/>
        <w:t>1</w:t>
      </w:r>
      <w:r>
        <w:rPr>
          <w:rtl w:val="true"/>
        </w:rPr>
        <w:t xml:space="preserve">- </w:t>
      </w:r>
      <w:r>
        <w:rPr>
          <w:rtl w:val="true"/>
        </w:rPr>
        <w:t>أحمد بن محمد بن يحيى العطار</w:t>
      </w:r>
      <w:bookmarkEnd w:id="409"/>
    </w:p>
    <w:p>
      <w:pPr>
        <w:pStyle w:val="BookText"/>
        <w:rPr/>
      </w:pPr>
      <w:r>
        <w:rPr>
          <w:rFonts w:ascii="Amiri" w:hAnsi="Amiri" w:eastAsia="Amiri" w:cs="Amiri"/>
          <w:color w:val="111111"/>
          <w:sz w:val="28"/>
          <w:sz w:val="28"/>
          <w:szCs w:val="28"/>
          <w:rtl w:val="true"/>
          <w:lang w:bidi="ar-SA"/>
        </w:rPr>
        <w:t>وهو محل بحث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الأكثر على ما في المعجم</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لم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يصحح الاعتماد على الحديث من جهته وإنْ لم تثبت وثاقته على أساس ما ذكره بعض أساتيذنا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مناسك الحج في مقام تصحيح طريق الشيخ الى كتاب أحمد بن محمد بن عيسى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يحيى العطار وإن لم يوثّق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أنه كان من شيوخ الإجازة الذين ليس لهم دور حقيقي في نقل الروايات، وإنما دوره شكلي محض، لئلا تنقطع سلسلة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عدم إثبات وثاقته بالاعتماد على الرواية المنقولة عن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وإن كان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في شيخوخة الإجازة بالنحو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الاستغناء عن وثاقة شيخ الإجازة بشرطين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شيخ الإجازة صاحب كتاب يحتمل اشتماله على الأحاديث </w:t>
      </w:r>
    </w:p>
    <w:p>
      <w:pPr>
        <w:pStyle w:val="BookText"/>
        <w:rPr/>
      </w:pPr>
      <w:r>
        <w:rPr>
          <w:rFonts w:ascii="Amiri" w:hAnsi="Amiri" w:eastAsia="Amiri" w:cs="Amiri"/>
          <w:color w:val="111111"/>
          <w:sz w:val="28"/>
          <w:sz w:val="28"/>
          <w:szCs w:val="28"/>
          <w:rtl w:val="true"/>
          <w:lang w:bidi="ar-SA"/>
        </w:rPr>
        <w:t>المروية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كتابه في العقيدة مثلا وروى أحاديث في الفروع عن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لايحتمل أن تكون تلك الأحاديث من كتابه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 الكتاب بالإجازة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ونسخه كثيرة التداول بحيث</w:t>
      </w:r>
    </w:p>
    <w:p>
      <w:pPr>
        <w:pStyle w:val="BookText"/>
        <w:rPr/>
      </w:pPr>
      <w:r>
        <w:rPr>
          <w:rFonts w:ascii="Amiri" w:hAnsi="Amiri" w:eastAsia="Amiri" w:cs="Amiri"/>
          <w:color w:val="111111"/>
          <w:sz w:val="28"/>
          <w:sz w:val="28"/>
          <w:szCs w:val="28"/>
          <w:rtl w:val="true"/>
          <w:lang w:bidi="ar-SA"/>
        </w:rPr>
        <w:t>يضعف احتمال الدس في النسخة الواصلة للراوي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بين الموردين فرقاً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لو تمَّ هذا الوجه في نفسه فإنّه لا ينفع في الاعتماد على روايات أحمد بن محمد بن يحيى العطار في ما نحن فيه ونظائره حتى مع مراعاة هذين الشرطين؛ وذلك لأن الرجل لم يكن مجرد شيخ إجازة بالنسبة الى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له أثر حقيقي في وصول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يبدأ النقل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الحديث المبحوث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تكرر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 بن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 بن محمد بن يحيى العطار قال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الموارد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المذكور ظاهر عرفا في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استعمالها عند أهل الفن في التلقي عنه بطريق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عدّها بعضهم أقوى دلالة على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علماء الدراية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بتلقيه عنه عن طريق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هذا الخبر بغير هذا اللفظ إلا أن مسموعي ما قد </w:t>
      </w:r>
    </w:p>
    <w:p>
      <w:pPr>
        <w:pStyle w:val="BookText"/>
        <w:rPr/>
      </w:pPr>
      <w:r>
        <w:rPr>
          <w:rFonts w:ascii="Amiri" w:hAnsi="Amiri" w:eastAsia="Amiri" w:cs="Amiri"/>
          <w:color w:val="111111"/>
          <w:sz w:val="28"/>
          <w:sz w:val="28"/>
          <w:szCs w:val="28"/>
          <w:rtl w:val="true"/>
          <w:lang w:bidi="ar-SA"/>
        </w:rPr>
        <w:t>ذكرته</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التلقي عن طريق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للرجل دور حقيقي في روايات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دوره شكلي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الظن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لا يمكن أن نحرز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نحن فيه أخذ الحديث من كتاب مشهور كثير النسخ بحيث يضعف حصول الدس فيه مع أن جميع المذكورين في السند أصحاب كتب يحتمل ورود الحديث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كنوادر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ونوادر أحمد بن محمد بن عيسى وتوحيده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داوود بن فرقد الذي نجهل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إذاً من البحث عن وثاقة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ما يستدل به على وثاقته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الترضي من مثل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شخص آية الجلالة والوثاقة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عند البحث عن وثاقة عبد الواحد بن محمد بن عبدوس النيشابوري العطار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أراه تامّا منها – اي من طرق توثيقه – هو أن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ترضى عليه في بعض المواضع 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الترضي في كلمات القدماء كان مختصا بحق العظماء والأجلاء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كان بحسب مدلوله اللغوي دعاء ولكنه تحوّل الى لفظ تعظيم وتكريم في لسان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 ذلك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لا يطلق عند عموم المسلمين إلا في 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يطلق عندنا إلا في حق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يدانيهم في الرتبة كالعباس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الشهداء وإن كانت بحسب المدلول اللغوي لا تحمل هذه الخصوصية</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410" w:name="pg9067_79810"/>
    </w:p>
    <w:p>
      <w:pPr>
        <w:pStyle w:val="BookText"/>
        <w:rPr/>
      </w:pPr>
      <w:bookmarkEnd w:id="410"/>
      <w:r>
        <w:rPr>
          <w:rFonts w:ascii="Amiri" w:hAnsi="Amiri" w:eastAsia="Amiri" w:cs="Amiri"/>
          <w:color w:val="111111"/>
          <w:sz w:val="28"/>
          <w:sz w:val="28"/>
          <w:szCs w:val="28"/>
          <w:rtl w:val="true"/>
          <w:lang w:bidi="ar-SA"/>
        </w:rPr>
        <w:t>وقد ترضى الصدوق على أحمد بن محمد بن يحيى العطار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عند نقل هذا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الى أمية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الى عمرو بن سعيد الساباطي</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البحث عن وثاقة أحمد بن محمد بن يحيى يمكن الاستغناء عنه في ما نحن فيه بطريق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Heading4"/>
        <w:numPr>
          <w:ilvl w:val="3"/>
          <w:numId w:val="1"/>
        </w:numPr>
        <w:rPr/>
      </w:pPr>
      <w:bookmarkStart w:id="411" w:name="__RefHeading___Toc2465170_2870459653"/>
      <w:bookmarkStart w:id="412" w:name="_Toc157"/>
      <w:bookmarkEnd w:id="411"/>
      <w:r>
        <w:rPr/>
        <w:t>2</w:t>
      </w:r>
      <w:r>
        <w:rPr>
          <w:rtl w:val="true"/>
        </w:rPr>
        <w:t xml:space="preserve"> - </w:t>
      </w:r>
      <w:r>
        <w:rPr>
          <w:rtl w:val="true"/>
        </w:rPr>
        <w:t>محمد بن يحيى العطار</w:t>
      </w:r>
      <w:bookmarkEnd w:id="412"/>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أبو جعفر العطار القمي شيخ أصحابنا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النوادر</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الرجال في من لم يروِ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العطار روى عنه الكليني قمي كثير الرواية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2465172_2870459653"/>
      <w:bookmarkStart w:id="414" w:name="_Toc158"/>
      <w:bookmarkEnd w:id="413"/>
      <w:r>
        <w:rPr/>
        <w:t>3</w:t>
      </w:r>
      <w:r>
        <w:rPr>
          <w:rtl w:val="true"/>
        </w:rPr>
        <w:t xml:space="preserve"> - </w:t>
      </w:r>
      <w:r>
        <w:rPr>
          <w:rtl w:val="true"/>
        </w:rPr>
        <w:t>أحمد بن محمد بن عيسى</w:t>
      </w:r>
      <w:bookmarkEnd w:id="41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نوح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رحمه الله شيخ القميين ووجههم وفقيههم غير مدافع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غير مبوب فبوّبه داود بن كورة </w:t>
      </w:r>
      <w:r>
        <w:rPr>
          <w:rFonts w:eastAsia="IRNazanin" w:cs="IRNazanin"/>
          <w:color w:val="111111"/>
          <w:sz w:val="28"/>
          <w:szCs w:val="28"/>
          <w:rtl w:val="true"/>
          <w:lang w:bidi="fa-IR"/>
        </w:rPr>
        <w:t xml:space="preserve">-, </w:t>
      </w:r>
      <w:bookmarkStart w:id="415" w:name="pg9067_79811"/>
    </w:p>
    <w:p>
      <w:pPr>
        <w:pStyle w:val="BookText"/>
        <w:rPr/>
      </w:pPr>
      <w:bookmarkEnd w:id="415"/>
      <w:r>
        <w:rPr>
          <w:rFonts w:ascii="Amiri" w:hAnsi="Amiri" w:eastAsia="Amiri" w:cs="Amiri"/>
          <w:color w:val="111111"/>
          <w:sz w:val="28"/>
          <w:sz w:val="28"/>
          <w:szCs w:val="28"/>
          <w:rtl w:val="true"/>
          <w:lang w:bidi="ar-SA"/>
        </w:rPr>
        <w:t>كتاب 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له عند الدبيلي كتابا في الحج</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عيسى الأشعري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جعفر هذا شيخ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أيضاً الرئيس الذي يلقى السلطان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ولقي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كتبا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غير مبوب فبوّبه داود بن 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الناسخ والمنسوخ</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2465174_2870459653"/>
      <w:bookmarkStart w:id="417" w:name="_Toc159"/>
      <w:bookmarkEnd w:id="416"/>
      <w:r>
        <w:rPr/>
        <w:t>4</w:t>
      </w:r>
      <w:r>
        <w:rPr>
          <w:rtl w:val="true"/>
        </w:rPr>
        <w:t xml:space="preserve"> - </w:t>
      </w:r>
      <w:r>
        <w:rPr>
          <w:rtl w:val="true"/>
        </w:rPr>
        <w:t>ابن فضال</w:t>
      </w:r>
      <w:bookmarkEnd w:id="417"/>
    </w:p>
    <w:p>
      <w:pPr>
        <w:pStyle w:val="BookText"/>
        <w:rPr/>
      </w:pPr>
      <w:r>
        <w:rPr>
          <w:rFonts w:ascii="Amiri" w:hAnsi="Amiri" w:eastAsia="Amiri" w:cs="Amiri"/>
          <w:color w:val="111111"/>
          <w:sz w:val="28"/>
          <w:sz w:val="28"/>
          <w:szCs w:val="28"/>
          <w:rtl w:val="true"/>
          <w:lang w:bidi="ar-SA"/>
        </w:rPr>
        <w:t>وهو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رواية أحمد بن محمد بن عيسى عنه وروايته عن داود بن فرقد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418" w:name="pg9067_79812"/>
    </w:p>
    <w:p>
      <w:pPr>
        <w:pStyle w:val="Heading4"/>
        <w:numPr>
          <w:ilvl w:val="3"/>
          <w:numId w:val="1"/>
        </w:numPr>
        <w:rPr/>
      </w:pPr>
      <w:bookmarkStart w:id="419" w:name="__RefHeading___Toc2465176_2870459653"/>
      <w:bookmarkStart w:id="420" w:name="_Toc160"/>
      <w:bookmarkEnd w:id="418"/>
      <w:bookmarkEnd w:id="419"/>
      <w:r>
        <w:rPr/>
        <w:t>5</w:t>
      </w:r>
      <w:r>
        <w:rPr>
          <w:rtl w:val="true"/>
        </w:rPr>
        <w:t xml:space="preserve">- </w:t>
      </w:r>
      <w:r>
        <w:rPr>
          <w:rtl w:val="true"/>
        </w:rPr>
        <w:t>داود بن فرقد</w:t>
      </w:r>
      <w:bookmarkEnd w:id="420"/>
    </w:p>
    <w:p>
      <w:pPr>
        <w:pStyle w:val="BookText"/>
        <w:rPr/>
      </w:pPr>
      <w:r>
        <w:rPr>
          <w:rFonts w:ascii="IRNazanin" w:hAnsi="IRNazanin" w:eastAsia="IRNazanin"/>
          <w:color w:val="111111"/>
          <w:sz w:val="28"/>
          <w:sz w:val="28"/>
          <w:szCs w:val="28"/>
          <w:rtl w:val="true"/>
          <w:lang w:bidi="fa-IR"/>
        </w:rPr>
        <w:t xml:space="preserve">قال عنه 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2465178_2870459653"/>
      <w:bookmarkStart w:id="422" w:name="_Toc161"/>
      <w:bookmarkEnd w:id="421"/>
      <w:r>
        <w:rPr/>
        <w:t>6</w:t>
      </w:r>
      <w:r>
        <w:rPr>
          <w:rtl w:val="true"/>
        </w:rPr>
        <w:t xml:space="preserve">- </w:t>
      </w:r>
      <w:r>
        <w:rPr>
          <w:rtl w:val="true"/>
        </w:rPr>
        <w:t>أبو الحسن زكريا بن يحيى</w:t>
      </w:r>
      <w:bookmarkEnd w:id="422"/>
    </w:p>
    <w:p>
      <w:pPr>
        <w:pStyle w:val="BookText"/>
        <w:rPr/>
      </w:pPr>
      <w:r>
        <w:rPr>
          <w:rFonts w:ascii="IRNazanin" w:hAnsi="IRNazanin" w:eastAsia="IRNazanin"/>
          <w:color w:val="111111"/>
          <w:sz w:val="28"/>
          <w:sz w:val="28"/>
          <w:szCs w:val="28"/>
          <w:rtl w:val="true"/>
          <w:lang w:bidi="fa-IR"/>
        </w:rPr>
        <w:t>وهذا الرجل هو نقطة الاشكال في سند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مشترك بين عدَّة أشخاص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منهم في من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 الكلابي الجعفري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المعجم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 الحضرمي الكوفي 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 وكان يحيى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 بن يحيى الواسطي</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ولم يوثق من المذكورين إلا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وثقه النجاشي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بن يحيى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نوح، له كتاب</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فقد حكم غير واحد بضعف السند؛ لاشتراك الرجل بين الثقة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وثقه صاحب جامع الرواة على أساس أنه الواسطي الثقة، إذ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بن يحيى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فرقد عن أبي الحسن زكريا بن يحيى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حجج الله على خلقه في أخر 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صالح عن زكريا بن يحيى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الفقاع</w:t>
      </w:r>
      <w:r>
        <w:rPr>
          <w:rFonts w:eastAsia="IRNazanin" w:cs="IRNazanin"/>
          <w:color w:val="111111"/>
          <w:sz w:val="28"/>
          <w:szCs w:val="28"/>
          <w:rtl w:val="true"/>
          <w:lang w:bidi="fa-IR"/>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يكشف عن سر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لم يذكر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وصف سند الحديث بأنَّه تام</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اشتراك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احتمل بعض أعلام تلامذته</w:t>
      </w:r>
      <w:r>
        <w:rPr>
          <w:rStyle w:val="FootnoteAnchor"/>
          <w:rtl w:val="true"/>
        </w:rPr>
        <w:footnoteReference w:id="346"/>
      </w:r>
      <w:r>
        <w:rPr>
          <w:rFonts w:ascii="Amiri" w:hAnsi="Amiri" w:eastAsia="Amiri" w:cs="Amiri"/>
          <w:color w:val="111111"/>
          <w:sz w:val="28"/>
          <w:sz w:val="28"/>
          <w:szCs w:val="28"/>
          <w:rtl w:val="true"/>
          <w:lang w:bidi="ar-SA"/>
        </w:rPr>
        <w:t xml:space="preserve">أنه على أساس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زكريا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زكريا بن يحيى التميمي أوالواسطي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ناقش فيه على أساس مانعية الكنية إذ لعل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لتمييزه من الواسطي والتميمي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دعوى الانصراف –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جهة زكريا بن يحيى التميمي فممنوعة جداً؛ لأنه ليس من الرواة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يروي عنه بوساطة مثل الحارث بن عمران</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بن محمد بن عبيد الله</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العلاء البجلي</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ويوسف بن يعقوب</w:t>
      </w:r>
      <w:r>
        <w:rPr>
          <w:rStyle w:val="FootnoteAnchor"/>
          <w:rtl w:val="true"/>
        </w:rPr>
        <w:footnoteReference w:id="350"/>
      </w:r>
      <w:r>
        <w:rPr>
          <w:rFonts w:ascii="Amiri" w:hAnsi="Amiri" w:eastAsia="Amiri" w:cs="Amiri"/>
          <w:color w:val="111111"/>
          <w:sz w:val="28"/>
          <w:sz w:val="28"/>
          <w:szCs w:val="28"/>
          <w:rtl w:val="true"/>
          <w:lang w:bidi="ar-SA"/>
        </w:rPr>
        <w:t xml:space="preserve">بقرينة </w:t>
      </w:r>
    </w:p>
    <w:p>
      <w:pPr>
        <w:pStyle w:val="BookText"/>
        <w:rPr/>
      </w:pPr>
      <w:r>
        <w:rPr>
          <w:rFonts w:ascii="Amiri" w:hAnsi="Amiri" w:eastAsia="Amiri" w:cs="Amiri"/>
          <w:color w:val="111111"/>
          <w:sz w:val="28"/>
          <w:sz w:val="28"/>
          <w:szCs w:val="28"/>
          <w:rtl w:val="true"/>
          <w:lang w:bidi="ar-SA"/>
        </w:rPr>
        <w:t>رواية ايراهيم بن سليمان الخزاز عن زكريا بن يحيى عن المذكورين في كتبهم وزكريا بن يحيى الذي يروي عنه ابراهيم بن سليمان الخزاز هو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النجاشي في ترجمة زكريا بن يحيى التميمي</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فالرجل ممن لا يروي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يرو عن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مقتضي للانصراف إليه في المقام كي يتمسك بمانعية الكنية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دعوى الانصراف إلى الواسطي فقد يتأمل فيها بأن الرجل ليس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المشهورين بالرواية عنه كي تتم دعوى الأنصرف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الرجل ليس بمشهور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الأسانيد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كتب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أسانيد الروايات فإنه لم تعهد له أيَّة رواية في ما وصل الينا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وغاية ما يوهم ذلك موردان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السند تصحيفاً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الموافق لما في المحاسن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الصحيح كما يظهر من متابعة أسانيد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الرحمن عن حماد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فيه رواية أبي عبد الرحمن بن قتيبة بن مهران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زكريا وعن </w:t>
      </w:r>
    </w:p>
    <w:p>
      <w:pPr>
        <w:pStyle w:val="BookText"/>
        <w:rPr/>
      </w:pPr>
      <w:r>
        <w:rPr>
          <w:rFonts w:ascii="Amiri" w:hAnsi="Amiri" w:eastAsia="Amiri" w:cs="Amiri"/>
          <w:color w:val="111111"/>
          <w:sz w:val="28"/>
          <w:sz w:val="28"/>
          <w:szCs w:val="28"/>
          <w:rtl w:val="true"/>
          <w:lang w:bidi="ar-SA"/>
        </w:rPr>
        <w:t>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زكريا وعن قتيبة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زكريا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فالظاهر أن الراوي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حماد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والراوي عنه هو أبو عبد الرحمن قتيبة بن مهران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فصلّه صاحب المحاسن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اكتفى بالكنية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وبالاسم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يشهد له وحدة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محمد بن عيسى اليقطيني أو غيره في الجميع – والمروي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وقع الخلل تارة في الكافي إذْ ذكر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عن حماد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في الوسائل إذْ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حماد عن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الخلل حتى في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عبد الرحمن بن قتيبة بن مهران النخعي عن حماد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ذكر غير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عيسى أو غيره عن قتيبة بن مهران عن حماد بن زكريا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الراوي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حماد بن زكريا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أيضاً</w:t>
      </w:r>
      <w:r>
        <w:rPr>
          <w:rStyle w:val="FootnoteAnchor"/>
          <w:rtl w:val="true"/>
        </w:rPr>
        <w:footnoteReference w:id="3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الميثمي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بالسواك فإنه يجلو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دلالة فيه على أنه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كتب الرجال فلم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عبارة النجاشي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بن يحيى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نوح</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يظهر أن النجاشي لم يعثر على من عدّه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شيخه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الرجل مشهورا بحد يقتضي الإنصراف إليه لتكرر ذكره في كتب الرجال </w:t>
      </w:r>
    </w:p>
    <w:p>
      <w:pPr>
        <w:pStyle w:val="BookText"/>
        <w:rPr/>
      </w:pPr>
      <w:r>
        <w:rPr>
          <w:rFonts w:ascii="Amiri" w:hAnsi="Amiri" w:eastAsia="Amiri" w:cs="Amiri"/>
          <w:color w:val="111111"/>
          <w:sz w:val="28"/>
          <w:sz w:val="28"/>
          <w:szCs w:val="28"/>
          <w:rtl w:val="true"/>
          <w:lang w:bidi="ar-SA"/>
        </w:rPr>
        <w:t>أو ارسل ارسال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النجاشي بعد ذلك من أن له كتاباً وذكر طريقه اليه فهو لايقتضي أن يكون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 أن صاحب جامع الرواة كما حكم باتحاد أبي الحسن زكريا بن يحيى مع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أيضاً بانه زكريا بن يحيى الذي يروي عنه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زكريا بن يحيى الشعيري الراوي عن الحكم بن عيينة والذي روى عنه جميل بن دراج ولكن وقع فيه الكثير من 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في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في من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فالرجل هو زكريا بن يحيى الشعيري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يقرّب ما ذكره في جامع الرواة من أنه أبو الحسن زكريا بن يحيى على أساس أن أحمد بن الحسن الميثمي قد روى عن زكريا عن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الحديث المتقدم عن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روى عن أبي الحسن الشعيري في طريقه إلى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توحيد الصدوق</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وزكريا بن يحيى الشعيري من طبقة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روايته عن الحكم بن عيينه ورواية جميل بن دراج عنه كما في الفقيه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الوجه لا يزيد على كونه احتمالاً لا سبيل الى الاطمئنان به</w:t>
      </w:r>
      <w:r>
        <w:rPr>
          <w:rFonts w:eastAsia="Amiri" w:cs="Amiri" w:ascii="Amiri" w:hAnsi="Amiri"/>
          <w:color w:val="111111"/>
          <w:sz w:val="28"/>
          <w:szCs w:val="28"/>
          <w:rtl w:val="true"/>
          <w:lang w:bidi="ar-SA"/>
        </w:rPr>
        <w:t xml:space="preserve">. </w:t>
      </w:r>
      <w:bookmarkStart w:id="423" w:name="pg9067_79817"/>
    </w:p>
    <w:p>
      <w:pPr>
        <w:pStyle w:val="Heading3"/>
        <w:numPr>
          <w:ilvl w:val="2"/>
          <w:numId w:val="1"/>
        </w:numPr>
        <w:rPr/>
      </w:pPr>
      <w:bookmarkStart w:id="424" w:name="__RefHeading___Toc2465180_2870459653"/>
      <w:bookmarkStart w:id="425" w:name="_Toc162"/>
      <w:bookmarkEnd w:id="423"/>
      <w:bookmarkEnd w:id="424"/>
      <w:r>
        <w:rPr>
          <w:rtl w:val="true"/>
        </w:rPr>
        <w:t>المقام الثالث</w:t>
      </w:r>
      <w:r>
        <w:rPr>
          <w:rtl w:val="true"/>
        </w:rPr>
        <w:t xml:space="preserve">: </w:t>
      </w:r>
      <w:r>
        <w:rPr>
          <w:rtl w:val="true"/>
        </w:rPr>
        <w:t>دلالة الحديث</w:t>
      </w:r>
      <w:bookmarkEnd w:id="425"/>
    </w:p>
    <w:p>
      <w:pPr>
        <w:pStyle w:val="Heading4"/>
        <w:numPr>
          <w:ilvl w:val="3"/>
          <w:numId w:val="1"/>
        </w:numPr>
        <w:rPr/>
      </w:pPr>
      <w:bookmarkStart w:id="426" w:name="__RefHeading___Toc2465182_2870459653"/>
      <w:bookmarkStart w:id="427" w:name="_Toc163"/>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تقرب دلالة الحديث على البراءة عادة بأن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محجوبة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محجوبا عن العباد فهو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الحديث على نفي الكلفة ووجوب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الأيراد على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الاستدلال بالحديث على البراءة بما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وتبعه عليه غير واحد منهم المحقق الخراساني والمحقق النائيني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تقريرات بحثه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يبيّنه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بيّنه واختفى عليهم بمعصية من عصى الله تعالى في كتمان الحق وستره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فالرواية مساوقة لما ورد عن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حدّ حدودا فلا تعتدوها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فرائض فلا تعصوها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وسكت عن أشياء لم يسكت عنها نسيانا فلا تتكلفوها رحمة من الله لكم</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يصدق عليه أنه محجوب عنا على ثلاثة أقسام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الله تعالى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يطلع عليه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أنبيائه ورسله عليهم وعلى نبينا وآله أفضل الصلاة والسلام</w:t>
      </w:r>
      <w:r>
        <w:rPr>
          <w:rFonts w:eastAsia="Amiri" w:cs="Amiri" w:ascii="Amiri" w:hAnsi="Amiri"/>
          <w:color w:val="111111"/>
          <w:sz w:val="28"/>
          <w:szCs w:val="28"/>
          <w:rtl w:val="true"/>
          <w:lang w:bidi="ar-SA"/>
        </w:rPr>
        <w:t xml:space="preserve">. </w:t>
      </w:r>
      <w:bookmarkStart w:id="428" w:name="pg9067_79818"/>
    </w:p>
    <w:p>
      <w:pPr>
        <w:pStyle w:val="BookText"/>
        <w:rPr/>
      </w:pPr>
      <w:bookmarkEnd w:id="428"/>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أوحاه تعالى 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 يامره بتبليغه الى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خفي علينا بسبب ظلم الظالمين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ومقصود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تابعه أن الحديث ظاهر في القسم الأول وحده أو مع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ناظر الى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يكون في الحديث ما يدل على البراءة المتنازع عليها بين الأخباريين والأصوليين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محل الكلام بينهم هي الأحكام المحجوبة بعد بيانها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ظلم الظالمين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لم يؤمر ببيانه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تعبير المحقق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النزاع إنما هي الأحكام المجهولة التي نقطع بفعليتها على تقدير ثبوتها</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ومنشأ الظهور المدعى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تابعه عدّة أمور</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465184_2870459653"/>
      <w:bookmarkStart w:id="430" w:name="_Toc164"/>
      <w:bookmarkEnd w:id="429"/>
      <w:r>
        <w:rPr>
          <w:rtl w:val="true"/>
        </w:rPr>
        <w:t>الأمر الأول</w:t>
      </w:r>
      <w:bookmarkEnd w:id="43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نسبه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المنتقى الى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عدم صحة نسبة الحجب الصادر من العباد ظلماً وعدواناً إليه تعالى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الجهل بالحكم بالنحو الثاني – أي ما كان حكما فعليا بلغ إلى الناس ولكنه خفي علينا بسبب ظلم الظالمين ونحوه – لم يكن سبب خفائه الله تعالى إذ هو أمر بتبليغه وقد بلغ وإنما نشأ من إخفاء الظالمين للأحكام ومنعهم من انتشارها وتدليس المدلسين وغير ذلك من الأسباب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الجهل بالنحو الأول فانه ناشىء من عدم أمر الله تعالى بتبليغه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يصح نسبة الحجب إلى الله سبحانه بلحاظ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بلحاظ النحو الأول من الأحكام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أجاب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كان سبب الخفاء هو الفعل الاختياري للعبد فتصح نسبته إلى الله تعالى بلحاظ ما هو المذهب الحق من الالتزام بالأمر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الفعل الصادر من العبد كما تكون له نسبة إلى العبد تكون له نسبة إلى الله سبحانه بملاحظة أن بيده وجود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في الجواب واضح لو كان التقريب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نسبة هذا الوجه إلى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عبارته المنظورة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يشكل – على الاستدلال بالحديث على البراءة – بمنع ظهوره في وضع ما لا يعلم من التكليف بدعوى ظهوره في خصوص ما تعلقت عنايته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إطلاع العباد عليه لعدم أمره رسله بتبليغه حيث إنه بدونه لما صح إسناد الحجب إليه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إسناد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صحة إسناده إليه تعالى عرفا بلا قرينة على أن الإسناد بنحو المجاز</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كلام صاحب الكفاية في مقام التمسك بقرينة اثباتية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ثبوتية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الممنوع حينئذ هو صحة الأستعمال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لو كان مراده عدم صحة نسبة خفاء ما اختفى من الأحكام بسبب الظلم والعصيان ونحوهما إليه تعالى عقلا لتمسك بالقرينة القطعية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عدم صحة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منع ظهور الحديث في ما يدل على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الاستناد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ظهوره في خصوص ما تعلقت عنايته تعالى بمنع إطلاع العباد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من البعيد تمسك مثل الأخوند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هذا الوجه بعد وضوح موقف الإمامية اعزهم الله تبعاً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مسألة نسبة أفعال العباد إلى </w:t>
      </w:r>
      <w:bookmarkStart w:id="431" w:name="pg9067_79820"/>
    </w:p>
    <w:p>
      <w:pPr>
        <w:pStyle w:val="BookText"/>
        <w:rPr/>
      </w:pPr>
      <w:bookmarkEnd w:id="431"/>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فالظاهر أن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الوجه الرابع الآتي</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2465186_2870459653"/>
      <w:bookmarkStart w:id="433" w:name="_Toc165"/>
      <w:bookmarkEnd w:id="432"/>
      <w:r>
        <w:rPr>
          <w:rtl w:val="true"/>
        </w:rPr>
        <w:t>الأمر الثاني</w:t>
      </w:r>
      <w:bookmarkEnd w:id="433"/>
    </w:p>
    <w:p>
      <w:pPr>
        <w:pStyle w:val="BookText"/>
        <w:rPr/>
      </w:pPr>
      <w:r>
        <w:rPr>
          <w:rFonts w:ascii="Amiri" w:hAnsi="Amiri" w:eastAsia="Amiri" w:cs="Amiri"/>
          <w:color w:val="111111"/>
          <w:sz w:val="28"/>
          <w:sz w:val="28"/>
          <w:szCs w:val="28"/>
          <w:rtl w:val="true"/>
          <w:lang w:bidi="ar-SA"/>
        </w:rPr>
        <w:t xml:space="preserve">ما يمكن أن يقال من أن ظاهر ذيل رواية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الحديث إلى ما لم يبين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المتفاهم العرفي من تعريفه تعالى لأحكامه بحسب المرتكز من طريقة المشرع في بيان أحكامه والمعروف من سنته في إبلاغ مراده لخلقه هو ما كان بواسطة أنبيائه وأوصيائه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التعريف بأمره تعالى لرسله وأوصيائه بالبيان والتعريف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الحكم المغيى هو ما لم يؤمر الرسول وأوصيائه صلوات الله عليهم ببيانه وإبلاغه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خفي علينا بعد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ظاهر بعد سقوط الحديث باللفظ المذكور سندا</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2465188_2870459653"/>
      <w:bookmarkStart w:id="435" w:name="_Toc166"/>
      <w:bookmarkEnd w:id="434"/>
      <w:r>
        <w:rPr>
          <w:rtl w:val="true"/>
        </w:rPr>
        <w:t>الأمر الثالث</w:t>
      </w:r>
      <w:bookmarkEnd w:id="435"/>
    </w:p>
    <w:p>
      <w:pPr>
        <w:pStyle w:val="BookText"/>
        <w:rPr/>
      </w:pPr>
      <w:r>
        <w:rPr>
          <w:rFonts w:ascii="Amiri" w:hAnsi="Amiri" w:eastAsia="Amiri" w:cs="Amiri"/>
          <w:color w:val="111111"/>
          <w:sz w:val="28"/>
          <w:sz w:val="28"/>
          <w:szCs w:val="28"/>
          <w:rtl w:val="true"/>
          <w:lang w:bidi="ar-SA"/>
        </w:rPr>
        <w:t>ما يظهر من أجوبة جملة من الأعلام</w:t>
      </w:r>
      <w:r>
        <w:rPr>
          <w:rStyle w:val="FootnoteAnchor"/>
          <w:rtl w:val="true"/>
        </w:rPr>
        <w:footnoteReference w:id="364"/>
      </w:r>
      <w:r>
        <w:rPr>
          <w:rFonts w:ascii="Amiri" w:hAnsi="Amiri" w:eastAsia="Amiri" w:cs="Amiri"/>
          <w:color w:val="111111"/>
          <w:sz w:val="28"/>
          <w:sz w:val="28"/>
          <w:szCs w:val="28"/>
          <w:rtl w:val="true"/>
          <w:lang w:bidi="ar-SA"/>
        </w:rPr>
        <w:t xml:space="preserve">من ظهور الجمع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المجموعي أو العموم الأستغراقي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نظر الحديث إلى الأحكام المحجوبة عن مجموع العباد أو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الأحكام التي لم تبيّن لهم؛ لأن الأحكام التي حجبت بعد بيانها غير محجوبة عن مجموع العباد أو جميعهم فيكون الحديث ظاهر في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أجاب عنه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حجب العلم عن العباد ليس هو الحجب عن مجموع المكلفين أو جميعهم على وجه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كان محجوبا عن الحكم فهو </w:t>
      </w:r>
      <w:bookmarkStart w:id="436" w:name="pg9067_79821"/>
    </w:p>
    <w:p>
      <w:pPr>
        <w:pStyle w:val="BookText"/>
        <w:rPr/>
      </w:pPr>
      <w:bookmarkEnd w:id="436"/>
      <w:r>
        <w:rPr>
          <w:rFonts w:ascii="Amiri" w:hAnsi="Amiri" w:eastAsia="Amiri" w:cs="Amiri"/>
          <w:color w:val="111111"/>
          <w:sz w:val="28"/>
          <w:sz w:val="28"/>
          <w:szCs w:val="28"/>
          <w:rtl w:val="true"/>
          <w:lang w:bidi="ar-SA"/>
        </w:rPr>
        <w:t>موضوع عنه ولو كان معلوما لغيره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العموم انحلالي راجع الى وضع التكليف عن كل من حجب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ظهور الجمع المعرف بالأداة في العموم المجموعي فهو بعيد في نفسه وذلك لما تقرر في محله من مباحث الألفاظ من أن الجمع المعرف بالأداة ظاهر في العموم الاستغراقي لأفراد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العموم الانحلالي فهوفرع دلالة الحديث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قرينة على تلك الدلالة ولا أقل من عدم ظهوره بغير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ظهوره في العموم الاستغراقي فهو مقتضى ما ذكروه في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الى رفع اليد عنه إلا بقرينة</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2465190_2870459653"/>
      <w:bookmarkStart w:id="438" w:name="_Toc167"/>
      <w:bookmarkEnd w:id="437"/>
      <w:r>
        <w:rPr>
          <w:rtl w:val="true"/>
        </w:rPr>
        <w:t>الأمر الرابع</w:t>
      </w:r>
      <w:bookmarkEnd w:id="438"/>
    </w:p>
    <w:p>
      <w:pPr>
        <w:pStyle w:val="Heading5"/>
        <w:numPr>
          <w:ilvl w:val="4"/>
          <w:numId w:val="1"/>
        </w:numPr>
        <w:rPr/>
      </w:pPr>
      <w:bookmarkStart w:id="439" w:name="__RefHeading___Toc2465192_2870459653"/>
      <w:bookmarkStart w:id="440" w:name="_Toc168"/>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أن ظاهر الإسناد اليه تعالى عرفا هو صدور الحجب منه بأمره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صحّ نسبة الحجب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العرفي من إسناد الحجب إليه تعالى هو إرادة ما إذا كان الإخفاء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يسند الحجب إليه عرفا إذا كان الإخفاء على خلاف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بواسطة الظلم المحرم المبغوض إليه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هو العمدة في انكار دلالة الحديث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اعتنى بالجواب عنه جملة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يكون جوابا عن الوجه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تقسيم هذه الأجوبة على قسمين</w:t>
      </w:r>
      <w:r>
        <w:rPr>
          <w:rFonts w:eastAsia="Amiri" w:cs="Amiri" w:ascii="Amiri" w:hAnsi="Amiri"/>
          <w:color w:val="111111"/>
          <w:sz w:val="28"/>
          <w:szCs w:val="28"/>
          <w:rtl w:val="true"/>
          <w:lang w:bidi="ar-SA"/>
        </w:rPr>
        <w:t xml:space="preserve">: </w:t>
      </w:r>
      <w:bookmarkStart w:id="441" w:name="pg9067_79822"/>
    </w:p>
    <w:p>
      <w:pPr>
        <w:pStyle w:val="BookText"/>
        <w:rPr/>
      </w:pPr>
      <w:bookmarkEnd w:id="441"/>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يعترف في الجملة بنظر الحديث إلى الأحكام التي لم يؤمَر بإبلاغها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ينكر ذلك مشددا على نظر الحديث إلى الأحكام المبلغة فعلا ثم خفيت</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2465194_2870459653"/>
      <w:bookmarkStart w:id="443" w:name="_Toc169"/>
      <w:bookmarkEnd w:id="442"/>
      <w:r>
        <w:rPr>
          <w:rtl w:val="true"/>
        </w:rPr>
        <w:t>القسم الأول من الأجوبة</w:t>
      </w:r>
      <w:bookmarkEnd w:id="443"/>
    </w:p>
    <w:p>
      <w:pPr>
        <w:pStyle w:val="Heading6"/>
        <w:numPr>
          <w:ilvl w:val="5"/>
          <w:numId w:val="1"/>
        </w:numPr>
        <w:rPr/>
      </w:pPr>
      <w:bookmarkStart w:id="444" w:name="__RefHeading___Toc2465196_2870459653"/>
      <w:bookmarkStart w:id="445" w:name="_Toc170"/>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ويمكن أن تُصنّف تحت هذا القسم ثلاث محاولات</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2465198_2870459653"/>
      <w:bookmarkStart w:id="447" w:name="_Toc171"/>
      <w:bookmarkEnd w:id="446"/>
      <w:r>
        <w:rPr>
          <w:rtl w:val="true"/>
        </w:rPr>
        <w:t>المحاولة الأولى</w:t>
      </w:r>
      <w:bookmarkEnd w:id="447"/>
    </w:p>
    <w:p>
      <w:pPr>
        <w:pStyle w:val="Heading6"/>
        <w:numPr>
          <w:ilvl w:val="5"/>
          <w:numId w:val="1"/>
        </w:numPr>
        <w:rPr/>
      </w:pPr>
      <w:bookmarkStart w:id="448" w:name="__RefHeading___Toc2465200_2870459653"/>
      <w:bookmarkStart w:id="449" w:name="_Toc172"/>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أفيد من عدم فعلية الأحكام مع السكوت عنها إنما يتم في فرض السكوت عنها بقول مطلق حتى من جهة الوحي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فرض إظهارها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بتوسيط خطابه ووحيه فيمكن دعوى كونها من الأحكام الفعلية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نعني بالحكم الفعلي إلا ما تعلقت الإرادة الأزلية بحفظه من قبل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يستكشف من تعلّق الإرادة بإيجاد الخطاب فعليةالارادة بالنسبة إلى مظمون الخطاب ولو مع القطع بعدم إبلاغ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إلى العباد إما لعدم كونه مأمورا بإبلاغه أو من جهة اقتضاء بعض المصالح لإخفائه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دفع ما قد يوهم عدم فعلية هذا النحو من الأحكام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وحينئذ بعد كفاية هذا المقدار في فعلية الخطاب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رواية الحجب وإن لم تشمل هذا النحو من التكاليف المجهولة التي كان السبب في خفائها معصية من عصى الله تعالى ولكن بعد شمول إطلاقها إلى الأحكام الواصلة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بتوسيط خطابه إليه التي لم يؤمر من قبله سبحانه بإبلاغها إلى العباد بملاحظة صدق إسناد الحجب فيها إليه سبحانه يمكن التعدي إلى غيرها من الأحكام المجهولة التي كان سبب حفائها الأمور الخارجية بمقتضى عدم الفصل بينهما بعد صدق التكليف الفعلي على مضامين </w:t>
      </w:r>
      <w:bookmarkStart w:id="450" w:name="pg9067_79823"/>
    </w:p>
    <w:p>
      <w:pPr>
        <w:pStyle w:val="BookText"/>
        <w:rPr/>
      </w:pPr>
      <w:bookmarkEnd w:id="450"/>
      <w:r>
        <w:rPr>
          <w:rFonts w:ascii="IRNazanin" w:hAnsi="IRNazanin" w:eastAsia="IRNazanin"/>
          <w:color w:val="111111"/>
          <w:sz w:val="28"/>
          <w:sz w:val="28"/>
          <w:szCs w:val="28"/>
          <w:rtl w:val="true"/>
          <w:lang w:bidi="fa-IR"/>
        </w:rPr>
        <w:t xml:space="preserve">الخطابات المنزلة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 عدم الأمر بإبلاغها إلى العباد</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تلخيص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نقطتين</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2465202_2870459653"/>
      <w:bookmarkStart w:id="452" w:name="_Toc173"/>
      <w:bookmarkEnd w:id="451"/>
      <w:r>
        <w:rPr>
          <w:rtl w:val="true"/>
        </w:rPr>
        <w:t>النقطة الأولى</w:t>
      </w:r>
      <w:bookmarkEnd w:id="452"/>
    </w:p>
    <w:p>
      <w:pPr>
        <w:pStyle w:val="BookText"/>
        <w:rPr/>
      </w:pPr>
      <w:r>
        <w:rPr>
          <w:rFonts w:ascii="IRNazanin" w:hAnsi="IRNazanin" w:eastAsia="IRNazanin"/>
          <w:color w:val="111111"/>
          <w:sz w:val="28"/>
          <w:sz w:val="28"/>
          <w:szCs w:val="28"/>
          <w:rtl w:val="true"/>
          <w:lang w:bidi="fa-IR"/>
        </w:rPr>
        <w:t xml:space="preserve">إن الأحكام التي تظهر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بتوسيط الوحي والخطاب من الأحكام الفعلية شأنها شان الأحكام المبلغة وإن لم يؤمر بإبلاغها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أحكاما إنشائية محضة</w:t>
      </w:r>
      <w:r>
        <w:rPr>
          <w:rFonts w:eastAsia="IRNazanin" w:cs="IRNazanin"/>
          <w:color w:val="111111"/>
          <w:sz w:val="28"/>
          <w:szCs w:val="28"/>
          <w:rtl w:val="true"/>
          <w:lang w:bidi="fa-IR"/>
        </w:rPr>
        <w:t>.</w:t>
      </w:r>
    </w:p>
    <w:p>
      <w:pPr>
        <w:pStyle w:val="Heading6"/>
        <w:numPr>
          <w:ilvl w:val="5"/>
          <w:numId w:val="1"/>
        </w:numPr>
        <w:rPr/>
      </w:pPr>
      <w:bookmarkStart w:id="453" w:name="__RefHeading___Toc2465204_2870459653"/>
      <w:bookmarkStart w:id="454" w:name="_Toc174"/>
      <w:bookmarkEnd w:id="453"/>
      <w:r>
        <w:rPr>
          <w:rtl w:val="true"/>
        </w:rPr>
        <w:t>النقطة الثانية</w:t>
      </w:r>
      <w:bookmarkEnd w:id="454"/>
    </w:p>
    <w:p>
      <w:pPr>
        <w:pStyle w:val="BookText"/>
        <w:rPr/>
      </w:pPr>
      <w:r>
        <w:rPr>
          <w:rFonts w:ascii="Amiri" w:hAnsi="Amiri" w:eastAsia="Amiri" w:cs="Amiri"/>
          <w:color w:val="111111"/>
          <w:sz w:val="28"/>
          <w:sz w:val="28"/>
          <w:szCs w:val="28"/>
          <w:rtl w:val="true"/>
          <w:lang w:bidi="ar-SA"/>
        </w:rPr>
        <w:t>إن الحديث وان كان ناظرا إلى الأحكام المنزلة التي لم يؤمر ببيانها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تعديته إلى الأحكام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بمقتضى عدم الفصل بين هذين النحوين من الأحكام بعد صدق التكليف الفعلي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النقطة الثانية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كون الأحكام التي تظهر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بتوسيط الوحي والخطاب من الأحكام</w:t>
      </w:r>
    </w:p>
    <w:p>
      <w:pPr>
        <w:pStyle w:val="BookText"/>
        <w:rPr/>
      </w:pPr>
      <w:r>
        <w:rPr>
          <w:rFonts w:ascii="Amiri" w:hAnsi="Amiri" w:eastAsia="Amiri" w:cs="Amiri"/>
          <w:color w:val="111111"/>
          <w:sz w:val="28"/>
          <w:sz w:val="28"/>
          <w:szCs w:val="28"/>
          <w:rtl w:val="true"/>
          <w:lang w:bidi="ar-SA"/>
        </w:rPr>
        <w:t>الفعلية شأنها شأن الأحكام المبلغة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للفصل بين هذين النحوين من الأحكام بعد صدق التكليف الفعلي على كل منهما إنما يتم لو كان عنوان الحكم الفعلي مأخوذا في لسان الدليل أو أن نلتزم بأن درجة الإرادة من حيث الشدة والضعف فيهماعلى حد واحد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سبيل إلى أيٍ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الثاني فلأن الإرادة المتعلقة بمضامين الخطابات المبلغة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يؤمر ببيانها للناس قد لا ترقى إلى درجة الإرادة المتعلقة بالتكاليف المبلغة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لاحتمال أن يكون عدم الأمر </w:t>
      </w:r>
    </w:p>
    <w:p>
      <w:pPr>
        <w:pStyle w:val="BookText"/>
        <w:rPr/>
      </w:pPr>
      <w:r>
        <w:rPr>
          <w:rFonts w:ascii="Amiri" w:hAnsi="Amiri" w:eastAsia="Amiri" w:cs="Amiri"/>
          <w:color w:val="111111"/>
          <w:sz w:val="28"/>
          <w:sz w:val="28"/>
          <w:szCs w:val="28"/>
          <w:rtl w:val="true"/>
          <w:lang w:bidi="ar-SA"/>
        </w:rPr>
        <w:t xml:space="preserve">بالتبليغ لضعف المقتضي وعدم تمامية الملاك في تلك الأحكام وبلوغ المصلحة الكامنة فيها الدرجة المفروضه في الأحكام الألزامية – كما احتمله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يوجب ضعفا في الإرادة المتعلقة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احتمال ضعف الإرادة واردٌ حتى لو كان عدم الأمر بالتبليغ لأجل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توفر الظروف الموضوعية المناسبة لنشر تلك الأحكام وإبلاغها إلى الناس حتى على تقدير كون إرادته لها ورغبته فيها من حيث هي لا تقل عن إرادته ورغبته في الأحكام المبلغة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الحكيمة المنزهة عن الانفعالات النفسية ونحوها لا تكون على مستوى واحد في ظرف وجود المانع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يرغب شخص في شيء من حيث هو تمام الرغبة ولكن رغبته تقل وتضعف إذا لاحظه في ظرف معين أو وضع معين، فقد يرغب الأب في أن يجدّ ولده في دراسته كي يبلغ أعلى المراتب كما أنه يرغب في أن يزور أرحامه ويتواصل مع أصدقائه وتكون كلتا الرغبتين من حيث هما عنده بالدرجة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تضعف إرادته المتعلقة بزيارة أرحامه وأصدقائه عندما يلاحظ ما يقتضيه تحقيق رغبته هذه من جهد نفسي وجسدي من قبل ولده حال اشتغاله بالدراسة فتضعف رغبته فيها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التفاوت المحتمل – في الأقل – في قوة الإرادة وضعفها يوجب فرقا بين هذين النحوين من الأحكام – المبلغة وتلك التي لم يؤمر ببيانها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يسوّغ الفصل بينهما وعدم جر الموقف من أحدهما إلى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 يرضى المشرّع بتفويت المصلحة الكامنة في الأحكام المبلغة للناس عند الشك بها لسبب أو لآخر في حين يتساهل في ما لم يبلّغ لهم أصلا</w:t>
      </w:r>
      <w:r>
        <w:rPr>
          <w:rFonts w:eastAsia="Amiri" w:cs="Amiri" w:ascii="Amiri" w:hAnsi="Amiri"/>
          <w:color w:val="111111"/>
          <w:sz w:val="28"/>
          <w:szCs w:val="28"/>
          <w:rtl w:val="true"/>
          <w:lang w:bidi="ar-SA"/>
        </w:rPr>
        <w:t xml:space="preserve">. </w:t>
      </w:r>
      <w:bookmarkStart w:id="455" w:name="pg9067_79825"/>
    </w:p>
    <w:p>
      <w:pPr>
        <w:pStyle w:val="Heading6"/>
        <w:numPr>
          <w:ilvl w:val="5"/>
          <w:numId w:val="1"/>
        </w:numPr>
        <w:rPr/>
      </w:pPr>
      <w:bookmarkStart w:id="456" w:name="__RefHeading___Toc2465206_2870459653"/>
      <w:bookmarkStart w:id="457" w:name="_Toc175"/>
      <w:bookmarkEnd w:id="455"/>
      <w:bookmarkEnd w:id="456"/>
      <w:r>
        <w:rPr>
          <w:rtl w:val="true"/>
        </w:rPr>
        <w:t>المحاولة الثانية</w:t>
      </w:r>
      <w:bookmarkEnd w:id="457"/>
    </w:p>
    <w:p>
      <w:pPr>
        <w:pStyle w:val="Heading6"/>
        <w:numPr>
          <w:ilvl w:val="5"/>
          <w:numId w:val="1"/>
        </w:numPr>
        <w:rPr/>
      </w:pPr>
      <w:bookmarkStart w:id="458" w:name="__RefHeading___Toc2465208_2870459653"/>
      <w:bookmarkStart w:id="459" w:name="_Toc176"/>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 بعد أن التزم بورود الإشكال في الدراسات إذ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الإشكال أيضاً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الموجب لخفاء الأحكام التي بيّنها الله تعالى بلسان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هو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تعالى قادر على بيانها بأن يأمر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بالظهور وبيان تلك الأحكام فحيث لم يأمره بالبيان لحكمة لا يعلمها إلا هو صح إسناد الحجب إليه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الشبهات الحكمية، وكذلك الحال في الشبهات الموضوعية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قادر على إعطاء مقدمات العلم الوجداني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الإعطاء صح إسناد الحجب إليه تعالى</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المناقشة 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2465210_2870459653"/>
      <w:bookmarkStart w:id="461" w:name="_Toc177"/>
      <w:bookmarkEnd w:id="460"/>
      <w:r>
        <w:rPr>
          <w:rtl w:val="true"/>
        </w:rPr>
        <w:t>الوجه الأول</w:t>
      </w:r>
      <w:bookmarkEnd w:id="461"/>
    </w:p>
    <w:p>
      <w:pPr>
        <w:pStyle w:val="BookText"/>
        <w:rPr/>
      </w:pPr>
      <w:r>
        <w:rPr>
          <w:rFonts w:ascii="IRNazanin" w:hAnsi="IRNazanin" w:eastAsia="IRNazanin"/>
          <w:color w:val="111111"/>
          <w:sz w:val="28"/>
          <w:sz w:val="28"/>
          <w:szCs w:val="28"/>
          <w:rtl w:val="true"/>
          <w:lang w:bidi="fa-IR"/>
        </w:rPr>
        <w:t xml:space="preserve">أن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عدم 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بالظهور وعدم إعطاء مقدمات العلم الوجداني يصحح إسناد الحجب إليه تعالى لو تم فإنما يتم في مقام تصحيح إسناد الحجب إليه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 عرفت أن المهم هو ظهور نسبة الحجب إليه تعالى عرفا في صدوره منه بإرادته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تقريبه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للإشكال في الدراسات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المراد مما حجب الله علمه على ما هو ظاهر إسناد الحجب إلى الله خصوص ما لم يبيّن من الأحكام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يكفي في صدق الحجب المنسوب إليه تعالى عرفاً على ما نحن فيه</w:t>
      </w:r>
      <w:r>
        <w:rPr>
          <w:rFonts w:eastAsia="Amiri" w:cs="Amiri" w:ascii="Amiri" w:hAnsi="Amiri"/>
          <w:color w:val="111111"/>
          <w:sz w:val="28"/>
          <w:szCs w:val="28"/>
          <w:rtl w:val="true"/>
          <w:lang w:bidi="ar-SA"/>
        </w:rPr>
        <w:t xml:space="preserve">. </w:t>
      </w:r>
      <w:bookmarkStart w:id="462" w:name="pg9067_79826"/>
    </w:p>
    <w:p>
      <w:pPr>
        <w:pStyle w:val="Heading6"/>
        <w:numPr>
          <w:ilvl w:val="5"/>
          <w:numId w:val="1"/>
        </w:numPr>
        <w:rPr/>
      </w:pPr>
      <w:bookmarkStart w:id="463" w:name="__RefHeading___Toc2465212_2870459653"/>
      <w:bookmarkStart w:id="464" w:name="_Toc178"/>
      <w:bookmarkEnd w:id="462"/>
      <w:bookmarkEnd w:id="463"/>
      <w:r>
        <w:rPr>
          <w:rtl w:val="true"/>
        </w:rPr>
        <w:t>الوجه الثاني</w:t>
      </w:r>
      <w:bookmarkEnd w:id="464"/>
    </w:p>
    <w:p>
      <w:pPr>
        <w:pStyle w:val="BookText"/>
        <w:rPr/>
      </w:pP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الأمر بالظهور والبيان وعدم إعطاء مقدمات العلم الوجداني لو كان يكفي مسوغا لنسبة الحجب إليه تعالى عرفا لساغ كذلك أن ننسب اليه كل مظلمة وهتك حرمة لقدرته على رفع الظلم وصون الحرمات ولكنه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يثيره هذا الكلام من حزازة واستهجان لدى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نسبة الحجب الصادر من العصاة والظلمة إليه سبحانه في نظر العرف؟</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2465214_2870459653"/>
      <w:bookmarkStart w:id="466" w:name="_Toc179"/>
      <w:bookmarkEnd w:id="465"/>
      <w:r>
        <w:rPr>
          <w:rtl w:val="true"/>
        </w:rPr>
        <w:t>الوجه الثالث</w:t>
      </w:r>
      <w:bookmarkEnd w:id="466"/>
    </w:p>
    <w:p>
      <w:pPr>
        <w:pStyle w:val="BookText"/>
        <w:rPr/>
      </w:pPr>
      <w:r>
        <w:rPr>
          <w:rFonts w:ascii="IRNazanin" w:hAnsi="IRNazanin" w:eastAsia="IRNazanin"/>
          <w:color w:val="111111"/>
          <w:sz w:val="28"/>
          <w:sz w:val="28"/>
          <w:szCs w:val="28"/>
          <w:rtl w:val="true"/>
          <w:lang w:bidi="fa-IR"/>
        </w:rPr>
        <w:t xml:space="preserve">أن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بقضية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هو الظهور الكبير لإقامة دولة العدل والحق فهو رهن بشروطه الخاصة التي قد لا تكون متوفرة في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مقصوده منها ظهوره لبعض الأصحاب ليظهره على ما خفي من أحكام فإنّه قد يكون مزاحما بمصلحة أهم تمنع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ما روي عن آخر السفراء –رض – من أنه من ادعى المشاهدة فهو كذّاب تعبيرا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كلا التقديرين فإن عدم أمره بالظهور يكون 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يصح نسبة الحجب الصادر من الظلمة إليه تعالى عرفاً؛ لعدم إمكان الأمر بالظهور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الواضح أن من يمنعه مانع من رفع حيف لا ينسب اليه ذلك الحيف عرفا</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2465216_2870459653"/>
      <w:bookmarkStart w:id="468" w:name="_Toc180"/>
      <w:bookmarkEnd w:id="467"/>
      <w:r>
        <w:rPr>
          <w:rtl w:val="true"/>
        </w:rPr>
        <w:t>المحاولة الثالثة</w:t>
      </w:r>
      <w:bookmarkEnd w:id="468"/>
    </w:p>
    <w:p>
      <w:pPr>
        <w:pStyle w:val="Heading6"/>
        <w:numPr>
          <w:ilvl w:val="5"/>
          <w:numId w:val="1"/>
        </w:numPr>
        <w:rPr/>
      </w:pPr>
      <w:bookmarkStart w:id="469" w:name="__RefHeading___Toc2465218_2870459653"/>
      <w:bookmarkStart w:id="470" w:name="_Toc181"/>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ما قد يقال من الاستدلال بالحديث على البراءة مع التسليم في الجملة بما ذكروه من ظهور الحديث في النظر إلى الأحكام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بذكر مقدمتين</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2465220_2870459653"/>
      <w:bookmarkStart w:id="472" w:name="_Toc182"/>
      <w:bookmarkEnd w:id="471"/>
      <w:r>
        <w:rPr>
          <w:rtl w:val="true"/>
        </w:rPr>
        <w:t>المقدمة الأولى</w:t>
      </w:r>
      <w:bookmarkEnd w:id="472"/>
    </w:p>
    <w:p>
      <w:pPr>
        <w:pStyle w:val="BookText"/>
        <w:rPr/>
      </w:pPr>
      <w:r>
        <w:rPr>
          <w:rFonts w:ascii="Amiri" w:hAnsi="Amiri" w:eastAsia="Amiri" w:cs="Amiri"/>
          <w:color w:val="111111"/>
          <w:sz w:val="28"/>
          <w:sz w:val="28"/>
          <w:szCs w:val="28"/>
          <w:rtl w:val="true"/>
          <w:lang w:bidi="ar-SA"/>
        </w:rPr>
        <w:t>إن نسبة الحجب إلى الله تعالى ظاهرة عرفا في صدوره منه بأمره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تحت هذا العنوان أحكام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التي أنزلت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 يؤمَر ببيانها مطلقاً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التي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ببيانها إلى الناس على نحو الإجمال لحكمة </w:t>
      </w:r>
      <w:bookmarkStart w:id="473" w:name="pg9067_79827"/>
    </w:p>
    <w:p>
      <w:pPr>
        <w:pStyle w:val="BookText"/>
        <w:rPr/>
      </w:pPr>
      <w:bookmarkEnd w:id="473"/>
      <w:r>
        <w:rPr>
          <w:rFonts w:ascii="IRNazanin" w:hAnsi="IRNazanin" w:eastAsia="IRNazanin"/>
          <w:color w:val="111111"/>
          <w:sz w:val="28"/>
          <w:sz w:val="28"/>
          <w:szCs w:val="28"/>
          <w:rtl w:val="true"/>
          <w:lang w:bidi="fa-IR"/>
        </w:rPr>
        <w:t>اقتضته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التي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ببيانها للناس ولكنها خفيت علينا بسبب آفة سماوية أو ارضية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التي بلّغها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ولكنها خفيت علينا بسبب توهمات الرواة الثقات أو اشتباههم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الأحكام جميعا مما يجوز نسبة حجبها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الثلاثة الأولى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الأخير فلأن الخفاء فيه كان نتيجة أمره تعالى بالأخذ بخبر الثقة فتامل</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2465222_2870459653"/>
      <w:bookmarkStart w:id="475" w:name="_Toc183"/>
      <w:bookmarkEnd w:id="474"/>
      <w:r>
        <w:rPr>
          <w:rtl w:val="true"/>
        </w:rPr>
        <w:t>المقدمة الثانية</w:t>
      </w:r>
      <w:bookmarkEnd w:id="475"/>
    </w:p>
    <w:p>
      <w:pPr>
        <w:pStyle w:val="BookText"/>
        <w:rPr/>
      </w:pPr>
      <w:r>
        <w:rPr>
          <w:rFonts w:ascii="Amiri" w:hAnsi="Amiri" w:eastAsia="Amiri" w:cs="Amiri"/>
          <w:color w:val="111111"/>
          <w:sz w:val="28"/>
          <w:sz w:val="28"/>
          <w:szCs w:val="28"/>
          <w:rtl w:val="true"/>
          <w:lang w:bidi="ar-SA"/>
        </w:rPr>
        <w:t>أن نتمسك بقرينة مناسبات الحكم والموضوع لإدخال الأحكام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من مناسبة الحكم والموضوع يفهم أن الحجب لا بتقصير من المكلف بل بأمر غير اختياري يكون تمام الموضوع لرفع الحكم</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2465224_2870459653"/>
      <w:bookmarkStart w:id="477" w:name="_Toc184"/>
      <w:bookmarkEnd w:id="476"/>
      <w:r>
        <w:rPr>
          <w:rtl w:val="true"/>
        </w:rPr>
        <w:t>القسم الثاني من الأجوبة</w:t>
      </w:r>
      <w:bookmarkEnd w:id="477"/>
    </w:p>
    <w:p>
      <w:pPr>
        <w:pStyle w:val="Heading6"/>
        <w:numPr>
          <w:ilvl w:val="5"/>
          <w:numId w:val="1"/>
        </w:numPr>
        <w:rPr/>
      </w:pPr>
      <w:bookmarkStart w:id="478" w:name="__RefHeading___Toc2465226_2870459653"/>
      <w:bookmarkStart w:id="479" w:name="_Toc185"/>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ويمكن أن تُصنّف تحت هذا القسم عدَّة محاولات</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2465228_2870459653"/>
      <w:bookmarkStart w:id="481" w:name="_Toc186"/>
      <w:bookmarkEnd w:id="480"/>
      <w:r>
        <w:rPr>
          <w:rtl w:val="true"/>
        </w:rPr>
        <w:t>المحاولة الأولى</w:t>
      </w:r>
      <w:bookmarkEnd w:id="481"/>
    </w:p>
    <w:p>
      <w:pPr>
        <w:pStyle w:val="Heading6"/>
        <w:numPr>
          <w:ilvl w:val="5"/>
          <w:numId w:val="1"/>
        </w:numPr>
        <w:rPr/>
      </w:pPr>
      <w:bookmarkStart w:id="482" w:name="__RefHeading___Toc2465230_2870459653"/>
      <w:bookmarkStart w:id="483" w:name="_Toc187"/>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 xml:space="preserve">ما ذكره السيد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ظاهر الحديث النظر إلى الأحكام المجعولة دون الأحكام الإنشائية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أن الموضوع حكم مجعول وفعلي قبل الوضع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مناقشة هذه الدعوى في جواب المحقق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في المقام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نسبة مطلق الأفعال إلى الله تعالى قد شاعت في الكتاب والسنة بحيث صارت من المجازات الراجحة التي كأنه لا يعد ارتكابها مخالفة بنظر العرف فلا تصادم الظهورات الأخر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484" w:name="pg9067_79828"/>
    </w:p>
    <w:p>
      <w:pPr>
        <w:pStyle w:val="BookText"/>
        <w:rPr/>
      </w:pPr>
      <w:bookmarkEnd w:id="484"/>
      <w:r>
        <w:rPr>
          <w:rFonts w:ascii="Amiri" w:hAnsi="Amiri" w:eastAsia="Amiri" w:cs="Amiri"/>
          <w:color w:val="111111"/>
          <w:sz w:val="28"/>
          <w:sz w:val="28"/>
          <w:szCs w:val="28"/>
          <w:rtl w:val="true"/>
          <w:lang w:bidi="ar-SA"/>
        </w:rPr>
        <w:t xml:space="preserve">ويمكن مناقشة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2465232_2870459653"/>
      <w:bookmarkStart w:id="486" w:name="_Toc188"/>
      <w:bookmarkEnd w:id="485"/>
      <w:r>
        <w:rPr>
          <w:rtl w:val="true"/>
        </w:rPr>
        <w:t>الوجه الأول</w:t>
      </w:r>
      <w:bookmarkEnd w:id="486"/>
    </w:p>
    <w:p>
      <w:pPr>
        <w:pStyle w:val="BookText"/>
        <w:rPr/>
      </w:pPr>
      <w:r>
        <w:rPr>
          <w:rFonts w:ascii="Amiri" w:hAnsi="Amiri" w:eastAsia="Amiri" w:cs="Amiri"/>
          <w:color w:val="111111"/>
          <w:sz w:val="28"/>
          <w:sz w:val="28"/>
          <w:szCs w:val="28"/>
          <w:rtl w:val="true"/>
          <w:lang w:bidi="ar-SA"/>
        </w:rPr>
        <w:t>إن دعوى بلوغ نسبة مطلق الأفعال إلى الله تعالى حدّ المجاز المشهور لو تمت فإنما تتم في مثل أفعال الخير والصلاح مما أمر الله تعالى به أو أحرز رضاه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مثل أفعال الظلم و العصيان التي منها اخفاء أحكام الله تعالى وكتمانها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فاعتبر بما يثيره نسبة المعاصي الى الله تعالى من حزازة واستهجان قد يشعر المؤمن معها إلى الحاجة إلى الأستغفار والتوبة وما ذلك إلا لشعوره الوجداني بصدورها منه تعالى عند نسبتها إليه</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2465234_2870459653"/>
      <w:bookmarkStart w:id="488" w:name="_Toc189"/>
      <w:bookmarkEnd w:id="487"/>
      <w:r>
        <w:rPr>
          <w:rtl w:val="true"/>
        </w:rPr>
        <w:t>الوجه الثاني</w:t>
      </w:r>
      <w:bookmarkEnd w:id="48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مقصوده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بلوغ تلك النسبة حدّ المجاز المشهور بلوغها ذلك في زماننا هذا او ما يقرب منه فإنه لا يجدي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العبرة بدلالات الألفاظ وظهوراتها في زمان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مقصوده بلوغها ذلك في زمان النص –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بشهادة الروايات الحاكية لسؤال البعض عن نسبة التوفي إلى الله تعالى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غيره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نسبة الأفعال مطلقا إلى الله تعالى قد بلغت حدّ المجاز المشهور بحيث لا يعد ارتكابها خلاف الظاهر لما وقع السؤال عنها إلى حدّ توهم البعض وقوع الاختلاف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ذلك الزنديق</w:t>
      </w:r>
      <w:r>
        <w:rPr>
          <w:rStyle w:val="FootnoteAnchor"/>
          <w:rtl w:val="true"/>
        </w:rPr>
        <w:footnoteReference w:id="374"/>
      </w:r>
      <w:r>
        <w:rPr>
          <w:rFonts w:ascii="Amiri" w:hAnsi="Amiri" w:eastAsia="Amiri" w:cs="Amiri"/>
          <w:color w:val="111111"/>
          <w:sz w:val="28"/>
          <w:sz w:val="28"/>
          <w:szCs w:val="28"/>
          <w:rtl w:val="true"/>
          <w:lang w:bidi="ar-SA"/>
        </w:rPr>
        <w:t xml:space="preserve">حتى جاء يحاجج </w:t>
      </w:r>
    </w:p>
    <w:p>
      <w:pPr>
        <w:pStyle w:val="BookText"/>
        <w:rPr/>
      </w:pPr>
      <w:r>
        <w:rPr>
          <w:rFonts w:ascii="IRNazanin" w:hAnsi="IRNazanin" w:eastAsia="IRNazanin"/>
          <w:color w:val="111111"/>
          <w:sz w:val="28"/>
          <w:sz w:val="28"/>
          <w:szCs w:val="28"/>
          <w:rtl w:val="true"/>
          <w:lang w:bidi="fa-IR"/>
        </w:rPr>
        <w:t xml:space="preserve">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الرجل من أهل زمان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يسعى لإثبات بطلان عقيد الكثرة من المسلمين وهم أهل اللسان والمحاورة وجاء يناظر زعيمهم فلا شك أنه كان يشعر باستناده إلى حجة قوية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وقع السؤال عن هذه الأيات في زمان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زمان حديث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يكشف عن أن الأمر لم يبلغ هذا الحدّ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الفقيه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يتوفى الذين كفروا الملائكة</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يموت في الساعة الواحدة في جميع الآفاق ما لا يحصيه إلا الله عز ّوجلّ فكيف 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لملك الموت أعوانا من الملائكة يقبضون الأرواح بنزلة صاحب الشرطة له أعوانا من الأنس يبعثهم في حوائجه فتتوفاهم الملائكة ويتوفاهم ملك الموت من الملائكة مع ما يقبض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ويتوفاهم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فالسائل ذكر أمرين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bookmarkStart w:id="489" w:name="pg9067_79830"/>
    </w:p>
    <w:p>
      <w:pPr>
        <w:pStyle w:val="BookText"/>
        <w:rPr/>
      </w:pPr>
      <w:bookmarkEnd w:id="489"/>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المتوفين بما لا يحصيه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استغراب تصدي غير الله تعالى لقبض الأرواح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كلا الأمرين بجواب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منظوره ما ذكرناه لم يكن لذكر الأيات دخل في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يكفي ذكر آية نسبة التوفي إلى ملك الموت وتفريع السؤال عليها ومحل الشاهد هو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تكرر السؤال عن هذه الآيات واعتناء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بالجواب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وتقريب الفكرة إلى حدّ الاستعانة بوسائل الإيضاح كالتمثيل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عن أن نسبة الأفعال إلى الله تعالى ظاهرة عرفا في صدورها منه سبحانه حتى في ذلك الزمان</w:t>
      </w:r>
      <w:r>
        <w:rPr>
          <w:rFonts w:eastAsia="IRNazanin" w:cs="IRNazanin"/>
          <w:color w:val="111111"/>
          <w:sz w:val="28"/>
          <w:szCs w:val="28"/>
          <w:rtl w:val="true"/>
          <w:lang w:bidi="fa-IR"/>
        </w:rPr>
        <w:t>.</w:t>
      </w:r>
    </w:p>
    <w:p>
      <w:pPr>
        <w:pStyle w:val="Heading6"/>
        <w:numPr>
          <w:ilvl w:val="5"/>
          <w:numId w:val="1"/>
        </w:numPr>
        <w:rPr/>
      </w:pPr>
      <w:bookmarkStart w:id="490" w:name="__RefHeading___Toc2465236_2870459653"/>
      <w:bookmarkStart w:id="491" w:name="_Toc190"/>
      <w:bookmarkEnd w:id="490"/>
      <w:r>
        <w:rPr>
          <w:rtl w:val="true"/>
        </w:rPr>
        <w:t>المحاولة الثانية</w:t>
      </w:r>
      <w:bookmarkEnd w:id="491"/>
    </w:p>
    <w:p>
      <w:pPr>
        <w:pStyle w:val="BookText"/>
        <w:rPr/>
      </w:pP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ظاهر في نسبة الحجب الى الله تعالى بما هو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 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والحجب المنسوب إليه تعالى بما هو كذلك يصدق على الحجب الصادر من العباد تمردا وعصيانا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هذا الظهور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لفظ الجلالة في التركيز على صفة الخالقية دون صفة المشرّعية والحاكمية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الحجب الصادر من الله تعالى بما هو مشرع لا مجال لتوهم المسؤلية تجاهه كي يخبر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موضوع عن العباد فأن إخباره حينئذ يكون مستهجنا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من قبيل الأخبار بثبوت أحد الضدين لانتفاء الآخر وهذا بنفسه يبعد احتمال ملاحظته تعالى بما هو مشرع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في دفع الشبهة أن الحجب اذا أضيف الى الله تعالى بما هو خالق لا بما هو مولى مشرع يكون صادقا على عدم الوصول الى المكلف؛ لأن الأحتجاب عنه أيضاً مضاف اليه بما هو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على هذا حتى الشبهات الموضوعية؛ لأن حجب الموضوع أيضاً يضاف إليه بما هو خالق، ويمكن تعيين أن المضاف اليه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بدعوى ظهور اسم الجلالة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باعتبار أن ارادة حجب الشارع بما هو شارع في نفسه غير مناسب مع سياق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يكون الشارع نفسه في مقام إخفائه من التكاليف لا يكون في معرض توهم مسؤلية العباد عنها ويكون عرفا مناقضا مع فرض المسؤلية والإدانة فيكون مفاد الحديث على هذا كأنه الأخبار عن ثبوت الضد بانتفاء الآخر وهو مستهجن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بنفسه يبعد هذا الأحتمال ويعيّن أن تكون الإضافة اليه بما هو خالق</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المناقشة 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الحديث في نسبة الحجب اليه تعالى بما هو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 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لنا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أن الحجب أسند اليه تعالى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يقتضي ذلك ظهور إسناد الحجب اليه في صدوره منه بإرادته واختياره المباشرين أم أنه يكون ظاهرا في الحجب الصادر بتوسط ارادة العباد واختيارهم؟ إذ المدعى ظهور الأسناد في الأول دون الثاني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صدق الحجب المسند اليه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بما هو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الحجب الصادر من العباد إلا بنحوالمجاز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ظهور لفظ الجلالة في الخالق دون المشرع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الاسم الشريف علم على الذات المقدسة الجامعة لجميع صفات الجلال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ظهوره في صفة معينة من صفات الذات المقدسة منوط بالمناسبات والقرائن الحافة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فظهوره في التركيز على صفة الخالقية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أمواتا فأحياكم ثم يميتكم ثم يحيكم ثم اليه ترجعون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لقرينة الحديث عن الموت والحياة والكفر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في التركيز على صفة المشرعية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بعد ميثاقه ويقطعون ما امر الله به أن يوصل</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لقرينة الحديث عن العهد والأمر المرتبطين بصفة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نشعر بالفرق بين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هذا الاسم الشريف ظاهر في صفة الرحمة إذا جاء في سياق 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صفة الشدّة إذا جاء في سياق 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صفة القدرة إذا جاء في سياق 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يكون له ظهور عرفا في صفة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كذلك بنحو الاستئناس الخارج عن حاق اللفظ</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موهم للمسؤلية تجاه هذا النحو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يعد الإخبار بوضعها عن العباد تناقضا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جوابه نقضا وحلا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هذا الحديث ليس وحيدا في بابه – أي النظر الى الأحكام غير المبلغة – إذ يقف الى جانبه جملة احاديث من طرق العامة والخاصة لا اشكال في دلالتها على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فمما ورد من طرق الخاصة مرسلة الفقيه والعوالي وعيون الحكم والمواعظ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 عن أشياء لم يسكت عنها نسيانا فلا تتكلفوها رحمة من الله لكم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لفظا ما 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وسكت لكم عن أشياء لم يدعها نسيانا فلا تتكلفوها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ما في أمالي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حدّ حدودا فلا تعتدوها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عليكم فرائض فلا تضيعوها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لكم سننا فاتبعوها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عليكم حرمات فلا تنتهكوها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لكم عن أشياء رحمة منه لكم من غير نسيان فلا تتكلفوها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حدّ حدودا فلا تعتدوها وفرض فرائض فلا تنقضوها وسكت عن أشياء لم يسكت عنها نسيانا لها فلا تتكلفوها رحمة من الله لكم فاقبلوها</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الباب مرسلة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اسكتوا عما </w:t>
      </w:r>
    </w:p>
    <w:p>
      <w:pPr>
        <w:pStyle w:val="BookText"/>
        <w:rPr/>
      </w:pPr>
      <w:r>
        <w:rPr>
          <w:rFonts w:ascii="Amiri" w:hAnsi="Amiri" w:eastAsia="Amiri" w:cs="Amiri"/>
          <w:color w:val="111111"/>
          <w:sz w:val="28"/>
          <w:sz w:val="28"/>
          <w:szCs w:val="28"/>
          <w:rtl w:val="true"/>
          <w:lang w:bidi="ar-SA"/>
        </w:rPr>
        <w:t>سكت الله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ومثلها مرسلة السرائر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الباب قول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ابن الحريش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لك أن تسأل عن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طرق العامة فروايات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منها رواية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السمن والجبن والفراء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ما أحل الله في كتابه والحرام ما حرّم الله في كتابه وما سكت عنه فهو مما عفا عنكم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افترض فرائض فلا تضيعوها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حدودا فلا تعتدوها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وسكت عن كثير من غير نسيان فلا تتكلفوها رحمة من الله لكم</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روايته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ونهاكم عن أشياء فلا تنتهكوها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أشياء من غير نسيان فلا تتكلفوها رحمة من الله لكم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وقريبة منها رواية ابي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فرائض فلا تضيعوها وحدّ حدودا فلا تعتدوها وسكت عن أشياء رحمة لكم غير نسيان فلا تبحثوا عنها</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492" w:name="pg9067_79835"/>
    </w:p>
    <w:p>
      <w:pPr>
        <w:pStyle w:val="BookText"/>
        <w:rPr/>
      </w:pPr>
      <w:bookmarkEnd w:id="492"/>
      <w:r>
        <w:rPr>
          <w:rFonts w:ascii="Amiri" w:hAnsi="Amiri" w:eastAsia="Amiri" w:cs="Amiri"/>
          <w:color w:val="111111"/>
          <w:sz w:val="28"/>
          <w:sz w:val="28"/>
          <w:szCs w:val="28"/>
          <w:rtl w:val="true"/>
          <w:lang w:bidi="ar-SA"/>
        </w:rPr>
        <w:t>وكثرة هذه الروايات من طرق الفريقين مرسلة ومسندة مع تقارب ألفاظها مما يوجب الاطمئنان بصدور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لأن يقال إن روايات الأصحاب أكثرها مرسلة وروايات العامة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بوضع هذه الأحكام يعد تناقضا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فبأحد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يحمل الحديث على ما حملت عليه تلك الروايات من النظر إلى البراءة الأصلية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الحديث واردا للنهي عن الاشتغال بالبحث عن أمور القضاء والقدر التي شاعت بين المسلمين في تلك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على حد 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غرة شعبان وشعب خيراته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والزكاة، والأمر بالمعروف، والنهي عن المنكر، وبر الوالدين، والقرابات، والجيران، وإصلاح ذات البين، والصدقة على الفقراء والمساكين، تتكلفون ما قد وضع عنكم، وما قد نهيتم عن الخوض فيه، من كشف سرائر الله، التي من فتش عنها كان من الهالكين</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لا يبعد حصول توهم المؤاخذة على هذا النحو من الأحكام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ما ذكرته بعض المدارس الفكرية من صحة معاقبة المطيع وإخلاده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وإثابة العاصي وإخلاده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بمن يخالف هذه الأحكام خصوصا إذا كان عدم بيانها بسبب 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لهكذا توهمات</w:t>
      </w:r>
      <w:r>
        <w:rPr>
          <w:rFonts w:eastAsia="IRNazanin" w:cs="IRNazanin"/>
          <w:color w:val="111111"/>
          <w:sz w:val="28"/>
          <w:szCs w:val="28"/>
          <w:rtl w:val="true"/>
          <w:lang w:bidi="fa-IR"/>
        </w:rPr>
        <w:t>.</w:t>
      </w:r>
    </w:p>
    <w:p>
      <w:pPr>
        <w:pStyle w:val="Heading6"/>
        <w:numPr>
          <w:ilvl w:val="5"/>
          <w:numId w:val="1"/>
        </w:numPr>
        <w:rPr/>
      </w:pPr>
      <w:bookmarkStart w:id="493" w:name="__RefHeading___Toc2465238_2870459653"/>
      <w:bookmarkStart w:id="494" w:name="_Toc191"/>
      <w:bookmarkEnd w:id="493"/>
      <w:r>
        <w:rPr>
          <w:rtl w:val="true"/>
        </w:rPr>
        <w:t>المحاولة الثالثة</w:t>
      </w:r>
      <w:bookmarkEnd w:id="494"/>
    </w:p>
    <w:p>
      <w:pPr>
        <w:pStyle w:val="Heading6"/>
        <w:numPr>
          <w:ilvl w:val="5"/>
          <w:numId w:val="1"/>
        </w:numPr>
        <w:rPr/>
      </w:pPr>
      <w:bookmarkStart w:id="495" w:name="__RefHeading___Toc2465240_2870459653"/>
      <w:bookmarkStart w:id="496" w:name="_Toc192"/>
      <w:bookmarkEnd w:id="495"/>
      <w:r>
        <w:rPr>
          <w:rtl w:val="true"/>
        </w:rPr>
        <w:t>اشارة</w:t>
      </w:r>
      <w:bookmarkEnd w:id="49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بعض فقرات الحديث في النظر الى الأحكام الفعلية بدرجة توجب رفع اليد عن ظهور إسناد الحجب اليه تعالى في النظر إلى الأحكام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لقرينتين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الحجب في الحديث تعلق بالعلم الظاهر في أن المحجوب له نحو تقرر وثبوت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الحكم الفعلي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للوضع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إلا في الأحكام القابلة للجعل عليهم وتكليفهم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الإنشائي لا يقبل الجعل على المكلّفين حال حجبه وعدم العلم به بإيجاب الاحتياط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يقبل الجعل على المكلّفين حتى على تقدير العلم به كما أنه لا موهم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يصح أن يقال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الحكم الفعلي فإنه قابل لأن يجعل عليهم حال الشك به عن طريق إيجاب الاحتياط تجاهه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يمكن أن ينحل الأشكال بأن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ثبوت الحكم في نفسه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الحجب متعلق بالعلم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في أن الحكم له تقرر وثبوت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فيراد من الموصول هو الحكم الثابت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مقابل الوضع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يختص بالأحكام التي تكون قابلة للوضع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فوضعها الله تعالى عنهم إرفاقا بهم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والحكم القابل للوضع على العباد هو الحكم الفعلي الصادر المبيّن لبعض الناس وإن خفي علينا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قابل للوضع الظاهري في حال الجهل به بإيجاب الاحتياط، أما الحكم الإنشائي المختص بعلم الله تعالى أو مع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يبيّن لأحد لمصلحة تقتضي ذلك فليس هذا بقابل للوضع على العباد ليرفع عنهم ولا موهم لوضعه عليهم بعد فرض عدم تبليغه وبيانه لقصور في مقتضيه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تعلّق العلم به فرضاً لا يجب امتثاله وطاعته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لا يسمى حكما لدى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p>
    <w:p>
      <w:pPr>
        <w:pStyle w:val="BookText"/>
        <w:rPr/>
      </w:pPr>
      <w:r>
        <w:rPr>
          <w:rFonts w:ascii="Amiri" w:hAnsi="Amiri" w:eastAsia="Amiri" w:cs="Amiri"/>
          <w:color w:val="111111"/>
          <w:sz w:val="28"/>
          <w:sz w:val="28"/>
          <w:szCs w:val="28"/>
          <w:rtl w:val="true"/>
          <w:lang w:bidi="ar-SA"/>
        </w:rPr>
        <w:t>يكون الكلام لديهم ظاهرا في كونه هو المنظور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الظهور لا مجال لدعوى الظهور السابق – أي ظهور إسناد الحجب إليه تعالى في صدوره منه – الذي أريد به دفع دلالة الحديث على البراءة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المناقشة في كلا القرينتين اللتين 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القرينة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يقال إن ما اوحاه الله تعالى 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أيضاً نحو تقرر وثبوت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أنزل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وأبلغه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بينه وبين ما بلّغ للناس ليكون للأخير نحو تقرر وثبوت يصحح التعبير عن اخفائه بحجب علمه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وانكار التقرر للحكم الإنشائي – كما هو مبناه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ضائر في 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مدعاه عدم مناسبة التعبير بحجب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فضلا عن عدم ثبوت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كما تقدم عند البحث عن لفظ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بالحجب وحده كاف في إفادة مراده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الأصل فيها 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إمكان دعوى شمول الموصول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للأحكام المبينة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المجهولة بسبب الأمور الخارجية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يؤيده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وضع الأحكام الفعلية عند الجهل بها عن العباد بعدم إيجاب الاحتياط في ظرف الجهل</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المؤيد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بالأحكام المبيّنة دون الأحكام غير المبيّنة</w:t>
      </w:r>
      <w:r>
        <w:rPr>
          <w:rFonts w:eastAsia="Amiri" w:cs="Amiri" w:ascii="Amiri" w:hAnsi="Amiri"/>
          <w:color w:val="111111"/>
          <w:sz w:val="28"/>
          <w:szCs w:val="28"/>
          <w:rtl w:val="true"/>
          <w:lang w:bidi="ar-SA"/>
        </w:rPr>
        <w:t xml:space="preserve">, </w:t>
      </w:r>
      <w:bookmarkStart w:id="497" w:name="pg9067_79838"/>
    </w:p>
    <w:p>
      <w:pPr>
        <w:pStyle w:val="BookText"/>
        <w:rPr/>
      </w:pPr>
      <w:bookmarkEnd w:id="497"/>
      <w:r>
        <w:rPr>
          <w:rFonts w:ascii="Amiri" w:hAnsi="Amiri" w:eastAsia="Amiri" w:cs="Amiri"/>
          <w:color w:val="111111"/>
          <w:sz w:val="28"/>
          <w:sz w:val="28"/>
          <w:szCs w:val="28"/>
          <w:rtl w:val="true"/>
          <w:lang w:bidi="ar-SA"/>
        </w:rPr>
        <w:t>ومعه لا وجه لدعوى التعميم على تقدير تمامية هذا 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من أجل ذلك عدل من جاء بعده عن دعوى الشمول الى دعوى الأختصاص بالأحكام الفعلية المجعولة على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المجعول بحسب الواقع موضوع عن الجاهل</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يقرّب 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وأيّاً كان فقد يناقش ما ذكره 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2465242_2870459653"/>
      <w:bookmarkStart w:id="499" w:name="_Toc193"/>
      <w:bookmarkEnd w:id="498"/>
      <w:r>
        <w:rPr>
          <w:rtl w:val="true"/>
        </w:rPr>
        <w:t>الوجه الأول</w:t>
      </w:r>
      <w:bookmarkEnd w:id="499"/>
    </w:p>
    <w:p>
      <w:pPr>
        <w:pStyle w:val="BookText"/>
        <w:rPr/>
      </w:pPr>
      <w:r>
        <w:rPr>
          <w:rFonts w:ascii="Amiri" w:hAnsi="Amiri" w:eastAsia="Amiri" w:cs="Amiri"/>
          <w:color w:val="111111"/>
          <w:sz w:val="28"/>
          <w:sz w:val="28"/>
          <w:szCs w:val="28"/>
          <w:rtl w:val="true"/>
          <w:lang w:bidi="ar-SA"/>
        </w:rPr>
        <w:t xml:space="preserve">أن يقال بمنع دعوى اختصاص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ما كان قابلا للجعل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نهاية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الوجه المذكور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الوضع بمعنى الرفع بل الوضع بمعنى الجعل والأثبات، فان تعدى بحرف الأستعلاء كان المراد منه جعل شئ على شئ واثباته عليه، وان تعدى بحرف المجاوزة كان المراد صرفه عنه إلى جانب، فقد يكون ثابتا حقيقة فصرفه عنه يكون مساوقا للرفع، وقد لا يكون ثابتا بل مقتضيه ثابت فيتمحض في الصرف والجعل عنه إلى جانب، فإذا كان مقتضى جعل الحكم مقتضيا لاثباته على العباد ولكن مصلحة التسهيل أو مصلحة أخرى منعت من أمره بتبليغه وتعريفه فقد صرف عنهم وجعل عنهم إلى جانب</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مراده أن هذا التعبير كما يحتمل أن يكون بمعنى الرفع يحتمل أن يكون بمعنى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مرجح لأحدهما على الآخر و يشهد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في التعبير عن عدم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لا يقبل </w:t>
      </w:r>
    </w:p>
    <w:p>
      <w:pPr>
        <w:pStyle w:val="BookText"/>
        <w:rPr/>
      </w:pPr>
      <w:r>
        <w:rPr>
          <w:rFonts w:ascii="IRNazanin" w:hAnsi="IRNazanin" w:eastAsia="IRNazanin"/>
          <w:color w:val="111111"/>
          <w:sz w:val="28"/>
          <w:sz w:val="28"/>
          <w:szCs w:val="28"/>
          <w:rtl w:val="true"/>
          <w:lang w:bidi="fa-IR"/>
        </w:rPr>
        <w:t xml:space="preserve">الجعل كما في خبر محمد بن علي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 العباد إلا بدون سعتهم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شي أمر الناس بأخذه فهم متسعون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يتسعون له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الناس لا خير فيهم</w:t>
      </w:r>
      <w:r>
        <w:rPr>
          <w:rFonts w:eastAsia="IRNazanin" w:cs="IRNazanin"/>
          <w:color w:val="111111"/>
          <w:sz w:val="28"/>
          <w:szCs w:val="28"/>
          <w:rtl w:val="true"/>
          <w:lang w:bidi="fa-IR"/>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استظهره صاحب الحاشية على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وحمران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ومرسل تحف العقول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طاقة أحد إلا وضع عنه طاعته، ولا أخذ قدرته إلا وضع عنه كلفته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 إن المتفاهم العرفي من الوضع المتعدي بحرف التجاوز هو ما يساوق الرفع المقتضي للثبوت والأستقرار في رتبة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الثبوت تارة يكون ثبوتا حقيقيا شرعا اوعرفا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استعمال الصيغة المذكورة ونظائرها بلا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الكثير من نصوص الكتاب والسنة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عنكم اصركم والأغلال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ووضعنا عنك وزرك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خطبة الزهر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قبض الله 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رأفة واختيار، رغبة بأبي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الدار، موضوع عنه العبء والأوزار</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 النصوص الأخرى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وتارة يكون الأستعمال بنحو من العناية لثبوت مقتضي الجعل مثلاً كما في قضية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يحيى 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وجزاء الصيد على العالم والجاهل سواء وفي </w:t>
      </w:r>
    </w:p>
    <w:p>
      <w:pPr>
        <w:pStyle w:val="BookText"/>
        <w:rPr/>
      </w:pPr>
      <w:r>
        <w:rPr>
          <w:rFonts w:ascii="Amiri" w:hAnsi="Amiri" w:eastAsia="Amiri" w:cs="Amiri"/>
          <w:color w:val="111111"/>
          <w:sz w:val="28"/>
          <w:sz w:val="28"/>
          <w:szCs w:val="28"/>
          <w:rtl w:val="true"/>
          <w:lang w:bidi="ar-SA"/>
        </w:rPr>
        <w:t>العمد عليه المآثم، وهو موضوع عنه في الخطأ</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لتوهم الثبوت كما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غرة شعبان وشعب خيراته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والزكاة، والأمر بالمعروف، والنهي عن المنكر، وبر الوالدين، والقرابات، والجيران، وإصلاح ذات البين، والصدقة على الفقراء والمساكين، تتكلفون ما قد وضع عنكم، وما قد نهيتم عن الخوض فيه، من كشف سرائر الله، التي من فتش عنها كان من الهالكين</w:t>
      </w:r>
      <w:r>
        <w:rPr>
          <w:rFonts w:eastAsia="IRNazanin" w:cs="IRNazanin"/>
          <w:color w:val="111111"/>
          <w:sz w:val="28"/>
          <w:szCs w:val="28"/>
          <w:rtl w:val="true"/>
          <w:lang w:bidi="fa-IR"/>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المناسبات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الخبران المذكوران فالظاهر أن الأول ناظر الى قاعدة نفي الحرج بقرينة الأية التي عقّب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أمروا إلا بدون سعتهم، وكل شئ أمر الناس به فهم يسعون له، وكل شئ لا يسعون له فهو موضوع عنهم، ولكن أكثر الناس لا خير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الضعفاء ولا على المرضى ولا على الذين لا يجدون ما ينفقون حرج إذا نصحوا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المحسنين من سبيل والله غفور رحيم، ولا على الذين إذا ما أتوك لتحملهم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عنهم لأنهم لا يجدون</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مرسلة التحف فبعناية سبق الطاقة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بالوضع المتعدي بحرف المجاوزة إنما هو بمعنى الرفع بعد الثبوت حقيقة أو مجازا وكونه بمعنى الصرف غير واضح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يظهر الجواب عمّا ذكره 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ترجيح ظهور </w:t>
      </w:r>
      <w:bookmarkStart w:id="500" w:name="pg9067_79841"/>
    </w:p>
    <w:p>
      <w:pPr>
        <w:pStyle w:val="BookText"/>
        <w:rPr/>
      </w:pPr>
      <w:bookmarkEnd w:id="5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تمثّل قرينة على التجوّز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العكس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لوقوع التعبير بهذه الصيغة عن عدم التكليف مع وجود المقتضي للجعل أو توهم المسؤلية تجاه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غير حزازة أو استهجان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نسبة كتمان أحكام الله تعالى عصيانا وتمردا الى المولى سبحانه فإنه مما لا يكاد يراه العرف لائقاً بعد قبحه ولو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ظهور إسناد الحجب إليه تعالى في صدوره منه بإرادته وأمره أكثر وضوحا وأشد استحكاما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الفعلية فيصلح لأن يكون قرينة عليه دون العكس على تقدير التصادم بين الظهورين ولا أقل من الإجمال</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2465244_2870459653"/>
      <w:bookmarkStart w:id="502" w:name="_Toc194"/>
      <w:bookmarkEnd w:id="501"/>
      <w:r>
        <w:rPr>
          <w:rtl w:val="true"/>
        </w:rPr>
        <w:t>الوجه الثاني</w:t>
      </w:r>
      <w:bookmarkEnd w:id="502"/>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يكون استعمال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عن عدم تكليفهم بالمحجوب لتوهم البعض بأن الناس قد يكونون مطالبين بهذا النحو من الأحكام خصوصاً إذا كان عدم تبليغهم بها لوجود المانع ولا ينبغي استبعاد هذا التوهم بعد رواج بعض المدارس الفكرية التي لا تستنكر محاسبة الله تعالى لعبده على مثل هذه المخالفات ولا تستقبح معاقبة المطيع وإثابة العاصي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ينبغي لمثل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إنكار وجود الموهم للمسؤولية إزاء تلك الأحكام بعد ما ذكره في بحث قاعدة قبح العقاب بلا بيان من أنه لا أساس لها وأن ملاك العقوبة الأخروية 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تعالى يعاقب عباده المطيعين في الدنيا رغم طاعتهم فضلاً عن مخالفتهم عن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قاعدة قبح العقاب بلا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مؤاخذة المولى الشرعي في النشأة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بين المولى الحقيقي ومخلوقاته فلا يتصور أن للعبد حقا خاصا على مولاه إذ هو ملكه ومخلوقة يتصرف به ما يشاء يفقره ويمرضه ويهمه وغير ذلك مع علم العبد بالمخالفة وجهله بل </w:t>
      </w:r>
      <w:bookmarkStart w:id="503" w:name="pg9067_79842"/>
    </w:p>
    <w:p>
      <w:pPr>
        <w:pStyle w:val="BookText"/>
        <w:rPr/>
      </w:pPr>
      <w:bookmarkEnd w:id="503"/>
      <w:r>
        <w:rPr>
          <w:rFonts w:ascii="Amiri" w:hAnsi="Amiri" w:eastAsia="Amiri" w:cs="Amiri"/>
          <w:color w:val="111111"/>
          <w:sz w:val="28"/>
          <w:sz w:val="28"/>
          <w:szCs w:val="28"/>
          <w:rtl w:val="true"/>
          <w:lang w:bidi="ar-SA"/>
        </w:rPr>
        <w:t>مع طاعته لمولاه وخضوعه لأوامره 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يتنافى ذلك مع بناء العقلاء كما لا يتنافى مع القوة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مؤاخذة المولى لشرعي في النشأة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المحتمل ثبوت الملاك – أي ملاك العقوبة الأخروية – في مورد المخالفة فكيف يُدّعى منافرته للقوة العاقلة أو أنه مع بناء العقلاء لأجل حفظ النظام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عدم تمامية قاعدة قبح العقاب بلا بيان وعدم إحراز ملاك العقوبة الأخروية ومع معاقبة المولى عبده مطلقا في هذه الحياة كيف يأمن العبد لو خلّي وعقله من احتمال مسائلته عن تلك الأحكام التي هي في الأخير مرادات المولى ومحبوباته وإن لم تسمَ عرفا أحكاما</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2465246_2870459653"/>
      <w:bookmarkStart w:id="505" w:name="_Toc195"/>
      <w:bookmarkEnd w:id="504"/>
      <w:r>
        <w:rPr>
          <w:rtl w:val="true"/>
        </w:rPr>
        <w:t>الوجه الثالث</w:t>
      </w:r>
      <w:bookmarkEnd w:id="50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الاختصاص بالأحكام الفعلية – لو تم – لا يصادم ظهور إسناد الحجب اليه تعالى في صدوره منه بإرادته وأمره وإنما يصادم ظهور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الأطلاق الشامل للأحكام غيرالمبلغة الى الناس وغاية ما يقتضيه ذلك رفع اليد عن هذا الأطلاق وتخصيصه بالأحكام المبلغة فيكون المعنى حينئذ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الفعلية التي حجبها الله تعالى عن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حجبه الظالمون – موضوعة عنهم وعليه لا سبيل للاستدلال بالحديث – بنفسه – على البراءة ما لم تضم اليه مقدمة أخرى من مناسبات الحكم والموضوع ونحوها</w:t>
      </w:r>
      <w:r>
        <w:rPr>
          <w:rFonts w:eastAsia="IRNazanin" w:cs="IRNazanin"/>
          <w:color w:val="111111"/>
          <w:sz w:val="28"/>
          <w:szCs w:val="28"/>
          <w:rtl w:val="true"/>
          <w:lang w:bidi="fa-IR"/>
        </w:rPr>
        <w:t xml:space="preserve">. </w:t>
      </w:r>
      <w:bookmarkStart w:id="506" w:name="pg9067_79843"/>
    </w:p>
    <w:p>
      <w:pPr>
        <w:pStyle w:val="Heading3"/>
        <w:numPr>
          <w:ilvl w:val="2"/>
          <w:numId w:val="1"/>
        </w:numPr>
        <w:rPr/>
      </w:pPr>
      <w:bookmarkStart w:id="507" w:name="__RefHeading___Toc2465248_2870459653"/>
      <w:bookmarkStart w:id="508" w:name="_Toc196"/>
      <w:bookmarkEnd w:id="506"/>
      <w:bookmarkEnd w:id="507"/>
      <w:r>
        <w:rPr>
          <w:rtl w:val="true"/>
        </w:rPr>
        <w:t>المصادر</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مطبوعاتي ديني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الأصيلة للفيض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جاب دانشكاه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في دين الامامية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شرح مناسك الحج للسيد محمد رضا السيستاني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الاصول للسيد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فرودين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تحريرات في الأصول السيد مصطفى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لابن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للشيخ محمد الاردبيلي الغروي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موسى الشبيري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في دراية الحديث</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لابن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 للشيخ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الاولى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الاعلمي للمطبوعات –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في أصول الأئمة للحر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 القائيني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اسلامي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القرآن لقطب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احمد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الفقاهة – الشيخ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الطوسية 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العلمية الطبعة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للشيخ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للهيثمي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للبرقي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جلال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الاصول تقريرات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محمد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بتصحيحه الشيخ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مقباس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نكارش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منتقى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بحث السيد الروحاني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السيد عبد الصاحب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الشيعة للاحمدي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للشيخ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للسيد حسن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ماجد الغرباوي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للفاضل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حسين الرضوي الكشميري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مجمع الفكر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الى تحصيل مسائل الشريعة 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bookmarkStart w:id="509" w:name="pg9067_79847"/>
    </w:p>
    <w:p>
      <w:pPr>
        <w:pStyle w:val="Heading2"/>
        <w:numPr>
          <w:ilvl w:val="1"/>
          <w:numId w:val="1"/>
        </w:numPr>
        <w:rPr/>
      </w:pPr>
      <w:bookmarkStart w:id="510" w:name="__RefHeading___Toc2465250_2870459653"/>
      <w:bookmarkStart w:id="511" w:name="_Toc197"/>
      <w:bookmarkEnd w:id="509"/>
      <w:bookmarkEnd w:id="510"/>
      <w:r>
        <w:rPr>
          <w:rtl w:val="true"/>
        </w:rPr>
        <w:t xml:space="preserve">توصيف رجال الشيخ الطوسي </w:t>
      </w:r>
      <w:r>
        <w:rPr>
          <w:rtl w:val="true"/>
        </w:rPr>
        <w:t>(</w:t>
      </w:r>
      <w:r>
        <w:rPr>
          <w:rtl w:val="true"/>
        </w:rPr>
        <w:t>قدس سره</w:t>
      </w:r>
      <w:r>
        <w:rPr>
          <w:rtl w:val="true"/>
        </w:rPr>
        <w:t xml:space="preserve">) - </w:t>
      </w:r>
      <w:r>
        <w:rPr>
          <w:rtl w:val="true"/>
        </w:rPr>
        <w:t xml:space="preserve">الشيخ نجم الترابي </w:t>
      </w:r>
      <w:r>
        <w:rPr>
          <w:rtl w:val="true"/>
        </w:rPr>
        <w:t>(</w:t>
      </w:r>
      <w:r>
        <w:rPr>
          <w:rtl w:val="true"/>
        </w:rPr>
        <w:t>دام عزه</w:t>
      </w:r>
      <w:r>
        <w:rPr>
          <w:rtl w:val="true"/>
        </w:rPr>
        <w:t>)</w:t>
      </w:r>
      <w:bookmarkEnd w:id="511"/>
    </w:p>
    <w:p>
      <w:pPr>
        <w:pStyle w:val="Heading3"/>
        <w:numPr>
          <w:ilvl w:val="2"/>
          <w:numId w:val="1"/>
        </w:numPr>
        <w:rPr/>
      </w:pPr>
      <w:bookmarkStart w:id="512" w:name="__RefHeading___Toc2465252_2870459653"/>
      <w:bookmarkStart w:id="513" w:name="_Toc198"/>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بعد أن قمنا بتحليل مقدّمة الشيخ لكتابه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متابعة ما في الكتاب بالمقارنة مع 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مجموعة أمور رئيسة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العام الذي اعتمده الشيخ في تصنيفه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الإشكاليات التي وجُهت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تأخره عن الفهرست وتقدّمه على كتاب الاختيار</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9067_79849"/>
      <w:bookmarkStart w:id="515" w:name="pg9067_79849"/>
      <w:bookmarkEnd w:id="515"/>
    </w:p>
    <w:p>
      <w:pPr>
        <w:pStyle w:val="BookText"/>
        <w:rPr/>
      </w:pPr>
      <w:bookmarkStart w:id="516" w:name="pg9067_79849"/>
      <w:bookmarkEnd w:id="516"/>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وبه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محمد وآله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مقدمة وفصول وخاتمة</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2465254_2870459653"/>
      <w:bookmarkStart w:id="518" w:name="_Toc199"/>
      <w:bookmarkEnd w:id="517"/>
      <w:r>
        <w:rPr>
          <w:rtl w:val="true"/>
        </w:rPr>
        <w:t>المقدمة</w:t>
      </w:r>
      <w:bookmarkEnd w:id="518"/>
    </w:p>
    <w:p>
      <w:pPr>
        <w:pStyle w:val="Heading4"/>
        <w:numPr>
          <w:ilvl w:val="3"/>
          <w:numId w:val="1"/>
        </w:numPr>
        <w:rPr/>
      </w:pPr>
      <w:bookmarkStart w:id="519" w:name="__RefHeading___Toc2465256_2870459653"/>
      <w:bookmarkStart w:id="520" w:name="_Toc200"/>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 xml:space="preserve">كتاب 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تتجلى أهميته لابد من البحث مقدمةً عن الأصول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عام يقع قبل الدخول في توصيف الأصول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ونذكره في أمور خمسة</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2465258_2870459653"/>
      <w:bookmarkStart w:id="522" w:name="_Toc201"/>
      <w:bookmarkEnd w:id="521"/>
      <w:r>
        <w:rPr>
          <w:rtl w:val="true"/>
        </w:rPr>
        <w:t>الأمر الأول</w:t>
      </w:r>
      <w:bookmarkEnd w:id="522"/>
    </w:p>
    <w:p>
      <w:pPr>
        <w:pStyle w:val="BookText"/>
        <w:rPr/>
      </w:pPr>
      <w:r>
        <w:rPr>
          <w:rFonts w:ascii="Amiri" w:hAnsi="Amiri" w:eastAsia="Amiri" w:cs="Amiri"/>
          <w:color w:val="111111"/>
          <w:sz w:val="28"/>
          <w:sz w:val="28"/>
          <w:szCs w:val="28"/>
          <w:rtl w:val="true"/>
          <w:lang w:bidi="ar-SA"/>
        </w:rPr>
        <w:t>المصنفات المرتبطة برواة الأحاديث متعددة الأنواع كما ستأتي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والتصنيف المناسب – كما هو مذكور في كلمات الأعلام</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تعرض الأبحاث الرجالية في فنون ثلاثة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تمييز المشتركات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طبقات الرواة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الجرح والتعديل</w:t>
      </w:r>
      <w:r>
        <w:rPr>
          <w:rFonts w:eastAsia="Amiri" w:cs="Amiri" w:ascii="Amiri" w:hAnsi="Amiri"/>
          <w:color w:val="111111"/>
          <w:sz w:val="28"/>
          <w:szCs w:val="28"/>
          <w:rtl w:val="true"/>
          <w:lang w:bidi="ar-SA"/>
        </w:rPr>
        <w:t xml:space="preserve">. </w:t>
      </w:r>
      <w:bookmarkStart w:id="523" w:name="pg9067_79850"/>
    </w:p>
    <w:p>
      <w:pPr>
        <w:pStyle w:val="BookText"/>
        <w:rPr/>
      </w:pPr>
      <w:bookmarkEnd w:id="523"/>
      <w:r>
        <w:rPr>
          <w:rFonts w:ascii="Amiri" w:hAnsi="Amiri" w:eastAsia="Amiri" w:cs="Amiri"/>
          <w:color w:val="111111"/>
          <w:sz w:val="28"/>
          <w:sz w:val="28"/>
          <w:szCs w:val="28"/>
          <w:rtl w:val="true"/>
          <w:lang w:bidi="ar-SA"/>
        </w:rPr>
        <w:t>والوجه في اختيار هكذا تصنيف وترتيب هو ما تقتضيه كيفية التعامل مع المعلومة الرجالية وصولاً إلى تشخيص اعتبار السند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لم يكن كل واحد من رواة السند متميّزاً ومتعيّناً لا يتسنى لنا تحديد طبقته والإطلاع على وثاقته أو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تمييزه إذا كان مشتركاً فإنّه لا قيمة لوثاقة رواته إذ قد يكون هذا السند الذي ظاهره الاتصال والعنعنة ليس كذلك واقعاً بل هناك انقطاع وإرسال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واستكشاف ذلك إنما يكون عن طريق تشخيص طبقات رواته</w:t>
      </w:r>
      <w:r>
        <w:rPr>
          <w:rStyle w:val="FootnoteAnchor"/>
          <w:rtl w:val="true"/>
        </w:rPr>
        <w:footnoteReference w:id="407"/>
      </w:r>
      <w:r>
        <w:rPr>
          <w:rFonts w:ascii="Amiri" w:hAnsi="Amiri" w:eastAsia="Amiri" w:cs="Amiri"/>
          <w:color w:val="111111"/>
          <w:sz w:val="28"/>
          <w:sz w:val="28"/>
          <w:szCs w:val="28"/>
          <w:rtl w:val="true"/>
          <w:lang w:bidi="ar-SA"/>
        </w:rPr>
        <w:t>ومن ثمّ يأتي أثر تحديد وثاقة رواته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حتى نصل إلى اعتبار السند أو عدمه لابد من طي مراحل ثلاث في فنون ثلاثة</w:t>
      </w:r>
      <w:r>
        <w:rPr>
          <w:rStyle w:val="FootnoteAnchor"/>
          <w:rtl w:val="true"/>
        </w:rPr>
        <w:footnoteReference w:id="408"/>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الحاجة إلى تميز المشتركات ليست دائمية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تحديد الطبقات وتوثيق الرواة</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2465260_2870459653"/>
      <w:bookmarkStart w:id="525" w:name="_Toc202"/>
      <w:bookmarkEnd w:id="524"/>
      <w:r>
        <w:rPr>
          <w:rtl w:val="true"/>
        </w:rPr>
        <w:t>الأمر الثاني</w:t>
      </w:r>
      <w:bookmarkEnd w:id="525"/>
    </w:p>
    <w:p>
      <w:pPr>
        <w:pStyle w:val="BookText"/>
        <w:rPr/>
      </w:pPr>
      <w:r>
        <w:rPr>
          <w:rFonts w:ascii="Amiri" w:hAnsi="Amiri" w:eastAsia="Amiri" w:cs="Amiri"/>
          <w:color w:val="111111"/>
          <w:sz w:val="28"/>
          <w:sz w:val="28"/>
          <w:szCs w:val="28"/>
          <w:rtl w:val="true"/>
          <w:lang w:bidi="ar-SA"/>
        </w:rPr>
        <w:t>هذه الفنون الثلاثة لها مبادئ مشتركة ولكلٍ منها مبادئ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فالمبادئ المشتركة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علم الرجال وما يرتبط 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المعلومة الرجالية</w:t>
      </w:r>
      <w:r>
        <w:rPr>
          <w:rFonts w:eastAsia="Amiri" w:cs="Amiri" w:ascii="Amiri" w:hAnsi="Amiri"/>
          <w:color w:val="111111"/>
          <w:sz w:val="28"/>
          <w:szCs w:val="28"/>
          <w:rtl w:val="true"/>
          <w:lang w:bidi="ar-SA"/>
        </w:rPr>
        <w:t xml:space="preserve">. </w:t>
      </w:r>
      <w:bookmarkStart w:id="526" w:name="pg9067_79851"/>
    </w:p>
    <w:p>
      <w:pPr>
        <w:pStyle w:val="BookText"/>
        <w:rPr/>
      </w:pPr>
      <w:bookmarkEnd w:id="52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المعايير في قبول وحجيّة قول الرجالي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التعارض بين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يختلف عن التعارض في الروايات التي بشأن الرجال كما في كتاب 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يتعامل معها بقواعد التعارض التي في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المعايير في اعتبار ما نصل إليه نحن بالتتبع وتجميع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قول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يذكر القطع والاطمئنان والظن في خصوص المعلومة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تؤخذ بعض هذه كأصول موضوعه من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المبادئ المشتركة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كون هذه من المبادئ المشتركة هو دخولها في هذه الفنون الثلاثة وعدم اختصاصها بأحدها</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2465262_2870459653"/>
      <w:bookmarkStart w:id="528" w:name="_Toc203"/>
      <w:bookmarkEnd w:id="527"/>
      <w:r>
        <w:rPr>
          <w:rtl w:val="true"/>
        </w:rPr>
        <w:t>الأمر الثالث</w:t>
      </w:r>
      <w:bookmarkEnd w:id="528"/>
    </w:p>
    <w:p>
      <w:pPr>
        <w:pStyle w:val="Heading5"/>
        <w:numPr>
          <w:ilvl w:val="4"/>
          <w:numId w:val="1"/>
        </w:numPr>
        <w:rPr/>
      </w:pPr>
      <w:bookmarkStart w:id="529" w:name="__RefHeading___Toc2465264_2870459653"/>
      <w:bookmarkStart w:id="530" w:name="_Toc204"/>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منابع المعلومة الرجالية – واعني بالمعلومة الرجالية مسائل الفنون الثلاثة المذكورة آنفاً وغيرها كمسائل الفهارس والمشيخة وتاريخ علم الرجال – والتي هي من المبادئ المشتركة وتتمثل في أربعة أمور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وأعني بها الكتب والنصوص المتعلقة بأحوال الرواة من الجهة المنظورة للرجالي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ذكرت النصوص لأنها قد لا تكون كتاباً مستقلاً بل نصوص موجودة في كتب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تصلح للمرجعية وأن تكون أصلا وإن لم تكن الكتب المشتملة عليها كذلك</w:t>
      </w:r>
      <w:r>
        <w:rPr>
          <w:rFonts w:eastAsia="Amiri" w:cs="Amiri" w:ascii="Amiri" w:hAnsi="Amiri"/>
          <w:color w:val="111111"/>
          <w:sz w:val="28"/>
          <w:szCs w:val="28"/>
          <w:rtl w:val="true"/>
          <w:lang w:bidi="ar-SA"/>
        </w:rPr>
        <w:t xml:space="preserve">. </w:t>
      </w:r>
      <w:bookmarkStart w:id="531" w:name="pg9067_79852"/>
    </w:p>
    <w:p>
      <w:pPr>
        <w:pStyle w:val="BookText"/>
        <w:rPr/>
      </w:pPr>
      <w:bookmarkEnd w:id="53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التحديثية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على الاستفادة منها في علم الرجال وتحليل المعلومة الرجالية السيد</w:t>
      </w:r>
    </w:p>
    <w:p>
      <w:pPr>
        <w:pStyle w:val="BookText"/>
        <w:rPr/>
      </w:pPr>
      <w:r>
        <w:rPr>
          <w:rFonts w:ascii="Amiri" w:hAnsi="Amiri" w:eastAsia="Amiri" w:cs="Amiri"/>
          <w:color w:val="111111"/>
          <w:sz w:val="28"/>
          <w:sz w:val="28"/>
          <w:szCs w:val="28"/>
          <w:rtl w:val="true"/>
          <w:lang w:bidi="ar-SA"/>
        </w:rPr>
        <w:t>البروجردي</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 الفقهية والأصولية التي يحتمل وصول بعض المصادر الرجالية الحديثة والقديمة إليها أو كانت تصلح للمرجعية كالعدّة وكتب الشيخ الطوسي وابن إدريس والشهيد الأول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السير والتراجم والتأريخ القديمة إذ أنَّ علم الرجال أحد علوم التأريخ والسير والتراجم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 أي في الأمر الثالث – جهات ينبغي الالتفات إليها</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2465266_2870459653"/>
      <w:bookmarkStart w:id="533" w:name="_Toc205"/>
      <w:bookmarkEnd w:id="532"/>
      <w:r>
        <w:rPr>
          <w:rtl w:val="true"/>
        </w:rPr>
        <w:t>الجهة الأولى</w:t>
      </w:r>
      <w:bookmarkEnd w:id="533"/>
    </w:p>
    <w:p>
      <w:pPr>
        <w:pStyle w:val="BookText"/>
        <w:rPr/>
      </w:pPr>
      <w:r>
        <w:rPr>
          <w:rFonts w:ascii="Amiri" w:hAnsi="Amiri" w:eastAsia="Amiri" w:cs="Amiri"/>
          <w:color w:val="111111"/>
          <w:sz w:val="28"/>
          <w:sz w:val="28"/>
          <w:szCs w:val="28"/>
          <w:rtl w:val="true"/>
          <w:lang w:bidi="ar-SA"/>
        </w:rPr>
        <w:t>يتضح وبأدنى تتبع لفهرستي النجاشي والشيخ ورجاله أنهم يعتمدون على المصنفات الرجالية للمتقدمين من العامة والخاصة وكذا كتب السير والتاريخ والتراجم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المناسب تشخيص مصادر الشيخ والنجاشي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بالغ الأثر في تقييم هذه الكتب والاستفادة منها</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2465268_2870459653"/>
      <w:bookmarkStart w:id="535" w:name="_Toc206"/>
      <w:bookmarkEnd w:id="534"/>
      <w:r>
        <w:rPr>
          <w:rtl w:val="true"/>
        </w:rPr>
        <w:t>الجهة الثانية</w:t>
      </w:r>
      <w:bookmarkEnd w:id="53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سعة الاعتماد على هذه المنابع يعتمد من جهة على المبنى في حجية قول الرجالي أو قل بعبارة أوسع الحجية في المعلومة الرجالية حتى لو لم تؤخذ من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الذي يرى الحجية من باب حجية مطلق الظنون فدائرة استفادته من هذه المنابع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يرى الحجية من باب مطلق الاطمئنان أقل سعة والذي يراها من باب كون الرجالي من أهل الخبرة والتثبيت تكون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يراها من باب أخبار الثقة أيضاً تكون دائرة استفادته وسيعة وهكذا </w:t>
      </w:r>
      <w:r>
        <w:rPr>
          <w:rFonts w:eastAsia="Amiri" w:cs="Amiri" w:ascii="Amiri" w:hAnsi="Amiri"/>
          <w:color w:val="111111"/>
          <w:sz w:val="28"/>
          <w:szCs w:val="28"/>
          <w:rtl w:val="true"/>
          <w:lang w:bidi="ar-SA"/>
        </w:rPr>
        <w:t xml:space="preserve">. </w:t>
      </w:r>
      <w:bookmarkStart w:id="536" w:name="pg9067_79853"/>
    </w:p>
    <w:p>
      <w:pPr>
        <w:pStyle w:val="Heading5"/>
        <w:numPr>
          <w:ilvl w:val="4"/>
          <w:numId w:val="1"/>
        </w:numPr>
        <w:rPr/>
      </w:pPr>
      <w:bookmarkStart w:id="537" w:name="__RefHeading___Toc2465270_2870459653"/>
      <w:bookmarkStart w:id="538" w:name="_Toc207"/>
      <w:bookmarkEnd w:id="536"/>
      <w:bookmarkEnd w:id="537"/>
      <w:r>
        <w:rPr>
          <w:rtl w:val="true"/>
        </w:rPr>
        <w:t>الجهة الثالثة</w:t>
      </w:r>
      <w:bookmarkEnd w:id="538"/>
    </w:p>
    <w:p>
      <w:pPr>
        <w:pStyle w:val="BookText"/>
        <w:rPr/>
      </w:pPr>
      <w:r>
        <w:rPr>
          <w:rFonts w:ascii="Amiri" w:hAnsi="Amiri" w:eastAsia="Amiri" w:cs="Amiri"/>
          <w:color w:val="111111"/>
          <w:sz w:val="28"/>
          <w:sz w:val="28"/>
          <w:szCs w:val="28"/>
          <w:rtl w:val="true"/>
          <w:lang w:bidi="ar-SA"/>
        </w:rPr>
        <w:t>أصحاب الأصول الرجالية وإن كانوا قد اعتمدوا مثل هذه المنابع الأربعة كما نوهنا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أكثرها كان الأول – كما سيأتي في بيان منهج الشيخ في رجاله – أما من جاء بعدهم فبنسب متفاوتة كان بعضهم يرى التعاون بين المنبعين الأولين كالشيخ حسن العاملي في 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والأردبيلي في جامع الرواة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يقتصروا على الأول وإن كان الأكثر اعتماداً ولم يعرضوا عن الثاني بل زاوجوا بينهما في أبحاثهم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أكثر الاعتماد على المنبع الأول صار محلاً للنقد من قبل متأخري المتأخرين كالسيد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وتلامذته والمتأثرين به من انه لابد مع ذلك وبدرجة أكبر الاستفادة من المنبع الثاني فذكروا بعض نقائص الاقتصار على المنبع الأول ومزايا المنبع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نقائص الاقتصار على المنبع الأول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تلبيته لما يحتاجه الباحث لأن الأصول الرجالية لم تترجم لجميع الرواة الذين تضمنتهم الأسانيد في الكتب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أهملت الكثير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كتب الرجال تمثل معّرفاً للرواة مما يقتضي المطابقة بان تترجم لجميع الرواة المذكورين في الأسانيد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تُرجِمَ له من الرواة لم يتعرضوا في ترجمته لبيان طبقته ومشايخه الذين روى عنهم وتلامذته الذين تحملوا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بعضهم في بعض الرواة ولكن لم يذكروا تمام مشايخه وتلامذته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تقليداً لأقوال أصحاب الأصول الرجالية وتعبداً بكلماتهم لا أنه اطلاع مباشر على أحوال الرواة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الأثر الكبير في تشخيص بعض العلل التي تحصل في الأسانيد من القلب والتصحيف والزيادة والنسخ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مزايا الاعتماد على المنبع الثاني فهي في الجملة ما نتلافى بها النقائص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إلى تتبع الأسانيد وبقطع النظر عن متونها وما فيها من دلالات من حيث خصوصيات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إلى المتون من جهة ألفاظ المتون وعددها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واستشفاف مالها من دلالات على مستوى خصوصيات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بالنظر إلى الأسانيد فقط فانه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بمتابعة تمام الأسانيد التي ذكر فيها الراوي وقياس بعضها ببعض نحصل على نتائج تمثل اطلاعاً مباشراً على أحوال الراوي لا تقليداً وتعبداً بما يقولهُ الرجاليون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الاطلاع على جميع مشايخ الراوي وتلامذته هذا إذا نظرنا إلى مقطع من السند لا إلى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نظرنا إلى تمامه فيمكننا معرفة مشايخه ومشايخ مشايخه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تمام أسانيد هذا الراوي وأسانيد مشايخه ومشايخ مشايخه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الحلقات المفقودة في سلسلة السند من خلال قياس بعض الأسانيد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تحصيل الحل لبعض العلل من التصحيف والقلب والنقص والزيادة إذ أنَّ بعض الأسانيد يكون دليلاً على الآخر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بعض خصوصيات الراوي من قبيل مكانته العلمية ووثاقته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جلالة تلامذته وإكثارهم الرواية عنه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بالنظر إلى المتون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متون أحاديث الراوي المبعثرة على الأبواب واعتبارها لفظاً ومعنى وكماً وكيفاً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منها الراوي هل متضلعاً في علم الفقه أو التفسير أو غيرهما من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له مهارة وحذاقة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ذلك كله إذا قيست رواياته بعضها ببعض وبما رواه الآخرون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انه قليل الرواية أو كثيرها وانه ثبت ضابط فيما يرويه أو مخلط مدلس</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هذه المزايا يمثل المنبع الثاني منبعاً غزيراً لا غنى للباحثين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امتنع المحصلون من الاعتماد عليه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الأسانيد آلة لملاحظة المتون وليست ملحوظة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يقلل من شأنها ومن ثم الاهتمام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أسانيد كل راو بسبب اختلاط الروايات بعضها ببعض إذ أنها تجمع في باب واحد على أساس وحدة متونها لا على أساس وحدة الرواة فترى للراوي الواحد رواية في باب الطهارة وأخرى في الخمس وثالثة في التجارة ورابعة في الإرث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يجعل جمعها أمراً صعباً والتأمل على هذا التشتت متعذراً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للمنبع الثاني من المزايا التي ذٌكرت إلا إن للمنبع الأول مزايا قد لا يعطيها المنبع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أصحاب الأصول الرجالية – أعني الشيخ والنجاشي – على كتب الرجاليين القريبي العهد من الرواة والتي لم تصل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تمام مصادر المتقدمين كانت تحت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 قليل منها قد تُلفت ولكن مع ذلك كان الكثير منها تحت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بتعداد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كتب 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سعد بن عبد الله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وحميد بن زياد النينوائي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جعفر 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الوليد وابن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وابن عبدون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عبد الله الأشعري السابق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العباس بن عقدة وابن الوليد وابن نوح والعقيقي</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ليس لديهم كتب في الفهارس والرجال لكن لديهم آراء في الرجال تمكن أصحاب الأصول الرجالية من الاطلاع عليها كالفضل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المعلومات حول الأشخاص والمصنفات تنقل بالمشافهة من معاصري الرواة أو قريبي العهد منهم عن طريق المشايخ إلى أصحاب الأصول أو أصحاب الكتب التي اعتمد عليها أصحاب الأصول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المزايا التي تمثل معرفة بالرواة قد لا تعكسها لنا الكتب التحديثية خصوصاً للرواة قليلي الرواية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إن الأصول الرجالية من أهم المبادئ المشتركة لفنون علم الرجال </w:t>
      </w:r>
      <w:bookmarkStart w:id="539" w:name="pg9067_79857"/>
    </w:p>
    <w:p>
      <w:pPr>
        <w:pStyle w:val="BookText"/>
        <w:rPr/>
      </w:pPr>
      <w:bookmarkEnd w:id="539"/>
      <w:r>
        <w:rPr>
          <w:rFonts w:ascii="Amiri" w:hAnsi="Amiri" w:eastAsia="Amiri" w:cs="Amiri"/>
          <w:color w:val="111111"/>
          <w:sz w:val="28"/>
          <w:sz w:val="28"/>
          <w:szCs w:val="28"/>
          <w:rtl w:val="true"/>
          <w:lang w:bidi="ar-SA"/>
        </w:rPr>
        <w:t>الثلاثة وغيرها بحيث لا يمكننا الدخول فيها – أي الفنون الثلاثة هذه – إلا بعد التحقيق في هذه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أننا ننطلق منها وإليها نعود</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2465272_2870459653"/>
      <w:bookmarkStart w:id="541" w:name="_Toc208"/>
      <w:bookmarkEnd w:id="540"/>
      <w:r>
        <w:rPr>
          <w:rtl w:val="true"/>
        </w:rPr>
        <w:t>الأمر الرابع</w:t>
      </w:r>
      <w:bookmarkEnd w:id="541"/>
    </w:p>
    <w:p>
      <w:pPr>
        <w:pStyle w:val="BookText"/>
        <w:rPr/>
      </w:pPr>
      <w:r>
        <w:rPr>
          <w:rFonts w:ascii="Amiri" w:hAnsi="Amiri" w:eastAsia="Amiri" w:cs="Amiri"/>
          <w:color w:val="111111"/>
          <w:sz w:val="28"/>
          <w:sz w:val="28"/>
          <w:szCs w:val="28"/>
          <w:rtl w:val="true"/>
          <w:lang w:bidi="ar-SA"/>
        </w:rPr>
        <w:t>في عدد الأصول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الموضوعة في هذا الباب لا تتجاوز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رجال الشيخ وفهرسته ورجال الكشي وفهرست النجاشي</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مقدمته على ترتيب أسانيد التهذيب إن الشيخ الطوسي ألف كتاب الفهرست وكتاب الرجال وبذلك يعدّ كالمؤسس فنياً لهذين الفنين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النجاشي فصنف فهرسته بعدهما</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من مدارك هذا الفن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اختيار الشيخ منه فانه الذي وصل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الشيخ وفهرسته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وفهرست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مدارك الفن – غير المعروفة – رجال البرقي وفهرست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ضعفاء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أبي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ومعجم الأدباء للحموي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المفيد وإرشاده ورسالته العددية</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معجم رجال الحديث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الأصول خمسة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الكتب – عدا رجال البرقي – من الكتب المعروفة التي تناولتها الأيدي طبقة بعد طبقة ولا يحتاج لثبوتها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الكتاب المنسوب إلى ابن الغضائري فهو لم يثبت</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وتجدر الإشارة إلى إمكان توسعة دائرة الأصول الرجالية أو النصوص التي تصلح للمرجعية في المعارف الرجالية في 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توسعتها للمصنفات المتأخرة عن الشيخ مثل مصنفات ابن</w:t>
      </w:r>
    </w:p>
    <w:p>
      <w:pPr>
        <w:pStyle w:val="BookText"/>
        <w:rPr/>
      </w:pPr>
      <w:r>
        <w:rPr>
          <w:rFonts w:ascii="Amiri" w:hAnsi="Amiri" w:eastAsia="Amiri" w:cs="Amiri"/>
          <w:color w:val="111111"/>
          <w:sz w:val="28"/>
          <w:sz w:val="28"/>
          <w:szCs w:val="28"/>
          <w:rtl w:val="true"/>
          <w:lang w:bidi="ar-SA"/>
        </w:rPr>
        <w:t>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ومنتجب الدين وغيرهما بالنظر إلى أمكانية اطلاعها على المصادر التي كانت في عصر الشيخ لقرب عهدهما من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تثبت به الوثائق أو الحسن أن ينص على ذلك أحد الأعلام المتأخرين بشرط أن يكون من أخبر عن وثاقته معاصراً للمخبر أو قريب العصر كما يتفق ذلك في توثيقات الشيخ منتجب الدين أو ابن شهر آشوب</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بعض المصنفات المتقدّمة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ينقل منها أو نقل </w:t>
      </w:r>
      <w:bookmarkStart w:id="542" w:name="pg9067_79859"/>
    </w:p>
    <w:p>
      <w:pPr>
        <w:pStyle w:val="BookText"/>
        <w:rPr/>
      </w:pPr>
      <w:bookmarkEnd w:id="542"/>
      <w:r>
        <w:rPr>
          <w:rFonts w:ascii="Amiri" w:hAnsi="Amiri" w:eastAsia="Amiri" w:cs="Amiri"/>
          <w:color w:val="111111"/>
          <w:sz w:val="28"/>
          <w:sz w:val="28"/>
          <w:szCs w:val="28"/>
          <w:rtl w:val="true"/>
          <w:lang w:bidi="ar-SA"/>
        </w:rPr>
        <w:t xml:space="preserve">القليل أو نقل وسقط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المتأخرين كابن طاووس والعلامة وابن داود</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2465274_2870459653"/>
      <w:bookmarkStart w:id="544" w:name="_Toc209"/>
      <w:bookmarkEnd w:id="543"/>
      <w:r>
        <w:rPr>
          <w:rtl w:val="true"/>
        </w:rPr>
        <w:t>الأمر الخامس</w:t>
      </w:r>
      <w:bookmarkEnd w:id="544"/>
    </w:p>
    <w:p>
      <w:pPr>
        <w:pStyle w:val="BookText"/>
        <w:rPr/>
      </w:pPr>
      <w:r>
        <w:rPr>
          <w:rFonts w:ascii="Amiri" w:hAnsi="Amiri" w:eastAsia="Amiri" w:cs="Amiri"/>
          <w:color w:val="111111"/>
          <w:sz w:val="28"/>
          <w:sz w:val="28"/>
          <w:szCs w:val="28"/>
          <w:rtl w:val="true"/>
          <w:lang w:bidi="ar-SA"/>
        </w:rPr>
        <w:t>في أنواع هذه الأصول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فن الرجال العام على أنحاء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بعنوان الرجال المجرد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بعنوان معرفة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بعنوان تاريخ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بعنوان الفهرست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بعنوان الممدوحين والمذمومين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بعنوان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 موضوع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إن يقال الأصل في الثاني والخامس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يختلفان بالتعبير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يعبر بدلهما بعنوان الجرح والتعديل</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ويجدر الإلتفات إلى أمور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الأسماء ليست مجرد كتب بل هي علوم واجدة لمقومات العلم بمعناه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والقدماء بل وبعض المتأخرين عنهم كانوا يلتزمون بهذه العناوين في مصنفاتهم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يصح الاستدلال من العنوان على المعنون كما في القاموس ووسائل الإنجاب الصناعية للسيد الأستاذ دامت بركاته</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المتأخرين فأنهم لا يعتنون بعلاقة </w:t>
      </w:r>
    </w:p>
    <w:p>
      <w:pPr>
        <w:pStyle w:val="BookText"/>
        <w:rPr/>
      </w:pPr>
      <w:r>
        <w:rPr>
          <w:rFonts w:ascii="Amiri" w:hAnsi="Amiri" w:eastAsia="Amiri" w:cs="Amiri"/>
          <w:color w:val="111111"/>
          <w:sz w:val="28"/>
          <w:sz w:val="28"/>
          <w:szCs w:val="28"/>
          <w:rtl w:val="true"/>
          <w:lang w:bidi="ar-SA"/>
        </w:rPr>
        <w:t>العنوان المعروف مع المعنون ولذا لا يصح الاستدلال 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عنوان الرجال المجرد ما كان مبتنياً على الطبقات كرجال البرقي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عنوان معرفة الرجال أو الممدوحين والمذمومين ما كان على أساس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تاريخ الرجال بيان لسيرة الرواة من دون جرح وتعديل وما يتعلق بقبول الرواية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عنوان الفهرست فهو لذكر أسماء المصنفين وكتبهم ووصفها كفهرستي الطوسي والنجاشي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ذكر فيها الطرق إلى أصحاب المصنفات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من يرى أن ذكر الطرق من صميم الفهارس علماً إن معالم العلماء وفهرست منتجب الدين من الفهارس مع انه لم تذكر فيها الطرق و عنوان المشيخة فيراد به ههنا بيان الطرق إلى رواة الأحاديث سواء كانوا أصحاب كتب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الالتفات إلى أن المشيخة قد تطلق على كتب الحديث كمشيخة الحسن بن محبوب كما أشار إلى ذلك سيدنا الأستاذ دامت بركاته بقرينة نقل ابن إدريس عنها في مستطرفاته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أصولنا الرجالية الأربعة كما هو ظاهر من عناوينها ومحتواها بعضها في الطبقات وهو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فهرسته فلذكر أصحاب المصنفات وكذا ما يطلق عليه رجال النجاشي كما صرح بذلك في بداية جزئه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اختيار الشيخ من رجال الكشي ففي الجرح والتعديل</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الفصول فتقع في توصيف رجال الشيخ الطوسي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منهجياً ينبغي أن يُعقد في المؤلِف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كان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ورافع أعلام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الفرقة بعد الأئمة المعصومين– صلوات الله </w:t>
      </w:r>
      <w:bookmarkStart w:id="545" w:name="pg9067_79861"/>
    </w:p>
    <w:p>
      <w:pPr>
        <w:pStyle w:val="BookText"/>
        <w:rPr/>
      </w:pPr>
      <w:bookmarkEnd w:id="545"/>
      <w:r>
        <w:rPr>
          <w:rFonts w:ascii="Amiri" w:hAnsi="Amiri" w:eastAsia="Amiri" w:cs="Amiri"/>
          <w:color w:val="111111"/>
          <w:sz w:val="28"/>
          <w:sz w:val="28"/>
          <w:szCs w:val="28"/>
          <w:rtl w:val="true"/>
          <w:lang w:bidi="ar-SA"/>
        </w:rPr>
        <w:t>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الشيعة الإمامية في كل ما يتعلق بالمذهب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ومهذب فنون المعقول والمسموع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ورئيسها الذي تلوى إليه الأعناق</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للكلام عن شخصه وجلالة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المقصود لنا ههنا أولاً وبالذات هو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البحث تجدر الإشارة إلى أن آلية البحث ستكون من خلال تحليل مقدمة الشيخ لكتابه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متابعة ما في الكتاب إذ العلاقة بين المقدمة ومحتويات الكتاب أن أحدهما بمثابة القرينة على الأخرى وبالتالي يمثل مضمون الكتاب تأكيداً لما في المقدّمة والتزاماً بها أو أن المقدمة تفسر ما في المضمون أو بالعكس أو يكون عدولاً عما في المقدمة كما صنع الشيخ في التهذيبين أو نسياناً لما التزم به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المذكور في المقدمة فطريق اكتشافه أما الاستقراء المفيد للاطمئنان أو البناء على فرضية نستكشف صحتها من قدرتها على تفسير الظواهر المنظورة لها أو أو </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2465276_2870459653"/>
      <w:bookmarkStart w:id="547" w:name="_Toc210"/>
      <w:bookmarkEnd w:id="546"/>
      <w:r>
        <w:rPr>
          <w:rtl w:val="true"/>
        </w:rPr>
        <w:t>الفصل الأول</w:t>
      </w:r>
      <w:r>
        <w:rPr>
          <w:rtl w:val="true"/>
        </w:rPr>
        <w:t xml:space="preserve">: </w:t>
      </w:r>
      <w:r>
        <w:rPr>
          <w:rtl w:val="true"/>
        </w:rPr>
        <w:t>في موضوعه</w:t>
      </w:r>
      <w:bookmarkEnd w:id="547"/>
    </w:p>
    <w:p>
      <w:pPr>
        <w:pStyle w:val="Heading4"/>
        <w:numPr>
          <w:ilvl w:val="3"/>
          <w:numId w:val="1"/>
        </w:numPr>
        <w:rPr/>
      </w:pPr>
      <w:bookmarkStart w:id="548" w:name="__RefHeading___Toc2465278_2870459653"/>
      <w:bookmarkStart w:id="549" w:name="_Toc211"/>
      <w:bookmarkEnd w:id="548"/>
      <w:r>
        <w:rPr>
          <w:rtl w:val="true"/>
        </w:rPr>
        <w:t>اشارة</w:t>
      </w:r>
      <w:bookmarkEnd w:id="54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مقدمته لرجاله أنه أجاب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كتاب يشتمل على أسماء الرجال الذين رووا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إلى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اذكر بعد ذلك من تأخر زمانه من رواة الحديث أو من عاصرهم ولم يرو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أمران</w:t>
      </w:r>
      <w:r>
        <w:rPr>
          <w:rFonts w:eastAsia="IRNazanin" w:cs="IRNazanin"/>
          <w:color w:val="111111"/>
          <w:sz w:val="28"/>
          <w:szCs w:val="28"/>
          <w:rtl w:val="true"/>
          <w:lang w:bidi="fa-IR"/>
        </w:rPr>
        <w:t xml:space="preserve">: </w:t>
      </w:r>
      <w:bookmarkStart w:id="550" w:name="pg9067_79862"/>
    </w:p>
    <w:p>
      <w:pPr>
        <w:pStyle w:val="Heading4"/>
        <w:numPr>
          <w:ilvl w:val="3"/>
          <w:numId w:val="1"/>
        </w:numPr>
        <w:rPr/>
      </w:pPr>
      <w:bookmarkStart w:id="551" w:name="__RefHeading___Toc2465280_2870459653"/>
      <w:bookmarkStart w:id="552" w:name="_Toc212"/>
      <w:bookmarkEnd w:id="550"/>
      <w:bookmarkEnd w:id="551"/>
      <w:r>
        <w:rPr>
          <w:rtl w:val="true"/>
        </w:rPr>
        <w:t>الأمر الأول</w:t>
      </w:r>
      <w:bookmarkEnd w:id="552"/>
    </w:p>
    <w:p>
      <w:pPr>
        <w:pStyle w:val="BookText"/>
        <w:rPr/>
      </w:pPr>
      <w:r>
        <w:rPr>
          <w:rFonts w:ascii="Amiri" w:hAnsi="Amiri" w:eastAsia="Amiri" w:cs="Amiri"/>
          <w:color w:val="111111"/>
          <w:sz w:val="28"/>
          <w:sz w:val="28"/>
          <w:szCs w:val="28"/>
          <w:rtl w:val="true"/>
          <w:lang w:bidi="ar-SA"/>
        </w:rPr>
        <w:t>ذكرنا ان عنوان الرجال المجرد يشير إلى أن الكتاب موضوعه ترتيب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كتابنا هذا ويشهد لذلك أيضاً هذا المقطع من المقدمة ومضمونه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ويعجبني نقل كلام بعض الفضلاء الباحثين في مجلة تراثنا لكن بتصرف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على إن كتاب الرجال هو على الطبقات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الكتاب على الأبواب المعنونة بأسماء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جعل لكل معصوم باباً خاصاً به أدرج فيه أسماء الرواة عنه وهذا هو ترتيب الطبقات والشيخ صرح بان رجال البرقي اسمه الطبقات وهو مرتب على السياق الذي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هذا الكتاب يؤكد على أمور لا ثمرة لها الا تعيين الطبقة ويستعمل أساليب وألفاظ خاصة بكتب الطبقات واليك نماذج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الإمام المروي عنه ولو كان أكثر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فكثيراً ما يقول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انه روى عنه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 عقد باباً خاصاً بأصحاب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للتأكيد على طبقة الراوي يستعمل مثل هذا الأسلوب أحياناً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يلجأ أحياناً إلى ذكر من روى عن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قسم من روى عن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قسم من لم يرو فهذا يمثل منهجاً عاماً للشيخ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 وفيات كثير من الرواة وسني أعمارهم أو من لقوا ومن لم يلقوا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ألفاظاً خاصة بأصحاب الطبقات مثل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الشيخ بلفظ الطبقة في مورد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ان هذا الترتيب يمثل أحد المسالك في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اعترض عليه </w:t>
      </w:r>
      <w:bookmarkStart w:id="553" w:name="pg9067_79863"/>
    </w:p>
    <w:p>
      <w:pPr>
        <w:pStyle w:val="BookText"/>
        <w:rPr/>
      </w:pPr>
      <w:bookmarkEnd w:id="553"/>
      <w:r>
        <w:rPr>
          <w:rFonts w:ascii="Amiri" w:hAnsi="Amiri" w:eastAsia="Amiri" w:cs="Amiri"/>
          <w:color w:val="111111"/>
          <w:sz w:val="28"/>
          <w:sz w:val="28"/>
          <w:szCs w:val="28"/>
          <w:rtl w:val="true"/>
          <w:lang w:bidi="ar-SA"/>
        </w:rPr>
        <w:t xml:space="preserve">من قبل متأخري المتأخرين وخصوصاً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 الفن الثاني الخاص بطبقات الرواة بما لا مجال لتفصيله ههنا</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2465282_2870459653"/>
      <w:bookmarkStart w:id="555" w:name="_Toc213"/>
      <w:bookmarkEnd w:id="554"/>
      <w:r>
        <w:rPr>
          <w:rtl w:val="true"/>
        </w:rPr>
        <w:t>الأمر الثاني</w:t>
      </w:r>
      <w:bookmarkEnd w:id="555"/>
    </w:p>
    <w:p>
      <w:pPr>
        <w:pStyle w:val="BookText"/>
        <w:rPr/>
      </w:pPr>
      <w:r>
        <w:rPr>
          <w:rFonts w:ascii="Amiri" w:hAnsi="Amiri" w:eastAsia="Amiri" w:cs="Amiri"/>
          <w:color w:val="111111"/>
          <w:sz w:val="28"/>
          <w:sz w:val="28"/>
          <w:szCs w:val="28"/>
          <w:rtl w:val="true"/>
          <w:lang w:bidi="ar-SA"/>
        </w:rPr>
        <w:t>في بيان المقصود من هذا المقطع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أسماء الذين رووا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رووا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ويندرج تحته صنفان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تأخر زمانه عن المعصومين من رواة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عاصر أحد المعصومين ولكن لم يرو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ثلاثة أقوال في من يندرج تحت هذا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راوياً عن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 ولو رواية واحدة فيندرج تحته من كانت تمام رواياته بالمباشرة 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كانت تمام رواياته بالواسطة أو كان معاصراً وملاقياً للمعصوم من دون أي رواية حتى بالواسطة فهو خارج عن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هذا القول بعض منهم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الملاقي الراوي بالمباشرة ولو رواية واحدة أو من ليست له رواية أصلاً حتى مع الواسطة هو من يندرج في القسم الأول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إليه المحقق </w:t>
      </w:r>
      <w:bookmarkStart w:id="556" w:name="pg9067_79864"/>
    </w:p>
    <w:p>
      <w:pPr>
        <w:pStyle w:val="BookText"/>
        <w:rPr/>
      </w:pPr>
      <w:bookmarkEnd w:id="556"/>
      <w:r>
        <w:rPr>
          <w:rFonts w:ascii="Amiri" w:hAnsi="Amiri" w:eastAsia="Amiri" w:cs="Amiri"/>
          <w:color w:val="111111"/>
          <w:sz w:val="28"/>
          <w:sz w:val="28"/>
          <w:szCs w:val="28"/>
          <w:rtl w:val="true"/>
          <w:lang w:bidi="ar-SA"/>
        </w:rPr>
        <w:t>التستري وصاحب سماء المقال</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هذا القسم من كانت تمام روايته بالمباشرة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تمام روايته أو أكثرها بالواسطة وذهب إليه المحقق الداماد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من كانت أكثر روايته بالواسطة يعني أن له روايات بالمباشرة فيجتمع مع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تمام روايته بالواسطة فانه يفترق عن الأول والثاني ويكون توسعه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 هذا القول شقان على الثاني يكون قولاً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أولاً في بيان أن من يندرج في القسم الأول هو الراوي بالمباشرة اما تمام روايته أو بعضها دون من كان تمام روايته بالواسطة أي في قبال القول الثالث في شقه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ثانياً في بيان أن من يندرج خصوص الراوي دون المعاصر الملاقي من دون أيةِ رواية بالمباشرة أي مقابل القول الثاني في شقه الثاني</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2465284_2870459653"/>
      <w:bookmarkStart w:id="558" w:name="_Toc214"/>
      <w:bookmarkEnd w:id="557"/>
      <w:r>
        <w:rPr>
          <w:rtl w:val="true"/>
        </w:rPr>
        <w:t>الكلام في الأول</w:t>
      </w:r>
      <w:bookmarkEnd w:id="558"/>
    </w:p>
    <w:p>
      <w:pPr>
        <w:pStyle w:val="Heading5"/>
        <w:numPr>
          <w:ilvl w:val="4"/>
          <w:numId w:val="1"/>
        </w:numPr>
        <w:rPr/>
      </w:pPr>
      <w:bookmarkStart w:id="559" w:name="__RefHeading___Toc2465286_2870459653"/>
      <w:bookmarkStart w:id="560" w:name="_Toc215"/>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ولإثباته نذكر وجوهاً ثلاثة</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2465288_2870459653"/>
      <w:bookmarkStart w:id="562" w:name="_Toc216"/>
      <w:bookmarkEnd w:id="561"/>
      <w:r>
        <w:rPr>
          <w:rtl w:val="true"/>
        </w:rPr>
        <w:t>الوجه الأول</w:t>
      </w:r>
      <w:bookmarkEnd w:id="56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المحقق التستري في الفصل الخامس</w:t>
      </w:r>
      <w:r>
        <w:rPr>
          <w:rStyle w:val="FootnoteAnchor"/>
          <w:rtl w:val="true"/>
        </w:rPr>
        <w:footnoteReference w:id="431"/>
      </w:r>
      <w:r>
        <w:rPr>
          <w:rFonts w:ascii="IRNazanin" w:hAnsi="IRNazanin" w:eastAsia="IRNazanin"/>
          <w:color w:val="111111"/>
          <w:sz w:val="28"/>
          <w:sz w:val="28"/>
          <w:szCs w:val="28"/>
          <w:rtl w:val="true"/>
          <w:lang w:bidi="fa-IR"/>
        </w:rPr>
        <w:t xml:space="preserve">انه يُفرَّق بين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فلان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يستلزم الرواية بلا واسطة وأما الثاني فأعم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أحياناً يجعل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ترجمة غياث بن ابراهيم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اسند عنه وروى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يجعلها بمعنى واحد كما في جابر بن يزيد الجعفي ومحمد بن إسحاق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اسند </w:t>
      </w:r>
      <w:bookmarkStart w:id="563" w:name="pg9067_79865"/>
    </w:p>
    <w:p>
      <w:pPr>
        <w:pStyle w:val="BookText"/>
        <w:rPr/>
      </w:pPr>
      <w:bookmarkEnd w:id="563"/>
      <w:r>
        <w:rPr>
          <w:rFonts w:ascii="IRNazanin" w:hAnsi="IRNazanin" w:eastAsia="IRNazanin"/>
          <w:color w:val="111111"/>
          <w:sz w:val="28"/>
          <w:sz w:val="28"/>
          <w:szCs w:val="28"/>
          <w:rtl w:val="true"/>
          <w:lang w:bidi="fa-IR"/>
        </w:rPr>
        <w:t>عنه وروى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وأحياناً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منه وروى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 في الأصل يقتضي التغاير كما في ترجمة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ترجمة اسماعيل بن عبد الله بن جعفر بن أبي طالب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عنه وسمع إياه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يتضح أن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في الأعم من المباشرة والواسطة ولكن أكثر استعمالاتها والظاهر منها هو الرواية بالمباشرة إلا إذا قامت قرينة على الخلاف كما فهم ذلك المحقق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من قول النجاشي من أن ابراهيم بن محمد الأشعري قد روى عن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يقصد الرواية بالمباشرة ولذا اعترض عليه أنه ليس له رواية عن أحدهما ولا غيرهما من الأئمة مع أن له روايات بالواسطة عن الباقر والصادق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لذلك انسباق هذا المعنى من هذه الكلمة فهو الظاهر منها بلا فرق في كون الانسباق حاقياً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ندعي أنها موضوعة للرواية بالمباشرة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يقال حتى لو تم ما ذكرتم الا أن الشيخ استبدل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المقدمة نفسها ذكر كلمة رجال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قد يشير إلى عدوله أو أن مقصوده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الأعم من أصحاب الرواية والإسناد كما ذهب إلى تفسير الأصحاب بذلك المحقق الداماد في رواشحه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هذا ليس بتام إذ المحقق الداماد يوسع دائرة الرواية بالواسطة حتى إلى من لم يدرك عصر المعصوم وسيأتي في الوجه الثاني </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2465290_2870459653"/>
      <w:bookmarkStart w:id="565" w:name="_Toc217"/>
      <w:bookmarkEnd w:id="564"/>
      <w:r>
        <w:rPr>
          <w:rtl w:val="true"/>
        </w:rPr>
        <w:t>الوجه الثاني</w:t>
      </w:r>
      <w:bookmarkEnd w:id="56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يلزم من اندراج من يكون تمام روايته مع الواسطة في أصحاب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جميع من يقع في سند الروايات إلى احدهم ممن لم يتأخر عن زمان </w:t>
      </w:r>
      <w:bookmarkStart w:id="566" w:name="pg9067_79866"/>
    </w:p>
    <w:p>
      <w:pPr>
        <w:pStyle w:val="BookText"/>
        <w:rPr/>
      </w:pPr>
      <w:bookmarkEnd w:id="566"/>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أصحابهم </w:t>
      </w:r>
      <w:r>
        <w:rPr>
          <w:rFonts w:eastAsia="IRNazanin" w:cs="IRNazanin"/>
          <w:color w:val="111111"/>
          <w:sz w:val="28"/>
          <w:szCs w:val="28"/>
          <w:rtl w:val="true"/>
          <w:lang w:bidi="fa-IR"/>
        </w:rPr>
        <w:t>.</w:t>
      </w:r>
    </w:p>
    <w:p>
      <w:pPr>
        <w:pStyle w:val="Heading5"/>
        <w:numPr>
          <w:ilvl w:val="4"/>
          <w:numId w:val="1"/>
        </w:numPr>
        <w:rPr/>
      </w:pPr>
      <w:bookmarkStart w:id="567" w:name="__RefHeading___Toc2465292_2870459653"/>
      <w:bookmarkStart w:id="568" w:name="_Toc218"/>
      <w:bookmarkEnd w:id="567"/>
      <w:r>
        <w:rPr>
          <w:rtl w:val="true"/>
        </w:rPr>
        <w:t>الوجه الثالث</w:t>
      </w:r>
      <w:bookmarkEnd w:id="568"/>
    </w:p>
    <w:p>
      <w:pPr>
        <w:pStyle w:val="BookText"/>
        <w:rPr/>
      </w:pPr>
      <w:r>
        <w:rPr>
          <w:rFonts w:ascii="Amiri" w:hAnsi="Amiri" w:eastAsia="Amiri" w:cs="Amiri"/>
          <w:color w:val="111111"/>
          <w:sz w:val="28"/>
          <w:sz w:val="28"/>
          <w:szCs w:val="28"/>
          <w:rtl w:val="true"/>
          <w:lang w:bidi="ar-SA"/>
        </w:rPr>
        <w:t>الألفاظ التي تستعمل في تحديد الطبقة وكذا الأوصاف وان كانت نافعة إلا أنه لا تتم هذه المنفعة ولا يتحقق هذا الغرض إلا إذا كان التحديد بالرواية المباشرة إذ أن أهم أغراض تحديد الطبقات الاطلاع على الاتصال والإرسال ولا ينفع في ذلك المعاصرة أو الملاقاة فضلاً عن الرواية بالواسطة خصوصاً إذا تعددت الوسائط إلا مع التنبيه وهذا غير حاصل في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هنا ظهر انه لاندراج احدهم في أصحاب احدهم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له من الرواية بالمباشرة ولو لمرة واحدة </w:t>
      </w:r>
      <w:r>
        <w:rPr>
          <w:rFonts w:eastAsia="IRNazanin" w:cs="IRNazanin"/>
          <w:color w:val="111111"/>
          <w:sz w:val="28"/>
          <w:szCs w:val="28"/>
          <w:rtl w:val="true"/>
          <w:lang w:bidi="fa-IR"/>
        </w:rPr>
        <w:t>.</w:t>
      </w:r>
    </w:p>
    <w:p>
      <w:pPr>
        <w:pStyle w:val="Heading4"/>
        <w:numPr>
          <w:ilvl w:val="3"/>
          <w:numId w:val="1"/>
        </w:numPr>
        <w:rPr/>
      </w:pPr>
      <w:bookmarkStart w:id="569" w:name="__RefHeading___Toc2465294_2870459653"/>
      <w:bookmarkStart w:id="570" w:name="_Toc219"/>
      <w:bookmarkEnd w:id="569"/>
      <w:r>
        <w:rPr>
          <w:rtl w:val="true"/>
        </w:rPr>
        <w:t>الكلام في الثاني</w:t>
      </w:r>
      <w:bookmarkEnd w:id="570"/>
    </w:p>
    <w:p>
      <w:pPr>
        <w:pStyle w:val="Heading5"/>
        <w:numPr>
          <w:ilvl w:val="4"/>
          <w:numId w:val="1"/>
        </w:numPr>
        <w:rPr/>
      </w:pPr>
      <w:bookmarkStart w:id="571" w:name="__RefHeading___Toc2465296_2870459653"/>
      <w:bookmarkStart w:id="572" w:name="_Toc220"/>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للتوسعة التي ادعاها أصحاب القول الثاني تُذكر وجوه</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2465298_2870459653"/>
      <w:bookmarkStart w:id="574" w:name="_Toc221"/>
      <w:bookmarkEnd w:id="573"/>
      <w:r>
        <w:rPr>
          <w:rtl w:val="true"/>
        </w:rPr>
        <w:t>الوجه الأول</w:t>
      </w:r>
      <w:bookmarkEnd w:id="574"/>
    </w:p>
    <w:p>
      <w:pPr>
        <w:pStyle w:val="BookText"/>
        <w:rPr/>
      </w:pPr>
      <w:r>
        <w:rPr>
          <w:rFonts w:ascii="Amiri" w:hAnsi="Amiri" w:eastAsia="Amiri" w:cs="Amiri"/>
          <w:color w:val="111111"/>
          <w:sz w:val="28"/>
          <w:sz w:val="28"/>
          <w:szCs w:val="28"/>
          <w:rtl w:val="true"/>
          <w:lang w:bidi="ar-SA"/>
        </w:rPr>
        <w:t>التعبير بالأصحاب – ولعل التعبير بالرجال أيضاً – والتي فسرها المحقق التستري وصاحب سماء المقال</w:t>
      </w:r>
      <w:r>
        <w:rPr>
          <w:rStyle w:val="FootnoteAnchor"/>
          <w:rtl w:val="true"/>
        </w:rPr>
        <w:footnoteReference w:id="433"/>
      </w:r>
      <w:r>
        <w:rPr>
          <w:rFonts w:ascii="Amiri" w:hAnsi="Amiri" w:eastAsia="Amiri" w:cs="Amiri"/>
          <w:color w:val="111111"/>
          <w:sz w:val="28"/>
          <w:sz w:val="28"/>
          <w:szCs w:val="28"/>
          <w:rtl w:val="true"/>
          <w:lang w:bidi="ar-SA"/>
        </w:rPr>
        <w:t xml:space="preserve">بالمعاصر الملاقي سواء روى بالمباشرة أو بالواسطة أو لم يرو أصلاً غايته أن تكون تمام روايته بالواسطة يخرج بما ذُكر في 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بتراكيب متعددة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الباقر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ويدعى الاستفادة منها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الجرح والتعديل كما في الرواشح وغيرها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الاعتقاد والتصنيف كما في مقدمة فهرستي الشيخ والنجاشي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من أن المقصود بها هل مطلق المعاصرة واللقاء أو خصوص الرواية المباشرة أو الأعم منها ومن الرواية بالواسطة – أي تمام روايته بالواسطة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أي من هذه الجهات يمثل معناها اللغوي أو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ليس لها معنى 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يحدد المقصود منها بحسب القرائن الحافة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يمكن أن يدعى وجود قرائن على أن المراد بها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في أولاً في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كلمة الأصحاب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ترجمة أحمد بن إدريس القمي لحقه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ترجمة الحسين بن الحسن بن أبان أدرك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اعلم انه روى وكذا في ترجمة سعد بن عبد الله</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مقصود الشيخ الأعم من الرواية والمعاصرة واللقاء لما كان وجه لهذا التصريح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التصريح للإشارة إلى العدول إذ انه جاء متاخراً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بهذا يظهر عدم تمامية ما قد يقال أن الشيخ عدل عما ذكره في المقدمة من خلال استقراء المذكورين في أصحابهم وان بعضهم عاصر الإمام ولاقاه لكن من دون رواية أصلاً إذ لا يكون وجه لهذا التصريح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يظهر عدم تمامية ما قد يقال أن تعبيره في الباب الخاص بأصحاب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بالأصحاب بعد ما كان يعبر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أشارة إلى العدول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موارد كثيرة عند ترجمة احد أصحاب المعصوم المخصص الباب لأصحابه يذكر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فلو كان بانياً على الرواية لما كان وجه لهذا </w:t>
      </w:r>
      <w:bookmarkStart w:id="575" w:name="pg9067_79868"/>
    </w:p>
    <w:p>
      <w:pPr>
        <w:pStyle w:val="BookText"/>
        <w:rPr/>
      </w:pPr>
      <w:bookmarkEnd w:id="575"/>
      <w:r>
        <w:rPr>
          <w:rFonts w:ascii="Amiri" w:hAnsi="Amiri" w:eastAsia="Amiri" w:cs="Amiri"/>
          <w:color w:val="111111"/>
          <w:sz w:val="28"/>
          <w:sz w:val="28"/>
          <w:szCs w:val="28"/>
          <w:rtl w:val="true"/>
          <w:lang w:bidi="ar-SA"/>
        </w:rPr>
        <w:t xml:space="preserve">التصريح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أن الشيخ أنما يصنع أمثال هذا للتأكيد في تعيين الطبقة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الفارق بين موارد النقض هذه وما ذكرناه في هذه القرينة من جهة تصور التأكيد فيها دون موارد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تمثل أحد الإشكالات على الكتاب إذ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عقد الأبواب لخصوص من روى عن المعصوم فلماذا يذكر من صرح انه لم يرو عنه أصلاً كأحمد بن إدريس ؟ ولماذا ذكر من لم يعلم أنهم رووا عن المعصوم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لموارد النقض فانه لا معنى لهذا التصريح بعد عقد الأبواب لذكر أصحابهم كما أن هناك كثيراً ممن على هذه الحال ولم يصرح بذلك في ترجمتهم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التأكيد فلا يغفر الخروج عن المنهجة والاقتصار على بعض دون الأخر </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2465300_2870459653"/>
      <w:bookmarkStart w:id="577" w:name="_Toc222"/>
      <w:bookmarkEnd w:id="576"/>
      <w:r>
        <w:rPr>
          <w:rtl w:val="true"/>
        </w:rPr>
        <w:t>الوجه الثاني</w:t>
      </w:r>
      <w:bookmarkEnd w:id="577"/>
    </w:p>
    <w:p>
      <w:pPr>
        <w:pStyle w:val="BookText"/>
        <w:rPr/>
      </w:pPr>
      <w:r>
        <w:rPr>
          <w:rFonts w:ascii="Amiri" w:hAnsi="Amiri" w:eastAsia="Amiri" w:cs="Amiri"/>
          <w:color w:val="111111"/>
          <w:sz w:val="28"/>
          <w:sz w:val="28"/>
          <w:szCs w:val="28"/>
          <w:rtl w:val="true"/>
          <w:lang w:bidi="ar-SA"/>
        </w:rPr>
        <w:t xml:space="preserve">ذكر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انه يمكن أن يعد الرجل في أصحابهم لكونه معاصرهم ويعده في باب من لم يرو عنهم لكونه لم يرهم ولم يرو عنهم ومثله في كتابه كثير أي بالاستقراء والتتبع يظهر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الجواب عليه مما ذكرناه في الكلام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الاستقراء مقابله استقراء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المحقق التستري ناظر للوجه الثالث</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اعتبار المعاصرة واللقاء في هذا القسم احد أركان الفرضية التي تحل إشكال التكرار في باب من روى عن احدهم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وحلها دليل </w:t>
      </w:r>
      <w:bookmarkStart w:id="578" w:name="pg9067_79869"/>
    </w:p>
    <w:p>
      <w:pPr>
        <w:pStyle w:val="BookText"/>
        <w:rPr/>
      </w:pPr>
      <w:bookmarkEnd w:id="578"/>
      <w:r>
        <w:rPr>
          <w:rFonts w:ascii="Amiri" w:hAnsi="Amiri" w:eastAsia="Amiri" w:cs="Amiri"/>
          <w:color w:val="111111"/>
          <w:sz w:val="28"/>
          <w:sz w:val="28"/>
          <w:szCs w:val="28"/>
          <w:rtl w:val="true"/>
          <w:lang w:bidi="ar-SA"/>
        </w:rPr>
        <w:t>صحتها الكاشف عن صحة هذا الركن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بيان عدم تمامية هذا التوجيه في البحث المعقود لإشكال التكرار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من يندرج تحت القسم الأول هذا خصوص الراوي بالمباشرة ولو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يذكر من نقص يمثل إشكالاً على الكتاب إذ لم يثبت العدول ولم يثبت أي من القولين الآخرين </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2465302_2870459653"/>
      <w:bookmarkStart w:id="580" w:name="_Toc223"/>
      <w:bookmarkEnd w:id="579"/>
      <w:r>
        <w:rPr>
          <w:rtl w:val="true"/>
        </w:rPr>
        <w:t>الكلام في الصنف الأول من القسم الثاني</w:t>
      </w:r>
      <w:bookmarkEnd w:id="580"/>
    </w:p>
    <w:p>
      <w:pPr>
        <w:pStyle w:val="BookText"/>
        <w:rPr/>
      </w:pPr>
      <w:r>
        <w:rPr>
          <w:rFonts w:ascii="IRNazanin" w:hAnsi="IRNazanin" w:eastAsia="IRNazanin"/>
          <w:color w:val="111111"/>
          <w:sz w:val="28"/>
          <w:sz w:val="28"/>
          <w:szCs w:val="28"/>
          <w:rtl w:val="true"/>
          <w:lang w:bidi="fa-IR"/>
        </w:rPr>
        <w:t xml:space="preserve">في مقدمة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اذكر بعد ذلك من تأخر زمانه من رواة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ظاهر في أن بداية زمان ولادتهم أو سن تحملهم للحديث يكون بعد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الغيبة الصغرى 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طبقاتهم محصورة بين هذا التاريخ أي النصف الثاني من القرن الثالث إلى زمان الشيخ الطوسي أي بداية النصف الثاني من القرن الخامس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الصنف من رواة الحديث فلا مكان لغيرهم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ولتأخر زمانهم لا تتصور لهم رواية بالمباشرة عن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لهم رواية عنهم فبالواسطة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هذا الباب كما ذكره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يرو عن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عرفنا أن المعنى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الرواية بالمباشرة فهي المنفية دون الرواية بالواسطة إذ نفي الأخص وهي الرواية بالمباشرة لا يستلزم نفي الأعم أي مطلق الرواية حتى لو كان بالواسطة فلا تنافي بين كونهم من رواة الحديث وبين من لم يرو عن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الرواية بالمباشرة وعليه في المقدمة ذكر أن هذا الباب يشتمل على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عنوان الباب نفى الرواية بالمباشرة وهذا </w:t>
      </w:r>
      <w:bookmarkStart w:id="581" w:name="pg9067_79870"/>
    </w:p>
    <w:p>
      <w:pPr>
        <w:pStyle w:val="BookText"/>
        <w:rPr/>
      </w:pPr>
      <w:bookmarkEnd w:id="581"/>
      <w:r>
        <w:rPr>
          <w:rFonts w:ascii="IRNazanin" w:hAnsi="IRNazanin" w:eastAsia="IRNazanin"/>
          <w:color w:val="111111"/>
          <w:sz w:val="28"/>
          <w:sz w:val="28"/>
          <w:szCs w:val="28"/>
          <w:rtl w:val="true"/>
          <w:lang w:bidi="fa-IR"/>
        </w:rPr>
        <w:t>تناقض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الظاهر من رواة الحديث هو الرواية بالمباشرة لكن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تأخر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نحملها على الرواية بالواسطة فلا تنافي بين المقدمة وعنوان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هنا ظهر أن هذا الصنف هم الرواة بالواسطة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582" w:name="__RefHeading___Toc2465304_2870459653"/>
      <w:bookmarkStart w:id="583" w:name="_Toc224"/>
      <w:bookmarkEnd w:id="582"/>
      <w:r>
        <w:rPr>
          <w:rtl w:val="true"/>
        </w:rPr>
        <w:t>الكلام في الصنف الثاني من القسم الثاني</w:t>
      </w:r>
      <w:bookmarkEnd w:id="583"/>
    </w:p>
    <w:p>
      <w:pPr>
        <w:pStyle w:val="BookText"/>
        <w:rPr/>
      </w:pPr>
      <w:r>
        <w:rPr>
          <w:rFonts w:ascii="IRNazanin" w:hAnsi="IRNazanin" w:eastAsia="IRNazanin"/>
          <w:color w:val="111111"/>
          <w:sz w:val="28"/>
          <w:sz w:val="28"/>
          <w:szCs w:val="28"/>
          <w:rtl w:val="true"/>
          <w:lang w:bidi="fa-IR"/>
        </w:rPr>
        <w:t xml:space="preserve">عبارته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عاصرهم ولم يرو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يرو عن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ظهر مما سبق أن الظاهر كون المنفي هو الرواية بالمباشرة أما مع الواسطة فلا ينفيها ولا يثبتها أي من هاتين العبارتين إلا أن يقال أن سياق المقدمة من التركيز على رواة الحديث إذ أنَّ ذكر هذه العبارة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كون مقطع المقدمة في سياق رواة الحديث مما ينبه على أن المنظور هو رواة الحديث فيكون المنفي المباشر فتبقى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مناسبة طبقات الرواة للرواية دون المعاصرة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قرائن على أن مقصود الشيخ من هذا الصنف هم المعاصرون الرواة مع الواسطة أي تمام روايتهم</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2465306_2870459653"/>
      <w:bookmarkStart w:id="585" w:name="_Toc225"/>
      <w:bookmarkEnd w:id="584"/>
      <w:r>
        <w:rPr>
          <w:rtl w:val="true"/>
        </w:rPr>
        <w:t>فالنتيجة النهائية</w:t>
      </w:r>
      <w:bookmarkEnd w:id="58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القسم الأول هم الرواة بالمباشرة ولو رواية واحدة وان كان بعضهم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القسم الثاني فالرواة مع الواسطة أي تمام روايتهم سواء كانوا معاصرين للائمة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يرووا عنهم بالمباشرة أصلاً أو تأخر زمانهم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586" w:name="pg9067_79871"/>
    </w:p>
    <w:p>
      <w:pPr>
        <w:pStyle w:val="Heading3"/>
        <w:numPr>
          <w:ilvl w:val="2"/>
          <w:numId w:val="1"/>
        </w:numPr>
        <w:rPr/>
      </w:pPr>
      <w:bookmarkStart w:id="587" w:name="__RefHeading___Toc2465308_2870459653"/>
      <w:bookmarkStart w:id="588" w:name="_Toc226"/>
      <w:bookmarkEnd w:id="586"/>
      <w:bookmarkEnd w:id="587"/>
      <w:r>
        <w:rPr>
          <w:rtl w:val="true"/>
        </w:rPr>
        <w:t>الفصل الثاني</w:t>
      </w:r>
      <w:r>
        <w:rPr>
          <w:rtl w:val="true"/>
        </w:rPr>
        <w:t xml:space="preserve">: </w:t>
      </w:r>
      <w:r>
        <w:rPr>
          <w:rtl w:val="true"/>
        </w:rPr>
        <w:t xml:space="preserve">في المنهج العام الذي اعتمده الشيخ </w:t>
      </w:r>
      <w:r>
        <w:rPr>
          <w:rtl w:val="true"/>
        </w:rPr>
        <w:t>(</w:t>
      </w:r>
      <w:r>
        <w:rPr>
          <w:rtl w:val="true"/>
        </w:rPr>
        <w:t>قدس سره</w:t>
      </w:r>
      <w:r>
        <w:rPr>
          <w:rtl w:val="true"/>
        </w:rPr>
        <w:t xml:space="preserve">) </w:t>
      </w:r>
      <w:r>
        <w:rPr>
          <w:rtl w:val="true"/>
        </w:rPr>
        <w:t>في تصنيفه لكتابه هذا</w:t>
      </w:r>
      <w:bookmarkEnd w:id="588"/>
    </w:p>
    <w:p>
      <w:pPr>
        <w:pStyle w:val="Heading4"/>
        <w:numPr>
          <w:ilvl w:val="3"/>
          <w:numId w:val="1"/>
        </w:numPr>
        <w:rPr/>
      </w:pPr>
      <w:bookmarkStart w:id="589" w:name="__RefHeading___Toc2465310_2870459653"/>
      <w:bookmarkStart w:id="590" w:name="_Toc227"/>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ذُكر لذلك مسلكان</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2465312_2870459653"/>
      <w:bookmarkStart w:id="592" w:name="_Toc228"/>
      <w:bookmarkEnd w:id="591"/>
      <w:r>
        <w:rPr>
          <w:rtl w:val="true"/>
        </w:rPr>
        <w:t>المسلك الأول</w:t>
      </w:r>
      <w:bookmarkEnd w:id="592"/>
    </w:p>
    <w:p>
      <w:pPr>
        <w:pStyle w:val="BookText"/>
        <w:rPr/>
      </w:pPr>
      <w:r>
        <w:rPr>
          <w:rFonts w:ascii="IRNazanin" w:hAnsi="IRNazanin" w:eastAsia="IRNazanin"/>
          <w:color w:val="111111"/>
          <w:sz w:val="28"/>
          <w:sz w:val="28"/>
          <w:szCs w:val="28"/>
          <w:rtl w:val="true"/>
          <w:lang w:bidi="fa-IR"/>
        </w:rPr>
        <w:t xml:space="preserve">يذهب إلى أن منهج الشيخ يعتمد على كتب الحديث فحيثما وجد رواية لراو عن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اثبت اسم ذلك الراوي في باب أصحاب 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روايته عنه وحاول أن يشخصه بما يعرِّفه من مشخصات ومميزات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ويترتب على هذا توفير فرضيات لحل بعض الإشكاليات والظواهر التي تواجهنا في كتاب الرجال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هذه الفرضيات لا يمكن الحصول عليها إلا بالرجوع إلى كتب الحديث التي كانت عند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انه منها انطلق وإليها 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واختار هذا المسلك سيدنا الأستاذ دامت بركاته وآخرون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الباحثين ذكر انه أحرز هذا المنهج بالتتبع في كتب الحديث المختلفة للخاصة والعامة فوجد فيها أسماء من ذكرهم الشيخ في الرجال بينما لا ذكر لهم في أي كتاب رجالي أخر </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2465314_2870459653"/>
      <w:bookmarkStart w:id="594" w:name="_Toc229"/>
      <w:bookmarkEnd w:id="593"/>
      <w:r>
        <w:rPr>
          <w:rtl w:val="true"/>
        </w:rPr>
        <w:t>المسلك الثاني</w:t>
      </w:r>
      <w:bookmarkEnd w:id="59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كلمات الرجاليين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يذكر الشخص الواحد بأكثر من عنوان لأجل انه كذلك في كتب الرجاليين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ذلك من السيد الأستاذ دامت بركاته وان لم يكن واضح الظهور فذكر</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من المعلوم لدى الممارس كثرة وقوع التكرار في رجال الشيخ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مقيداً بإيراد </w:t>
      </w:r>
    </w:p>
    <w:p>
      <w:pPr>
        <w:pStyle w:val="BookText"/>
        <w:rPr/>
      </w:pPr>
      <w:r>
        <w:rPr>
          <w:rFonts w:ascii="Amiri" w:hAnsi="Amiri" w:eastAsia="Amiri" w:cs="Amiri"/>
          <w:color w:val="111111"/>
          <w:sz w:val="28"/>
          <w:sz w:val="28"/>
          <w:szCs w:val="28"/>
          <w:rtl w:val="true"/>
          <w:lang w:bidi="ar-SA"/>
        </w:rPr>
        <w:t>جميع العناوين المذكورة في المصادر من الفهارس وأسانيد الروايات التي كانت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يعتني بتوحيد ما ينطبق منها على شخص واحد إلا ما كان واضحاً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صنع نظير ذلك في كتابه الفهرست ولذلك وقع فيه من التكرار ما لم يقع 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هذا المسلك كلام صاحب منهج المقال في ترجمته لحسان بن مهران</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تكملة الرجال للشيخ عبد النبي الكاظمي</w:t>
      </w:r>
      <w:r>
        <w:rPr>
          <w:rStyle w:val="FootnoteAnchor"/>
          <w:rtl w:val="true"/>
        </w:rPr>
        <w:footnoteReference w:id="441"/>
      </w: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ويجدر الإيعاز إلى أن المقصود في هذين المسلكين ما يمثل المنهج العام عند الشيخ فلا ينافي الاستفادة من كلا المنهجين اعني الرجوع إلى الكتب الحديثية والرجالية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أيهما المنظور له اساساً فيكون الآخر ثانوياً وتبعياً ويحتمل أن يكون بدرجة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المسلكين ذكر لمدعاه 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للمسلك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الرجوع إلى الكتب الحديثية من العامة والخاصة نجد فيها الأسماء التي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بنفس العبارة بلا زيادة ولا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المذكورين في 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ذكر لهم في أي كتاب رجالي آخر وهذا يعني انه إستفادها من الكتب الروائية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عند الأصحاب في هذا الباب إلا مختصرات فلا مناص من الاستفادة من الكتب الحديثية والا فمن أين استقى معلوماته؟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كان في مقام بيان رأيه ومعتقده في طبقات الرواة وهذا يحتم عليه الرجوع إلى الكتب الحديثية مضافاً إلى الغاية من البحث الرجالي هو الاستفادة منه في </w:t>
      </w:r>
    </w:p>
    <w:p>
      <w:pPr>
        <w:pStyle w:val="BookText"/>
        <w:rPr/>
      </w:pPr>
      <w:r>
        <w:rPr>
          <w:rFonts w:ascii="Amiri" w:hAnsi="Amiri" w:eastAsia="Amiri" w:cs="Amiri"/>
          <w:color w:val="111111"/>
          <w:sz w:val="28"/>
          <w:sz w:val="28"/>
          <w:szCs w:val="28"/>
          <w:rtl w:val="true"/>
          <w:lang w:bidi="ar-SA"/>
        </w:rPr>
        <w:t>الأبحاث الروائية فلا بد أن يكون نظرة إلى الكتب الحديثية ولا يصح أن يكون بمعزل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بهذا المسلك يوفر الفرضية القادرة على حل بعض الإشكالات والظواهر في هذا الكتاب في حين لا يقدر على حلها المسلك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صحة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تكرار الشخص الواحد في الباب الواحد بأكثر من عنوان إذ انه رأى هذه العناوين في الأسانيد فذكرها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للمسلك الثاني فذكر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ديباجة الكتاب تفيد أن مصادر الشيخ الكتب الرجالية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أجد لأصحابنا كتاباً جامعاً في هذا المعنى إلا مختصرات قد ذكر كل إنسان طرفاً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ذكر ابن عقدة من رجال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بلغ الغاية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مصادره رجال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هذه المختصرات في كتاب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تتبع ما في الكتاب فان التوصيفات التي فيه تناسب الكتب الرجالية دون الحديثية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هذه المصادر مختصرات فمن أين استقى هذه المعلومات؟ ليس إلا من كتب الحديث</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مقصوده أن هذه المصادر في نفسها مختصرات ولم تكن مستوعبة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بجمعها تمثل كمية كبيرة من المعلومات هي التي دونها الشيخ في كتابه هذا ويشهد لذلك ما ذكره الشيخ في فهرسته مع انه ذكر في مقدمته انه ليس للأصحاب كتاب مستوفى في هذا الباب ذكر أكثر من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النجاشي وذكر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موضوع الفهارس لا يتصور فيه الاستفادة من كتب الحديث </w:t>
      </w:r>
    </w:p>
    <w:p>
      <w:pPr>
        <w:pStyle w:val="BookText"/>
        <w:rPr/>
      </w:pPr>
      <w:r>
        <w:rPr>
          <w:rFonts w:ascii="Amiri" w:hAnsi="Amiri" w:eastAsia="Amiri" w:cs="Amiri"/>
          <w:color w:val="111111"/>
          <w:sz w:val="28"/>
          <w:sz w:val="28"/>
          <w:szCs w:val="28"/>
          <w:rtl w:val="true"/>
          <w:lang w:bidi="ar-SA"/>
        </w:rPr>
        <w:t>فضلاً عن أن كتب الطبقات يمكنها الاستفادة من كتب الفهارس والجرح والتعديل والمشيخة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يظهر اعتماد الشيخ على بعض كتب العامة ككتب ابن حبان وابن قتيبة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ما ذكره الشيخ في رجاله وما ذكره في الأسانيد 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نظره للأسانيد في الكتب الحديثية لكان ما في الأسانيد مساوياً أو اعم مطلقاً مما في رجال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الشيخ في بعض الموارد</w:t>
      </w:r>
      <w:r>
        <w:rPr>
          <w:rStyle w:val="FootnoteAnchor"/>
          <w:rtl w:val="true"/>
        </w:rPr>
        <w:footnoteReference w:id="44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اعلم انه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إذا كان يرجع إلى كتب الحديث إذ بإمكانه التأكد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توفير فرضية لحل بعض الإشكالات الكاشف – هذا الحل – عن صحة هذه الفرضية المستدعي لتمامية هذا المسلك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دعوى كل منهما توفير فرضيات لحل بعض هذه الإشكالات فستأتي في محلها لكن موجزاً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تكرار الأسماء في أصحاب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سبعين مورداً كما ستأتي منها ثمانية موارد بعين العنوان كما لو كان المنظور تكرر العناوين في كتب الأسانيد لكانت أكثر من ذلك بكثير إذ من ذكر له عنوان واحد في رجال الشيخ له عنوانان أو أكثر في أسانيد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ذكر له عنوانان له أكثر من ذلك ويمكن مراجعة معجم رجال الحديث فانه بلغ الغاية في ذلك</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ذكر الأسماء في الكتب الحديثية بنفس العبائر بلا زيادة ولا نقصان فاعم من المدعى وان صح فانه يصح جزئياً لا كلياً وكون هذه الموارد الجزئية تورث الاطمئنان </w:t>
      </w:r>
    </w:p>
    <w:p>
      <w:pPr>
        <w:pStyle w:val="BookText"/>
        <w:rPr/>
      </w:pPr>
      <w:r>
        <w:rPr>
          <w:rFonts w:ascii="Amiri" w:hAnsi="Amiri" w:eastAsia="Amiri" w:cs="Amiri"/>
          <w:color w:val="111111"/>
          <w:sz w:val="28"/>
          <w:sz w:val="28"/>
          <w:szCs w:val="28"/>
          <w:rtl w:val="true"/>
          <w:lang w:bidi="ar-SA"/>
        </w:rPr>
        <w:t>بهذا المسلك مستبعداً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المذكورين في رجال الشيخ لا ذكر لهم في أي كتاب رجالي أخر فمن أين لنا الجزم بذلك مع عدم توفر المصادر التي كانت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بيان رأيه ومعتقده فلا يلزم منه الرجوع إلى الكتب الحديثية كما هو المشاهد في كثير من المصنفات الرجالية التي تعتمد على الأصول الرجالية هذه من دون الرجوع إلى كتب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فاتضح أن المنهج العام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الاعتماد على المصادر الرجالية التي كانت متوفرة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 هذا الفصل أبحاث نعرض عنها الآن</w:t>
      </w:r>
      <w:r>
        <w:rPr>
          <w:rFonts w:eastAsia="Amiri" w:cs="Amiri" w:ascii="Amiri" w:hAnsi="Amiri"/>
          <w:color w:val="111111"/>
          <w:sz w:val="28"/>
          <w:szCs w:val="28"/>
          <w:rtl w:val="true"/>
          <w:lang w:bidi="ar-SA"/>
        </w:rPr>
        <w:t xml:space="preserve">. </w:t>
      </w:r>
      <w:bookmarkStart w:id="595" w:name="pg9067_79876"/>
    </w:p>
    <w:p>
      <w:pPr>
        <w:pStyle w:val="Heading3"/>
        <w:numPr>
          <w:ilvl w:val="2"/>
          <w:numId w:val="1"/>
        </w:numPr>
        <w:rPr/>
      </w:pPr>
      <w:bookmarkStart w:id="596" w:name="__RefHeading___Toc2465316_2870459653"/>
      <w:bookmarkStart w:id="597" w:name="_Toc230"/>
      <w:bookmarkEnd w:id="595"/>
      <w:bookmarkEnd w:id="596"/>
      <w:r>
        <w:rPr>
          <w:rtl w:val="true"/>
        </w:rPr>
        <w:t>الفصل الثالث</w:t>
      </w:r>
      <w:r>
        <w:rPr>
          <w:rtl w:val="true"/>
        </w:rPr>
        <w:t xml:space="preserve">: </w:t>
      </w:r>
      <w:r>
        <w:rPr>
          <w:rtl w:val="true"/>
        </w:rPr>
        <w:t xml:space="preserve">في إشكاليات وجُهت إلى رجال الشيخ </w:t>
      </w:r>
      <w:r>
        <w:rPr>
          <w:rtl w:val="true"/>
        </w:rPr>
        <w:t>(</w:t>
      </w:r>
      <w:r>
        <w:rPr>
          <w:rtl w:val="true"/>
        </w:rPr>
        <w:t>قدس سره</w:t>
      </w:r>
      <w:r>
        <w:rPr>
          <w:rtl w:val="true"/>
        </w:rPr>
        <w:t>)</w:t>
      </w:r>
      <w:bookmarkEnd w:id="597"/>
    </w:p>
    <w:p>
      <w:pPr>
        <w:pStyle w:val="Heading4"/>
        <w:numPr>
          <w:ilvl w:val="3"/>
          <w:numId w:val="1"/>
        </w:numPr>
        <w:rPr/>
      </w:pPr>
      <w:bookmarkStart w:id="598" w:name="__RefHeading___Toc2465318_2870459653"/>
      <w:bookmarkStart w:id="599" w:name="_Toc231"/>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التكرار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شخص في مورد وعدم توثيقه في مورد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الشخص في أصحاب احد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ترجمته يقول انه روى عنه أو روى عنه وعن إمام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إشكالات وجهت إلى رجال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وسنقصر البحث على بعضها فيقع الكلام في جهات</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2465320_2870459653"/>
      <w:bookmarkStart w:id="601" w:name="_Toc232"/>
      <w:bookmarkEnd w:id="600"/>
      <w:r>
        <w:rPr>
          <w:rtl w:val="true"/>
        </w:rPr>
        <w:t>الجهة الأولى</w:t>
      </w:r>
      <w:bookmarkEnd w:id="601"/>
    </w:p>
    <w:p>
      <w:pPr>
        <w:pStyle w:val="Heading5"/>
        <w:numPr>
          <w:ilvl w:val="4"/>
          <w:numId w:val="1"/>
        </w:numPr>
        <w:rPr/>
      </w:pPr>
      <w:bookmarkStart w:id="602" w:name="__RefHeading___Toc2465322_2870459653"/>
      <w:bookmarkStart w:id="603" w:name="_Toc233"/>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التكرار واحد من الإشكالات التي تواجه الأصول الرجالية</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موارد التكرار في كتابنا المبحوث عنه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أربع نواح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في أصحاب معصوم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في باب من لم يرو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الناحية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التكرار في البابين من روى عن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الناحية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في أصحاب إمامين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الرابعة هذه لا مشكلة فيها من جهة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المشكلة في عدم تمامية هذا المسلك بلحاظ فن طبقات الرواة وليس هنا محل بيانه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والناحية الأولى والثانية حسابهما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الكلام يقع في الناحيتين الأولى 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الناظرين إنما اهتموا بالناحية الثالثة دون الأولى إلا بنحو الإشارة مع أن النظر فيها يلقي بظلاله على الناحية الثالثة</w:t>
      </w:r>
      <w:r>
        <w:rPr>
          <w:rFonts w:eastAsia="Amiri" w:cs="Amiri" w:ascii="Amiri" w:hAnsi="Amiri"/>
          <w:color w:val="111111"/>
          <w:sz w:val="28"/>
          <w:szCs w:val="28"/>
          <w:rtl w:val="true"/>
          <w:lang w:bidi="ar-SA"/>
        </w:rPr>
        <w:t xml:space="preserve">. </w:t>
      </w:r>
      <w:bookmarkStart w:id="604" w:name="pg9067_79877"/>
    </w:p>
    <w:p>
      <w:pPr>
        <w:pStyle w:val="Heading5"/>
        <w:numPr>
          <w:ilvl w:val="4"/>
          <w:numId w:val="1"/>
        </w:numPr>
        <w:rPr/>
      </w:pPr>
      <w:bookmarkStart w:id="605" w:name="__RefHeading___Toc2465324_2870459653"/>
      <w:bookmarkStart w:id="606" w:name="_Toc234"/>
      <w:bookmarkEnd w:id="604"/>
      <w:bookmarkEnd w:id="605"/>
      <w:r>
        <w:rPr>
          <w:rtl w:val="true"/>
        </w:rPr>
        <w:t>فالكلام يقع في الناحية الأولى</w:t>
      </w:r>
      <w:bookmarkEnd w:id="606"/>
    </w:p>
    <w:p>
      <w:pPr>
        <w:pStyle w:val="Heading6"/>
        <w:numPr>
          <w:ilvl w:val="5"/>
          <w:numId w:val="1"/>
        </w:numPr>
        <w:rPr/>
      </w:pPr>
      <w:bookmarkStart w:id="607" w:name="__RefHeading___Toc2465326_2870459653"/>
      <w:bookmarkStart w:id="608" w:name="_Toc235"/>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 xml:space="preserve">عدد الموارد المكررة أكثر من سبعين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منها تكررت بعين عبارتها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وخمسة منها الفارق بينهما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والكوفي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الفارق بينهما مفردة واحدة فقط من لقب أو كنية أو غيرهما ثمانية عشر مورداً والبقية اختلافها أكثر من هذا بقليل والفرضيات التي ذكرت أو يمكن أن تذكر لحل هذا الإشكال هي</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2465328_2870459653"/>
      <w:bookmarkStart w:id="610" w:name="_Toc236"/>
      <w:bookmarkEnd w:id="609"/>
      <w:r>
        <w:rPr>
          <w:rtl w:val="true"/>
        </w:rPr>
        <w:t>الفرضية الأولى</w:t>
      </w:r>
      <w:bookmarkEnd w:id="610"/>
    </w:p>
    <w:p>
      <w:pPr>
        <w:pStyle w:val="BookText"/>
        <w:rPr/>
      </w:pPr>
      <w:r>
        <w:rPr>
          <w:rFonts w:ascii="Amiri" w:hAnsi="Amiri" w:eastAsia="Amiri" w:cs="Amiri"/>
          <w:color w:val="111111"/>
          <w:sz w:val="28"/>
          <w:sz w:val="28"/>
          <w:szCs w:val="28"/>
          <w:rtl w:val="true"/>
          <w:lang w:bidi="ar-SA"/>
        </w:rPr>
        <w:t>الغفلة عن العنوان الأول والاشتباه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هذه الفرضية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مجمعه </w:t>
      </w:r>
      <w:r>
        <w:rPr>
          <w:rStyle w:val="FootnoteAnchor"/>
          <w:rtl w:val="true"/>
        </w:rPr>
        <w:footnoteReference w:id="444"/>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فيها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r>
        <w:rPr>
          <w:rStyle w:val="FootnoteAnchor"/>
          <w:rtl w:val="true"/>
        </w:rPr>
        <w:footnoteReference w:id="445"/>
      </w:r>
      <w:r>
        <w:rPr>
          <w:rFonts w:ascii="Amiri" w:hAnsi="Amiri" w:eastAsia="Amiri" w:cs="Amiri"/>
          <w:color w:val="111111"/>
          <w:sz w:val="28"/>
          <w:sz w:val="28"/>
          <w:szCs w:val="28"/>
          <w:rtl w:val="true"/>
          <w:lang w:bidi="ar-SA"/>
        </w:rPr>
        <w:t>أن منشأ هذا الاشتباه هو العجلة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واختارها أيضاً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الشيخ لكثرة اشتغاله بالتأليف والتدريس كان يكثر عليه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واعتبرها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أحد مناشئ التكرار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الشيخ لأجل العجلة الدينية حيث كان مرجعاً لأهل زمانه من العامة والخاصة والعام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التصنيف في العلوم الدينية المختلفة من فقه وحديث ورجال وأصول وكلام وتفسير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قسمت مدة حياته على تأليفاته لكانت حصة كل منها ساعات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إلى جنب أعماله الأخرى من التدريس والإفتاء والقضاء </w:t>
      </w:r>
      <w:r>
        <w:rPr>
          <w:rStyle w:val="FootnoteAnchor"/>
          <w:rtl w:val="true"/>
        </w:rPr>
        <w:footnoteReference w:id="448"/>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bookmarkStart w:id="611" w:name="pg9067_79878"/>
    </w:p>
    <w:p>
      <w:pPr>
        <w:pStyle w:val="BookText"/>
        <w:rPr/>
      </w:pPr>
      <w:bookmarkEnd w:id="611"/>
      <w:r>
        <w:rPr>
          <w:rFonts w:ascii="Amiri" w:hAnsi="Amiri" w:eastAsia="Amiri" w:cs="Amiri"/>
          <w:color w:val="111111"/>
          <w:sz w:val="28"/>
          <w:sz w:val="28"/>
          <w:szCs w:val="28"/>
          <w:rtl w:val="true"/>
          <w:lang w:bidi="ar-SA"/>
        </w:rPr>
        <w:t>والشاهد عليه أن مثل هذه الأخطاء حصلت في كتبه الأخرى كالفهرست والتهذيبين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التكرار في كتاب الرجال هذا بنواحيه الأربعة يمثل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مجموعه وهو نسبة مألوفة من الخطأ والغفلة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Style w:val="FootnoteAnchor"/>
          <w:rtl w:val="true"/>
        </w:rPr>
        <w:footnoteReference w:id="449"/>
      </w:r>
      <w:r>
        <w:rPr>
          <w:rFonts w:ascii="Amiri" w:hAnsi="Amiri" w:eastAsia="Amiri" w:cs="Amiri"/>
          <w:color w:val="111111"/>
          <w:sz w:val="28"/>
          <w:sz w:val="28"/>
          <w:szCs w:val="28"/>
          <w:rtl w:val="true"/>
          <w:lang w:bidi="ar-SA"/>
        </w:rPr>
        <w:t>عنه بوجوه اذكر بعضها بتصرف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الشواهد قائمة على دقة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والتفاته الكامل لما وضع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الموارد لا تتصور الغفلة من الشيخ فيها مما يكشف عن أن له غرضاً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الفرضية التي تحل مثل هذه الإشكالية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تنافي بين الغفلة والدقة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كلما ازدادت الدقة قلت نسبة الخطأ والغفلة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اشرنا أن نسبة التكرار بنواحيه الأربعة تمثل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مألوفة إذ العصمة لأهلها والنسيان فطرة ثانية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بعض الموارد لا تتصور الغفلة فيها أو وجود فرضية تحل هذه الإشكالية فانه لا يتم في قبال التكرار بعين العبارة </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2465330_2870459653"/>
      <w:bookmarkStart w:id="613" w:name="_Toc237"/>
      <w:bookmarkEnd w:id="612"/>
      <w:r>
        <w:rPr>
          <w:rtl w:val="true"/>
        </w:rPr>
        <w:t>الفرضية الثانية</w:t>
      </w:r>
      <w:bookmarkEnd w:id="613"/>
    </w:p>
    <w:p>
      <w:pPr>
        <w:pStyle w:val="BookText"/>
        <w:rPr/>
      </w:pPr>
      <w:r>
        <w:rPr>
          <w:rFonts w:ascii="Amiri" w:hAnsi="Amiri" w:eastAsia="Amiri" w:cs="Amiri"/>
          <w:color w:val="111111"/>
          <w:sz w:val="28"/>
          <w:sz w:val="28"/>
          <w:szCs w:val="28"/>
          <w:rtl w:val="true"/>
          <w:lang w:bidi="ar-SA"/>
        </w:rPr>
        <w:t xml:space="preserve">ما اختاره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كما في المنهج الرجالي</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 أي رجال الشيخ – كان بصورة المسودة وكان غرض الشيخ الرجوع إليه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تنظيمه وترتيبه وتوضيح حال المذكورين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لذلك الاقتصار في بعض الرواة على ذكر اسمه واسم أبيه مجرداً من دون أن يعرض لبيان حاله من حيث الوثاقة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ذكر بعض الرواة مكرراً كما يتفق فيه كثيراً على ما تتبعنا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وأمثاله مما يوجب الظن الغالب بكون الكتاب لم يبلغ إلى حد النظم والترتيب والخروج بصورة 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منشأ ذلك ما ذكرناه في الفرضية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أن عنوان الرجال المجرد أنما يتكفل تحديد طبقات الرواة دون ما يتعلق بالجرح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الاقتصار على اسم الراوي واسم أبيه قد لا يعينه والذي لابد منه في تحديد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مشهوراً معروفاً في عصرهم فلا يحتاج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 تم ففي موارد قليلة مع انه في زرارة ومحمد بن مسلم لم يقتصر على اسمه واسم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السيد الأستاذ دامت بركاته</w:t>
      </w:r>
      <w:r>
        <w:rPr>
          <w:rStyle w:val="FootnoteAnchor"/>
          <w:rtl w:val="true"/>
        </w:rPr>
        <w:footnoteReference w:id="451"/>
      </w:r>
      <w:r>
        <w:rPr>
          <w:rFonts w:ascii="Amiri" w:hAnsi="Amiri" w:eastAsia="Amiri" w:cs="Amiri"/>
          <w:color w:val="111111"/>
          <w:sz w:val="28"/>
          <w:sz w:val="28"/>
          <w:szCs w:val="28"/>
          <w:rtl w:val="true"/>
          <w:lang w:bidi="ar-SA"/>
        </w:rPr>
        <w:t>إلى أن الإضافة على الكتب بعد الانتهاء من تأليفها أمر متداول بين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شواهد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لأصل المراجعة والإضافة عند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خصوص الرجال والفهرست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يحتمل أن يكون بعض الاختلافات بين نسخ الفهرست وكذلك بين نسخ الرجال في الاشتمال على بعض الفقرات من التوثيق أو غيره – مما أُشير إليه في الطبعات المحققة من الكتابين – ناشئاً من إدخال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الإضافات عليها بعد الانتهاء من تأليفها وانتشار نسخهما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الأستاذ دامت إفاداته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هكذا مراجعات متحققة فان هذا يبعد بقاءها مسودة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المراجعة والإضافة لا تنافي بقائها مسودة – بمعنى أنها تحتاج إلى المراجعة </w:t>
      </w:r>
      <w:bookmarkStart w:id="614" w:name="pg9067_79880"/>
    </w:p>
    <w:p>
      <w:pPr>
        <w:pStyle w:val="BookText"/>
        <w:rPr/>
      </w:pPr>
      <w:bookmarkEnd w:id="614"/>
      <w:r>
        <w:rPr>
          <w:rFonts w:ascii="IRNazanin" w:hAnsi="IRNazanin" w:eastAsia="IRNazanin"/>
          <w:color w:val="111111"/>
          <w:sz w:val="28"/>
          <w:sz w:val="28"/>
          <w:szCs w:val="28"/>
          <w:rtl w:val="true"/>
          <w:lang w:bidi="fa-IR"/>
        </w:rPr>
        <w:t>والتحقيق – إذ قد تكون لبعض الموارد دون تمام الكتاب وهو الذي ينسجم مع أعماله الجسيمة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 بعض الأمور فيه يناسب كونها مسودة من قبيل الذكر بالعبارة نفسها إذ المسودة لا يرعى فيها الدقة كما في النسخة النهائية ومن قبيل ذكره للراوي في أصحاب احدهم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يذكر في ترجمته انه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روى عنه وعن أبي عبد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عقد باباً لأصحاب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الأخير لا يناسب الغفلة بل المسودة ويكون مرجحاً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كونه مسودة ومشتمل على الغفلة</w:t>
      </w:r>
      <w:r>
        <w:rPr>
          <w:rFonts w:eastAsia="IRNazanin" w:cs="IRNazanin"/>
          <w:color w:val="111111"/>
          <w:sz w:val="28"/>
          <w:szCs w:val="28"/>
          <w:rtl w:val="true"/>
          <w:lang w:bidi="fa-IR"/>
        </w:rPr>
        <w:t>.</w:t>
      </w:r>
    </w:p>
    <w:p>
      <w:pPr>
        <w:pStyle w:val="Heading6"/>
        <w:numPr>
          <w:ilvl w:val="5"/>
          <w:numId w:val="1"/>
        </w:numPr>
        <w:rPr/>
      </w:pPr>
      <w:bookmarkStart w:id="615" w:name="__RefHeading___Toc2465332_2870459653"/>
      <w:bookmarkStart w:id="616" w:name="_Toc238"/>
      <w:bookmarkEnd w:id="615"/>
      <w:r>
        <w:rPr>
          <w:rtl w:val="true"/>
        </w:rPr>
        <w:t>الفرضية الثالثة</w:t>
      </w:r>
      <w:bookmarkEnd w:id="616"/>
    </w:p>
    <w:p>
      <w:pPr>
        <w:pStyle w:val="BookText"/>
        <w:rPr/>
      </w:pPr>
      <w:r>
        <w:rPr>
          <w:rFonts w:ascii="Amiri" w:hAnsi="Amiri" w:eastAsia="Amiri" w:cs="Amiri"/>
          <w:color w:val="111111"/>
          <w:sz w:val="28"/>
          <w:sz w:val="28"/>
          <w:szCs w:val="28"/>
          <w:rtl w:val="true"/>
          <w:lang w:bidi="ar-SA"/>
        </w:rPr>
        <w:t>عدم تفطنه للاتحاد بسبب اختلاف تعبيرهم وتغير لفظ العنوان أو كون صاحب هذه الكنية صاحب ذاك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احد مناشئ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مانع منه في الجملة لا بالجملة إذ كيف يفسر تكرار الاسم بعين العبارة</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2465334_2870459653"/>
      <w:bookmarkStart w:id="618" w:name="_Toc239"/>
      <w:bookmarkEnd w:id="617"/>
      <w:r>
        <w:rPr>
          <w:rtl w:val="true"/>
        </w:rPr>
        <w:t>الفرضية الرابعة</w:t>
      </w:r>
      <w:bookmarkEnd w:id="618"/>
    </w:p>
    <w:p>
      <w:pPr>
        <w:pStyle w:val="BookText"/>
        <w:rPr/>
      </w:pPr>
      <w:r>
        <w:rPr>
          <w:rFonts w:ascii="Amiri" w:hAnsi="Amiri" w:eastAsia="Amiri" w:cs="Amiri"/>
          <w:color w:val="111111"/>
          <w:sz w:val="28"/>
          <w:sz w:val="28"/>
          <w:szCs w:val="28"/>
          <w:rtl w:val="true"/>
          <w:lang w:bidi="ar-SA"/>
        </w:rPr>
        <w:t>عادة الشيخ النقل من المصنفات الرجالية كما هي وان احتمل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ينقض عليها بتكرار الاسم بعين العبارة فانه يناسب الاطمئنان بالاتحاد</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2465336_2870459653"/>
      <w:bookmarkStart w:id="620" w:name="_Toc240"/>
      <w:bookmarkEnd w:id="619"/>
      <w:r>
        <w:rPr>
          <w:rtl w:val="true"/>
        </w:rPr>
        <w:t>الفرضية الخامسة</w:t>
      </w:r>
      <w:bookmarkEnd w:id="620"/>
    </w:p>
    <w:p>
      <w:pPr>
        <w:pStyle w:val="BookText"/>
        <w:rPr/>
      </w:pPr>
      <w:r>
        <w:rPr>
          <w:rFonts w:ascii="Amiri" w:hAnsi="Amiri" w:eastAsia="Amiri" w:cs="Amiri"/>
          <w:color w:val="111111"/>
          <w:sz w:val="28"/>
          <w:sz w:val="28"/>
          <w:szCs w:val="28"/>
          <w:rtl w:val="true"/>
          <w:lang w:bidi="ar-SA"/>
        </w:rPr>
        <w:t>منهج الشيخ الاعتماد على الكتب الحديثية فيذكر الاسم كما هو وان لزم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الجواب عنه مما مضى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الجواب الصحيح كمنهج عام دائر بين الفرضية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ما يؤيد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فرضية المسودة تشمله الغفلة أيضاً مع التساهل تجاه الأمور الفنية والمنهجية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ظاهرة المسودة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أنها تحتاج إلى المراجعة والتحقيق – تمثل تفسيراً عاماً يلجأ إليه الباحثون في تراث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bookmarkStart w:id="621" w:name="pg9067_79881"/>
    </w:p>
    <w:p>
      <w:pPr>
        <w:pStyle w:val="BookText"/>
        <w:rPr/>
      </w:pPr>
      <w:bookmarkEnd w:id="621"/>
      <w:r>
        <w:rPr>
          <w:rFonts w:ascii="Amiri" w:hAnsi="Amiri" w:eastAsia="Amiri" w:cs="Amiri"/>
          <w:color w:val="111111"/>
          <w:sz w:val="28"/>
          <w:sz w:val="28"/>
          <w:szCs w:val="28"/>
          <w:rtl w:val="true"/>
          <w:lang w:bidi="ar-SA"/>
        </w:rPr>
        <w:t>المقام واختيار الكشي</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لا يمنع أن تكون الفرضية الثالثة منشأ للتكرار في بعض الموارد أيضاً </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2465338_2870459653"/>
      <w:bookmarkStart w:id="623" w:name="_Toc241"/>
      <w:bookmarkEnd w:id="622"/>
      <w:r>
        <w:rPr>
          <w:rtl w:val="true"/>
        </w:rPr>
        <w:t>الناحية الثالثة</w:t>
      </w:r>
      <w:bookmarkEnd w:id="623"/>
    </w:p>
    <w:p>
      <w:pPr>
        <w:pStyle w:val="Heading6"/>
        <w:numPr>
          <w:ilvl w:val="5"/>
          <w:numId w:val="1"/>
        </w:numPr>
        <w:rPr/>
      </w:pPr>
      <w:bookmarkStart w:id="624" w:name="__RefHeading___Toc2465340_2870459653"/>
      <w:bookmarkStart w:id="625" w:name="_Toc242"/>
      <w:bookmarkEnd w:id="624"/>
      <w:r>
        <w:rPr>
          <w:rtl w:val="true"/>
        </w:rPr>
        <w:t>اشارة</w:t>
      </w:r>
      <w:bookmarkEnd w:id="625"/>
    </w:p>
    <w:p>
      <w:pPr>
        <w:pStyle w:val="BookText"/>
        <w:rPr/>
      </w:pPr>
      <w:r>
        <w:rPr>
          <w:rFonts w:ascii="IRNazanin" w:hAnsi="IRNazanin" w:eastAsia="IRNazanin"/>
          <w:color w:val="111111"/>
          <w:sz w:val="28"/>
          <w:sz w:val="28"/>
          <w:szCs w:val="28"/>
          <w:rtl w:val="true"/>
          <w:lang w:bidi="fa-IR"/>
        </w:rPr>
        <w:t>التكرار في 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روى عن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المقطع المذكور في ديباجة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التفسير المختار بل على الاحتمالات الثلاثة يستلزم التناقض فيما لو تكرر الراوي في كلا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الاحتمال الأول يلزم اجتماع الرواية بالمباشرة وكون تمام الروايات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الثاني يلزم اجتماع المعاصرة والملاقاة بدون أي رواية بالمباشرة أو بالواسطة وكون تمام الروايات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الاحتمال الثالث فيلزم اجتماع الرواية بالمباشرة أو بالواسطة وعدم الرواية أصلاً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المذكورين في كلا البابين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العدد كان مع الأخذ بنظر الاعتبار النسخ المختلفة فليس عليه اتفاق في تمام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ومن جهة أخرى أن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صرح مراراً أن عنده نسخة من رجال الشيخ بخط الشيخ نفسه لم يذكر فيها بعض ما كرر في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أما انه من إضافات الشيخ كما عرفنا ولم تكن مذكورة في النسخة التي عند ابن داود أو من النساخ أو من أخطاء ابن داود كما هو المعروف عن رجاله</w:t>
      </w:r>
      <w:r>
        <w:rPr>
          <w:rFonts w:eastAsia="Amiri" w:cs="Amiri" w:ascii="Amiri" w:hAnsi="Amiri"/>
          <w:color w:val="111111"/>
          <w:sz w:val="28"/>
          <w:szCs w:val="28"/>
          <w:rtl w:val="true"/>
          <w:lang w:bidi="ar-SA"/>
        </w:rPr>
        <w:t xml:space="preserve">. </w:t>
      </w:r>
      <w:bookmarkStart w:id="626" w:name="pg9067_79882"/>
    </w:p>
    <w:p>
      <w:pPr>
        <w:pStyle w:val="BookText"/>
        <w:rPr/>
      </w:pPr>
      <w:bookmarkEnd w:id="626"/>
      <w:r>
        <w:rPr>
          <w:rFonts w:ascii="Amiri" w:hAnsi="Amiri" w:eastAsia="Amiri" w:cs="Amiri"/>
          <w:color w:val="111111"/>
          <w:sz w:val="28"/>
          <w:sz w:val="28"/>
          <w:szCs w:val="28"/>
          <w:rtl w:val="true"/>
          <w:lang w:bidi="ar-SA"/>
        </w:rPr>
        <w:t>وتجدر الإشارة إلى أن تحديد عدد المذكورين في البابين يساعد على اختيار الفرضية المناسبة لحل هذه الإشكالية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ولرفع هذا التناقض ذُكرت فرضيات عدة نذكر أهمها</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2465342_2870459653"/>
      <w:bookmarkStart w:id="628" w:name="_Toc243"/>
      <w:bookmarkEnd w:id="627"/>
      <w:r>
        <w:rPr>
          <w:rtl w:val="true"/>
        </w:rPr>
        <w:t>الفرضية الأولى</w:t>
      </w:r>
      <w:bookmarkEnd w:id="628"/>
    </w:p>
    <w:p>
      <w:pPr>
        <w:pStyle w:val="BookText"/>
        <w:rPr/>
      </w:pPr>
      <w:r>
        <w:rPr>
          <w:rFonts w:ascii="Amiri" w:hAnsi="Amiri" w:eastAsia="Amiri" w:cs="Amiri"/>
          <w:color w:val="111111"/>
          <w:sz w:val="28"/>
          <w:sz w:val="28"/>
          <w:szCs w:val="28"/>
          <w:rtl w:val="true"/>
          <w:lang w:bidi="ar-SA"/>
        </w:rPr>
        <w:t xml:space="preserve">الالتزام بتعدد الراوي وذهب إليها ابن داود في ترجمة القاسم بن محمد الجوهري </w:t>
      </w:r>
      <w:r>
        <w:rPr>
          <w:rStyle w:val="FootnoteAnchor"/>
          <w:rtl w:val="true"/>
        </w:rPr>
        <w:footnoteReference w:id="453"/>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انه غيره والأخير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ترجمة حمدان بن سليمان</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 أي ذكره في باب لم – مناقض لكونه روى عن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لم يستظهر التعدد بل ذكر قضية تعليقية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ترجمة أحمد بن عمر الخلال</w:t>
      </w:r>
      <w:r>
        <w:rPr>
          <w:rStyle w:val="FootnoteAnchor"/>
          <w:rtl w:val="true"/>
        </w:rPr>
        <w:footnoteReference w:id="455"/>
      </w:r>
      <w:r>
        <w:rPr>
          <w:rFonts w:ascii="Amiri" w:hAnsi="Amiri" w:eastAsia="Amiri" w:cs="Amiri"/>
          <w:color w:val="111111"/>
          <w:sz w:val="28"/>
          <w:sz w:val="28"/>
          <w:szCs w:val="28"/>
          <w:rtl w:val="true"/>
          <w:lang w:bidi="ar-SA"/>
        </w:rPr>
        <w:t xml:space="preserve">استظهر التعدد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الخلال بالمعجمة ضا والذي بالمهملة 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يبدو أن ابن داود اعتمد في ترجمة القاسم بن محمد الجوهري لإثبات التعدد على ظاهرة كلام الشيخ إذ تباين البابين يقتضي تغاير المذكورين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يظهر انه اعتمد هذا الوجه كتوجيه مطرد وإلا لاعتمده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أحمد بن محمد الخلال وان كان يبدو أن استظهار التعدد لأجل اختلاف اللقب إلا انه من المحتمل أن الالتزام باختلاف اللقب لأجل ظاهر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يلتزم بالتعدد في حمدان بن سليمان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كان هذه الفرضية لا يمكن الالتزام بها كلياً للقطع أو الاطمئنان بعدم تعدد بعض المذكورين في كلا البابين</w:t>
      </w:r>
      <w:r>
        <w:rPr>
          <w:rFonts w:eastAsia="Amiri" w:cs="Amiri" w:ascii="Amiri" w:hAnsi="Amiri"/>
          <w:color w:val="111111"/>
          <w:sz w:val="28"/>
          <w:szCs w:val="28"/>
          <w:rtl w:val="true"/>
          <w:lang w:bidi="ar-SA"/>
        </w:rPr>
        <w:t xml:space="preserve">. </w:t>
      </w:r>
      <w:bookmarkStart w:id="629" w:name="pg9067_79883"/>
    </w:p>
    <w:p>
      <w:pPr>
        <w:pStyle w:val="Heading6"/>
        <w:numPr>
          <w:ilvl w:val="5"/>
          <w:numId w:val="1"/>
        </w:numPr>
        <w:rPr/>
      </w:pPr>
      <w:bookmarkStart w:id="630" w:name="__RefHeading___Toc2465344_2870459653"/>
      <w:bookmarkStart w:id="631" w:name="_Toc244"/>
      <w:bookmarkEnd w:id="629"/>
      <w:bookmarkEnd w:id="630"/>
      <w:r>
        <w:rPr>
          <w:rtl w:val="true"/>
        </w:rPr>
        <w:t>الفرضية الثانية</w:t>
      </w:r>
      <w:bookmarkEnd w:id="631"/>
    </w:p>
    <w:p>
      <w:pPr>
        <w:pStyle w:val="BookText"/>
        <w:rPr/>
      </w:pPr>
      <w:r>
        <w:rPr>
          <w:rFonts w:ascii="IRNazanin" w:hAnsi="IRNazanin" w:eastAsia="IRNazanin"/>
          <w:color w:val="111111"/>
          <w:sz w:val="28"/>
          <w:sz w:val="28"/>
          <w:szCs w:val="28"/>
          <w:rtl w:val="true"/>
          <w:lang w:bidi="fa-IR"/>
        </w:rPr>
        <w:t xml:space="preserve">الالتزام بوحدة الراوي فهي على عكس الفرضية الأولى – وهكذا سائر الفرضيات الأخرى أي أنها ترى وحدة الراوي – ويكون التكرار لاختلاف الاعتبار فمن جهة كون الراوي معاصراً لأحدهم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انه لم يلقه ولم يرو عنه بالمباشرة بل تمام روايته بالواسطة يذكر في باب من لم يرو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ويترتب على هذه الفرضية أن مجرد ذكر الشيخ لراوٍ في أصحاب احدهم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 روايته عنه – أي بالمباشرة – بل اعم منها ومجرد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يذكر في باب من لم يرو فانه يعني روايته عنه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يستدعي أن المعاصر لأحدهم غير الراوي أصلاً – بالمباشرة والواسطة – لا يذكر في أصحابهم ولا في باب من لم يرو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هذه الفرضية المحقق التستري</w:t>
      </w:r>
      <w:r>
        <w:rPr>
          <w:rStyle w:val="FootnoteAnchor"/>
          <w:rtl w:val="true"/>
        </w:rPr>
        <w:footnoteReference w:id="456"/>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 عن هذه الفرضية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الأمر الثاني من الفصل الأول أن الصحيح فيما يذكر في القسم الأول هو الرواية بالمباشرة فبدونها لا مكان للراوي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اشرنا ذكر بعض المعاصرين للائمة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بعدم روايتهم عنهم أي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اللازم التصريح أيضاً في هذه الموارد لوحدة الاعتبار إذ الجميع معاصر غير راو بالمباشرة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المذكورين في البابين له روايات بالمباشرة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ترى هذه الفرضية أن هؤلاء تمام رواياتهم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احمد بن عمر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وبكر بن </w:t>
      </w:r>
      <w:bookmarkStart w:id="632" w:name="pg9067_79884"/>
    </w:p>
    <w:p>
      <w:pPr>
        <w:pStyle w:val="BookText"/>
        <w:rPr/>
      </w:pPr>
      <w:bookmarkEnd w:id="632"/>
      <w:r>
        <w:rPr>
          <w:rFonts w:ascii="Amiri" w:hAnsi="Amiri" w:eastAsia="Amiri" w:cs="Amiri"/>
          <w:color w:val="111111"/>
          <w:sz w:val="28"/>
          <w:sz w:val="28"/>
          <w:szCs w:val="28"/>
          <w:rtl w:val="true"/>
          <w:lang w:bidi="ar-SA"/>
        </w:rPr>
        <w:t>محمد الأزدي وآخرين</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2465346_2870459653"/>
      <w:bookmarkStart w:id="634" w:name="_Toc245"/>
      <w:bookmarkEnd w:id="633"/>
      <w:r>
        <w:rPr>
          <w:rtl w:val="true"/>
        </w:rPr>
        <w:t>الفرضية الثالثة</w:t>
      </w:r>
      <w:bookmarkEnd w:id="634"/>
    </w:p>
    <w:p>
      <w:pPr>
        <w:pStyle w:val="BookText"/>
        <w:rPr/>
      </w:pPr>
      <w:r>
        <w:rPr>
          <w:rFonts w:ascii="IRNazanin" w:hAnsi="IRNazanin" w:eastAsia="IRNazanin"/>
          <w:color w:val="111111"/>
          <w:sz w:val="28"/>
          <w:sz w:val="28"/>
          <w:szCs w:val="28"/>
          <w:rtl w:val="true"/>
          <w:lang w:bidi="fa-IR"/>
        </w:rPr>
        <w:t>الالتزام أيضاً بوحدة الراوي ولكن لتنوع رواياته إلى روايات مع الواسطة وأخرى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فيذكر بالاعتبار الأول في باب من لم 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وبالاعتبار الثاني في أصحاب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إلى هذه الفرضية الفاضل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الرجال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منهم يروي عن الإمام دائماً بغير واسطة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منهم لم يرو عن إمام أصلاً إلا بالواسطة لعدم دركه أزمنة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روايته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منهم له روايات عن الإمام بلا واسطة وروايات عنه بواسطة غيره فالذي يذكره الشيخ في باب من روى عن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باب من لم يرو عنهم أخرى يشير بذلك إلى حالتيه </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ويجاب عنها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أن ظاهر كلام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كانت له رواية واحدة بالمباشرة لزم ذكره في القسم الأول فحسب أي باب من روى عن احدهم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كانت له روايات بالواسطة أما باب من لم يرو فالمذكور فيه من كانت تمام روايته بالواسطة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هذه الفرضية أن يعد جل أصحابهم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نقل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لم يرو عنهم لأنهم كذلك رووا عن غيرهم من باقي أصحابهم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635" w:name="pg9067_79885"/>
    </w:p>
    <w:p>
      <w:pPr>
        <w:pStyle w:val="Heading6"/>
        <w:numPr>
          <w:ilvl w:val="5"/>
          <w:numId w:val="1"/>
        </w:numPr>
        <w:rPr/>
      </w:pPr>
      <w:bookmarkStart w:id="636" w:name="__RefHeading___Toc2465348_2870459653"/>
      <w:bookmarkStart w:id="637" w:name="_Toc246"/>
      <w:bookmarkEnd w:id="635"/>
      <w:bookmarkEnd w:id="636"/>
      <w:r>
        <w:rPr>
          <w:rtl w:val="true"/>
        </w:rPr>
        <w:t>الفرضية الرابعة والخامسة والسادسة</w:t>
      </w:r>
      <w:bookmarkEnd w:id="637"/>
    </w:p>
    <w:p>
      <w:pPr>
        <w:pStyle w:val="BookText"/>
        <w:rPr/>
      </w:pPr>
      <w:r>
        <w:rPr>
          <w:rFonts w:ascii="Amiri" w:hAnsi="Amiri" w:eastAsia="Amiri" w:cs="Amiri"/>
          <w:color w:val="111111"/>
          <w:sz w:val="28"/>
          <w:sz w:val="28"/>
          <w:szCs w:val="28"/>
          <w:rtl w:val="true"/>
          <w:lang w:bidi="ar-SA"/>
        </w:rPr>
        <w:t>الغفلة والمسودة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تفطنه للاتحاد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الصحيح هو نفس ما ذكرناه في الناحية الأولى</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2465350_2870459653"/>
      <w:bookmarkStart w:id="639" w:name="_Toc247"/>
      <w:bookmarkEnd w:id="638"/>
      <w:r>
        <w:rPr>
          <w:rtl w:val="true"/>
        </w:rPr>
        <w:t>الجهة الثانية</w:t>
      </w:r>
      <w:bookmarkEnd w:id="639"/>
    </w:p>
    <w:p>
      <w:pPr>
        <w:pStyle w:val="Heading5"/>
        <w:numPr>
          <w:ilvl w:val="4"/>
          <w:numId w:val="1"/>
        </w:numPr>
        <w:rPr/>
      </w:pPr>
      <w:bookmarkStart w:id="640" w:name="__RefHeading___Toc2465352_2870459653"/>
      <w:bookmarkStart w:id="641" w:name="_Toc248"/>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 xml:space="preserve">أورد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عدة موارد بعد ذكر شخص في أصحاب الباقر والصادق والكاظم والرضا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في المراد فيها وفي هيئتها فقرئت بصيغة المعلوم وأخرى بصيغة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اختلف في أنها مدح أو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سنذكر في جملة واحدة المهم من الفرضيات التي قيلت في بيان المقصود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ما قيل بإفادة بعض هذه الفرضيات المدح أو الذم تجنباً عن التكرار</w:t>
      </w:r>
      <w:r>
        <w:rPr>
          <w:rFonts w:eastAsia="IRNazanin" w:cs="IRNazanin"/>
          <w:color w:val="111111"/>
          <w:sz w:val="28"/>
          <w:szCs w:val="28"/>
          <w:rtl w:val="true"/>
          <w:lang w:bidi="fa-IR"/>
        </w:rPr>
        <w:t>.</w:t>
      </w:r>
    </w:p>
    <w:p>
      <w:pPr>
        <w:pStyle w:val="Heading5"/>
        <w:numPr>
          <w:ilvl w:val="4"/>
          <w:numId w:val="1"/>
        </w:numPr>
        <w:rPr/>
      </w:pPr>
      <w:bookmarkStart w:id="642" w:name="__RefHeading___Toc2465354_2870459653"/>
      <w:bookmarkStart w:id="643" w:name="_Toc249"/>
      <w:bookmarkEnd w:id="642"/>
      <w:r>
        <w:rPr>
          <w:rtl w:val="true"/>
        </w:rPr>
        <w:t>الفرضية الأولى</w:t>
      </w:r>
      <w:bookmarkEnd w:id="643"/>
    </w:p>
    <w:p>
      <w:pPr>
        <w:pStyle w:val="BookText"/>
        <w:rPr/>
      </w:pPr>
      <w:r>
        <w:rPr>
          <w:rFonts w:ascii="IRNazanin" w:hAnsi="IRNazanin" w:eastAsia="IRNazanin"/>
          <w:color w:val="111111"/>
          <w:sz w:val="28"/>
          <w:sz w:val="28"/>
          <w:szCs w:val="28"/>
          <w:rtl w:val="true"/>
          <w:lang w:bidi="fa-IR"/>
        </w:rPr>
        <w:t xml:space="preserve">تقرأ الجملة بصيغة المعلوم ويكون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المراد منها أن من قيلت في حقه قد روى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الواسطة فهو من أصحاب الرواية 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إليها المحقق الداماد في رواشحه</w:t>
      </w:r>
      <w:r>
        <w:rPr>
          <w:rStyle w:val="FootnoteAnchor"/>
          <w:rtl w:val="true"/>
        </w:rPr>
        <w:footnoteReference w:id="459"/>
      </w:r>
      <w:r>
        <w:rPr>
          <w:rFonts w:ascii="IRNazanin" w:hAnsi="IRNazanin" w:eastAsia="IRNazanin"/>
          <w:color w:val="111111"/>
          <w:sz w:val="28"/>
          <w:sz w:val="28"/>
          <w:szCs w:val="28"/>
          <w:rtl w:val="true"/>
          <w:lang w:bidi="fa-IR"/>
        </w:rPr>
        <w:t>وتبعه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اختلف في فهم كلامه فالمناسب ذكره لنرى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أورد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جمة أنما روايتهم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بالسماع من أصحابه الموثوق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من أصولهم المعول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كلاً منهم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لم يلقه ولم يدرك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أدركه ولقبه ولكن لم يسمع منه رأساً أو إلا شيئاً قليلاً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فهمان لكلامه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الرواية بالإسناد تمام روايتهم عن المعصوم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روايات بالواسطة وأخرى بالمباشرة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والصحيح هو الفهم الأول لمكان الحصر وتوصيفهم بأنهم لم يلقوا الإمام ولم يسمعوا عنه فضلاً عمن لم يدرك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 شيئاً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ملحق كما يومئ إليه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كان فقد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أن هذا المعنى هو الظاهر في نفسه وهو الذي تعارف استعماله فيه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بإسناده عن حريز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انه روى عنه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الفرضية ليست تامةً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مما سبق أن القسم الأول لذكر من يروي عن أحدهم بالمباشرة ولو رواية واحدة أما من تكون جميع روايته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الواسطة فمكان القسم الثاني لا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تنزلنا وقلنا أن من يذكر في القسم الأول ويوصف بجملة اسند عنه تكون بعض روايته بلا واسطة وبعضها مع الواسطة أو قلنا جميع روايته مع الواسطة فانه يلزم الأول ذكر هذا الوصف لكثير من الرواة إذ لهم روايات مع الواسطة وأخرى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الثاني فهو يتنافى مع كون عدد من هؤلاء له روايات كثيرة بالمباشرة كالحسين بن أبي حمزة الليثي والحسين بن عثمان شريك وغيرهم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ساوى الشيخ بين تعبير الإسناد والرواية في بعض هذه الموارد كجابر بن يزيد الجعفي ومحمد بن إسحاق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اسند عنه وروى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644" w:name="pg9067_79887"/>
    </w:p>
    <w:p>
      <w:pPr>
        <w:pStyle w:val="BookText"/>
        <w:rPr/>
      </w:pPr>
      <w:bookmarkEnd w:id="644"/>
      <w:r>
        <w:rPr>
          <w:rFonts w:ascii="Amiri" w:hAnsi="Amiri" w:eastAsia="Amiri" w:cs="Amiri"/>
          <w:color w:val="111111"/>
          <w:sz w:val="28"/>
          <w:sz w:val="28"/>
          <w:szCs w:val="28"/>
          <w:rtl w:val="true"/>
          <w:lang w:bidi="ar-SA"/>
        </w:rPr>
        <w:t>وقد يقال أن مثل هؤلاء لهم روايات مع الواسطة وأخرى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عبر الشيخ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وصفه بجملة اسند عنه فقط فجميع روايته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التفكيك لم يذهب إليه احد ويظهر الجواب عنه بما ذكرنا</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2465356_2870459653"/>
      <w:bookmarkStart w:id="646" w:name="_Toc250"/>
      <w:bookmarkEnd w:id="645"/>
      <w:r>
        <w:rPr>
          <w:rtl w:val="true"/>
        </w:rPr>
        <w:t>الفرضية الثانية</w:t>
      </w:r>
      <w:bookmarkEnd w:id="646"/>
    </w:p>
    <w:p>
      <w:pPr>
        <w:pStyle w:val="BookText"/>
        <w:rPr/>
      </w:pPr>
      <w:r>
        <w:rPr>
          <w:rFonts w:ascii="Amiri" w:hAnsi="Amiri" w:eastAsia="Amiri" w:cs="Amiri"/>
          <w:color w:val="111111"/>
          <w:sz w:val="28"/>
          <w:sz w:val="28"/>
          <w:szCs w:val="28"/>
          <w:rtl w:val="true"/>
          <w:lang w:bidi="ar-SA"/>
        </w:rPr>
        <w:t xml:space="preserve">تُقرأ بالمجهول ويكون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الراوي ويكون المراد منها أن صاحب الترجمة قد روى عنه الشيوخ واعتمدوا عليه فيكون بمنزلة التوثيق وذهب إليه العلامة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فوائد الوحيد البهبهاني</w:t>
      </w:r>
      <w:r>
        <w:rPr>
          <w:rStyle w:val="FootnoteAnchor"/>
          <w:rtl w:val="true"/>
        </w:rPr>
        <w:footnoteReference w:id="461"/>
      </w:r>
      <w:r>
        <w:rPr>
          <w:rFonts w:ascii="Amiri" w:hAnsi="Amiri" w:eastAsia="Amiri" w:cs="Amiri"/>
          <w:color w:val="111111"/>
          <w:sz w:val="28"/>
          <w:sz w:val="28"/>
          <w:szCs w:val="28"/>
          <w:rtl w:val="true"/>
          <w:lang w:bidi="ar-SA"/>
        </w:rPr>
        <w:t>المطبوعة في آخر رجال الخاقاني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أفاده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المقصود من هذه الجملة فلأنه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قرينة تعين هذه القراءة والمعروف انه إذا دار الأمر في لفظ بين قرائتين أحدهما أخف على اللسان من الأخرى فان بناء أبناء المحاورة على القراءة الأخف ما لم تكن قرينة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صيغة المعلوم أخف على اللسان من صيغة المجهول حتى قيل أنها ظاهر اللفظ في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ذكر هذا الوصف للكثير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لانطباق هذا المعنى أي ممن روى عنه الشيوخ فلماذا خصه بهؤلاء دون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جهة أنها كالتوثيق ففي إفادتها التوثيق احتمالان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رووا عمن وصف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المدح أو التوثيق لهم كما هو احد الأقوال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يكون توثيقاً من معلوم الوثاقة </w:t>
      </w:r>
      <w:bookmarkStart w:id="647" w:name="pg9067_79888"/>
    </w:p>
    <w:p>
      <w:pPr>
        <w:pStyle w:val="BookText"/>
        <w:rPr/>
      </w:pPr>
      <w:bookmarkEnd w:id="647"/>
      <w:r>
        <w:rPr>
          <w:rFonts w:ascii="Amiri" w:hAnsi="Amiri" w:eastAsia="Amiri" w:cs="Amiri"/>
          <w:color w:val="111111"/>
          <w:sz w:val="28"/>
          <w:sz w:val="28"/>
          <w:szCs w:val="28"/>
          <w:rtl w:val="true"/>
          <w:lang w:bidi="ar-SA"/>
        </w:rPr>
        <w:t>وان كان مجهول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وصف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الشيوخ حتى ظهرت واتضحت وثاقته لبعد اتفاقهم الاعتماد على من ليس بثقة أو بعد الاتفاق على كون جميعهم ليسوا بثقات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الاحتمالين لا يفيد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فلعدم إفادة وصف الشيخ المدح أو التوثيق من دون إضافة كشيخ الطائفة مثلاً مضافاً إلى أن أهم الاتجاهات في إفادة اعتماد الشيخ على شخص والرواية عنه التوثيق أو المدح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انه لا يفيد التوثيق أو المدح أصلاً أو يفيده لكن إذا حُمِلَ هذا الشيخ على بعض الخصوصيات ككونه يشترط وثاقة المروي عنه أو يطعن في الرواية عن المجاهيل وأنى لنا أثبات هذه الخصوصيات لهؤلاء الشيوخ مع كون أشخاصهم مجهولة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 فهو يقتضي معروفية ومشهورية الموصوفين بجملة اسند عنه مع أن بعضهم من المجاهيل وغير المعروفين</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2465358_2870459653"/>
      <w:bookmarkStart w:id="649" w:name="_Toc251"/>
      <w:bookmarkEnd w:id="648"/>
      <w:r>
        <w:rPr>
          <w:rtl w:val="true"/>
        </w:rPr>
        <w:t>الفرضية الثالثة</w:t>
      </w:r>
      <w:bookmarkEnd w:id="649"/>
    </w:p>
    <w:p>
      <w:pPr>
        <w:pStyle w:val="BookText"/>
        <w:rPr/>
      </w:pPr>
      <w:r>
        <w:rPr>
          <w:rFonts w:ascii="Amiri" w:hAnsi="Amiri" w:eastAsia="Amiri" w:cs="Amiri"/>
          <w:color w:val="111111"/>
          <w:sz w:val="28"/>
          <w:sz w:val="28"/>
          <w:szCs w:val="28"/>
          <w:rtl w:val="true"/>
          <w:lang w:bidi="ar-SA"/>
        </w:rPr>
        <w:t>ذكر المحقق التستري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وحققنا أن المراد به –أي اسند عنه– الراوي الذي ينتهي السند إليه بلا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عنوان مسلم بن خالد</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في عنوان مسلم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الكنجي الشافعي ميلاد أمير المؤمنين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قائلاً تفرد به مسلم بن خالد الزنجي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ولابد أن مراد الشيخ في الرجال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أخباره</w:t>
      </w:r>
      <w:r>
        <w:rPr>
          <w:rFonts w:eastAsia="IRNazanin" w:cs="IRNazanin"/>
          <w:color w:val="111111"/>
          <w:sz w:val="28"/>
          <w:szCs w:val="28"/>
          <w:rtl w:val="true"/>
          <w:lang w:bidi="fa-IR"/>
        </w:rPr>
        <w:t xml:space="preserve">) . </w:t>
      </w:r>
      <w:bookmarkStart w:id="650" w:name="pg9067_79889"/>
    </w:p>
    <w:p>
      <w:pPr>
        <w:pStyle w:val="BookText"/>
        <w:rPr/>
      </w:pPr>
      <w:bookmarkEnd w:id="650"/>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الشيخ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روي عنه احد الأخبار التي تفرد بها ولم يروها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أن يكون مقصوده التفرد بالسند بل التفرد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w:t>
      </w:r>
      <w:r>
        <w:rPr>
          <w:rFonts w:eastAsia="Amiri" w:cs="Amiri" w:ascii="Amiri" w:hAnsi="Amiri"/>
          <w:color w:val="111111"/>
          <w:sz w:val="28"/>
          <w:szCs w:val="28"/>
          <w:lang w:bidi="ar-SA"/>
        </w:rPr>
        <w:t>9</w:t>
      </w:r>
      <w:r>
        <w:rPr>
          <w:rStyle w:val="FootnoteAnchor"/>
          <w:rtl w:val="true"/>
        </w:rPr>
        <w:footnoteReference w:id="4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يمكن أن يكون مراد الشيخ في الرجال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كلماته هذه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نحمل بعضها على بعض فيكون مقصوده أن من وصف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العامة عنه حديثاً أو أحاديث تفرد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عدول عما ذكره 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ذكره في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جاء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ما ذكره في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تذبذب بين ما ذكره 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مجرد احتمال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يراه فهو ما ذكره 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كان فقد ظهر أن صيغة المجهول أثقل من صيغة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ما ذكره من قرائن سواء في ترجمة مسلم بن خالد أو في ترجمة محمد بن مروان لا تحصِّل الاطمئنان بهذه الفرضية في هذين العنوانين فضلاً عن جميع من وصف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2465360_2870459653"/>
      <w:bookmarkStart w:id="652" w:name="_Toc252"/>
      <w:bookmarkEnd w:id="651"/>
      <w:r>
        <w:rPr>
          <w:rtl w:val="true"/>
        </w:rPr>
        <w:t>الفرضية الرابعة</w:t>
      </w:r>
      <w:bookmarkEnd w:id="65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تُقرأ بصيغة المعلوم ويرجع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 اسند هو احمد بن محمد بن سعيد المعروف بابن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هذا الراوي ذكره ابن عقدة في رجاله الموضوع لذكر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فقد ذكر العلامة في الخلاصة</w:t>
      </w:r>
      <w:r>
        <w:rPr>
          <w:rStyle w:val="FootnoteAnchor"/>
          <w:rtl w:val="true"/>
        </w:rPr>
        <w:footnoteReference w:id="4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أسماء الرجال الذين رووا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رجل واخرج لكل رجل الحديث الذي رواه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المقدار في تفسير هذه الجملة اتفق عليه المحدث النوري</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ومعاصره السيد الصدر</w:t>
      </w:r>
      <w:r>
        <w:rPr>
          <w:rStyle w:val="FootnoteAnchor"/>
          <w:rtl w:val="true"/>
        </w:rPr>
        <w:footnoteReference w:id="467"/>
      </w:r>
      <w:r>
        <w:rPr>
          <w:rFonts w:ascii="Amiri" w:hAnsi="Amiri" w:eastAsia="Amiri" w:cs="Amiri"/>
          <w:color w:val="111111"/>
          <w:sz w:val="28"/>
          <w:sz w:val="28"/>
          <w:szCs w:val="28"/>
          <w:rtl w:val="true"/>
          <w:lang w:bidi="ar-SA"/>
        </w:rPr>
        <w:t>الذي ذكر بياناً في مقدمات أربع كان نتيجتها هذا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ذهب الثاني إلى أنها – أي هذه الجملة – لا تفيد المدح والتوثيق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فذكر أن كتاب ابن عقدة هذا موضوع لذكر الثقات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من مصادر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مقدمته فقد أورد كل شخص ذكره ابن عقدة في كتابه ووصفه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موثقاً بتوثيق ابن عقدة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الذي ذكر لا يمكن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جهة المقصود بهذه الجملة فانه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قرينة على كون فاعل اسند هو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إياه في المقدمة لا يسوغ الرجوع إليه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وصفهم الشيخ بهذه الجملة في أصحاب الإمام الصادق لا يزيد عددهم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كتاب ابن عقدة كما وصفه الشيخ في المقدمة قد بلغ الغاية في ذلك ولم يكن من المختصرات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الشيخ انه يذكر جميع من ذكرهم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عددهم أكثر من ذلك بكثير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أجيب كما في نهاية الدراية أن من ذكرهم الشيخ هم من كانت روايتهم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مسنده من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البقية من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يرو عنهم ابن </w:t>
      </w:r>
      <w:bookmarkStart w:id="653" w:name="pg9067_79891"/>
    </w:p>
    <w:p>
      <w:pPr>
        <w:pStyle w:val="BookText"/>
        <w:rPr/>
      </w:pPr>
      <w:bookmarkEnd w:id="653"/>
      <w:r>
        <w:rPr>
          <w:rFonts w:ascii="Amiri" w:hAnsi="Amiri" w:eastAsia="Amiri" w:cs="Amiri"/>
          <w:color w:val="111111"/>
          <w:sz w:val="28"/>
          <w:sz w:val="28"/>
          <w:szCs w:val="28"/>
          <w:rtl w:val="true"/>
          <w:lang w:bidi="ar-SA"/>
        </w:rPr>
        <w:t>عقدة في كتابه بل أورد رواياتهم 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الجواب ليس بتام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أين لنا العلم أن ابن عقدة هكذا صنف كتابه أي ذكر فيه روايات مرسلة وأخرى مسندة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انه ذكر في ترجمته انه روى جميع كتب أصحابنا وصنف لهم وذكر أصولهم وكان 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ويُحكى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مائة وعشرين ألف حديث بأسانيدها واذاكر بثلاثمائة ألف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لم تكن له روايات مسنده إلا عن هذا العدد المحدود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مطمئن بل مقطوع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افادتها التوثيق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دليل على تخصيص ابن عقدة رجاله هذا بذكر الثقات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ذكره في البحث المعقود للجرح والتعديل في رجال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Heading5"/>
        <w:numPr>
          <w:ilvl w:val="4"/>
          <w:numId w:val="1"/>
        </w:numPr>
        <w:rPr/>
      </w:pPr>
      <w:bookmarkStart w:id="654" w:name="__RefHeading___Toc2465362_2870459653"/>
      <w:bookmarkStart w:id="655" w:name="_Toc253"/>
      <w:bookmarkEnd w:id="654"/>
      <w:r>
        <w:rPr>
          <w:rtl w:val="true"/>
        </w:rPr>
        <w:t>الفرضية الخامسة</w:t>
      </w:r>
      <w:bookmarkEnd w:id="655"/>
    </w:p>
    <w:p>
      <w:pPr>
        <w:pStyle w:val="Heading6"/>
        <w:numPr>
          <w:ilvl w:val="5"/>
          <w:numId w:val="1"/>
        </w:numPr>
        <w:rPr/>
      </w:pPr>
      <w:bookmarkStart w:id="656" w:name="__RefHeading___Toc2465364_2870459653"/>
      <w:bookmarkStart w:id="657" w:name="_Toc254"/>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 xml:space="preserve">تُقرا بصيغة المعلوم ويكون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المقصود أن هذا الراوي روى عن الإمام حديثاً أو ازيد مسنداً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هذه الفرضية وأوضحها السيد الأستاذ دامت بركاته عن مجلس سيد مشايخنا السيد السيستاني مد ظله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تمام هذه الفرضية يتألف من مقدمات ثلاث</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2465366_2870459653"/>
      <w:bookmarkStart w:id="659" w:name="_Toc255"/>
      <w:bookmarkEnd w:id="658"/>
      <w:r>
        <w:rPr>
          <w:rtl w:val="true"/>
        </w:rPr>
        <w:t>المقدمة الأولى</w:t>
      </w:r>
      <w:bookmarkEnd w:id="659"/>
    </w:p>
    <w:p>
      <w:pPr>
        <w:pStyle w:val="BookText"/>
        <w:rPr/>
      </w:pPr>
      <w:r>
        <w:rPr>
          <w:rFonts w:ascii="Amiri" w:hAnsi="Amiri" w:eastAsia="Amiri" w:cs="Amiri"/>
          <w:color w:val="111111"/>
          <w:sz w:val="28"/>
          <w:sz w:val="28"/>
          <w:szCs w:val="28"/>
          <w:rtl w:val="true"/>
          <w:lang w:bidi="ar-SA"/>
        </w:rPr>
        <w:t>وهي من شقين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قرائتها بصيغة المعلوم وان فاعل أسند هو الراوي ورجوع الهاء في عنه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ما يؤيد ذلك</w:t>
      </w:r>
      <w:r>
        <w:rPr>
          <w:rFonts w:eastAsia="Amiri" w:cs="Amiri" w:ascii="Amiri" w:hAnsi="Amiri"/>
          <w:color w:val="111111"/>
          <w:sz w:val="28"/>
          <w:szCs w:val="28"/>
          <w:rtl w:val="true"/>
          <w:lang w:bidi="ar-SA"/>
        </w:rPr>
        <w:t xml:space="preserve">. </w:t>
      </w:r>
      <w:bookmarkStart w:id="660" w:name="pg9067_79892"/>
    </w:p>
    <w:p>
      <w:pPr>
        <w:pStyle w:val="BookText"/>
        <w:rPr/>
      </w:pPr>
      <w:bookmarkEnd w:id="66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هذا التعبير في اسند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ذكر السيد الأستاذ دامت بركاته</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يتداول استخدامه في كلمات الجمهور والذي لاحظته بالتتبع أنه على ثلاثة أنحاء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فلان عن فلان ويراد به روى عنه بالمباشرة ومن هذا القبيل ما ورد بشان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عبد الله بن زيد عن رسول الله هذا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فلان عن فلان ويراد به أنه روى عنه مسنداً لا مرسلاً وذلك حينما يكون بينهما فاصلة بطبقة أو أزيد كقولهم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اسند البخاري ومسلم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فلان عن فلان ويراد به روى عنه حديثاً أو أكثر مسنداً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إلى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ذلك قول بعضهم ولا اعلم أحداً من رواة الموطأ عن مالك اسند عنه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يمنع نقر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ورد هذا الحديث في الموطأ عن عمرة بنت عبد الرحمن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مرسل لان عمرة لم تدرك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Heading6"/>
        <w:numPr>
          <w:ilvl w:val="5"/>
          <w:numId w:val="1"/>
        </w:numPr>
        <w:rPr/>
      </w:pPr>
      <w:bookmarkStart w:id="661" w:name="__RefHeading___Toc2465368_2870459653"/>
      <w:bookmarkStart w:id="662" w:name="_Toc256"/>
      <w:bookmarkEnd w:id="661"/>
      <w:r>
        <w:rPr>
          <w:rtl w:val="true"/>
        </w:rPr>
        <w:t>المقدمة الثانية</w:t>
      </w:r>
      <w:bookmarkEnd w:id="662"/>
    </w:p>
    <w:p>
      <w:pPr>
        <w:pStyle w:val="BookText"/>
        <w:rPr/>
      </w:pPr>
      <w:r>
        <w:rPr>
          <w:rFonts w:ascii="Amiri" w:hAnsi="Amiri" w:eastAsia="Amiri" w:cs="Amiri"/>
          <w:color w:val="111111"/>
          <w:sz w:val="28"/>
          <w:sz w:val="28"/>
          <w:szCs w:val="28"/>
          <w:rtl w:val="true"/>
          <w:lang w:bidi="ar-SA"/>
        </w:rPr>
        <w:t xml:space="preserve">هذا المعنى – أي الرواية عن الإمام مسنداً إلى النبي أو الإمام علي – حاصل في جملة ممن وصف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محمد بن الإمام الصادق ومحمد بن ميمون التميمي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مسلم بن رباح وغياث بن ابراهيم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بن ابراهيم المروزي ويزيد بن الحسن وآخرين</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2465370_2870459653"/>
      <w:bookmarkStart w:id="664" w:name="_Toc257"/>
      <w:bookmarkEnd w:id="663"/>
      <w:r>
        <w:rPr>
          <w:rtl w:val="true"/>
        </w:rPr>
        <w:t>المقدمة الثالثة</w:t>
      </w:r>
      <w:bookmarkEnd w:id="66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اتضح في المقدمتين يحتمل أن يكون هو مقصود الشيخ من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اتفاقاً وصدفة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نعتمد حساب الاحتمالات إذ كلما </w:t>
      </w:r>
      <w:bookmarkStart w:id="665" w:name="pg9067_79893"/>
    </w:p>
    <w:p>
      <w:pPr>
        <w:pStyle w:val="BookText"/>
        <w:rPr/>
      </w:pPr>
      <w:bookmarkEnd w:id="665"/>
      <w:r>
        <w:rPr>
          <w:rFonts w:ascii="Amiri" w:hAnsi="Amiri" w:eastAsia="Amiri" w:cs="Amiri"/>
          <w:color w:val="111111"/>
          <w:sz w:val="28"/>
          <w:sz w:val="28"/>
          <w:szCs w:val="28"/>
          <w:rtl w:val="true"/>
          <w:lang w:bidi="ar-SA"/>
        </w:rPr>
        <w:t xml:space="preserve">ازداد العدد بالقياس إلى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استبعاداً للصدفة وفي جنب هذه الفرضية والعكس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يحتاج إلى استقصاء ومتابعة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الأستاذ دامت بركاته أن هذه الفرضية هي الأحرى بالقبول وان كان يصعب الاطمئنان إليها أيضاً أي كباقي الفرضيات</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2465372_2870459653"/>
      <w:bookmarkStart w:id="667" w:name="_Toc258"/>
      <w:bookmarkEnd w:id="666"/>
      <w:r>
        <w:rPr>
          <w:rtl w:val="true"/>
        </w:rPr>
        <w:t>الجهة الثالثة</w:t>
      </w:r>
      <w:bookmarkEnd w:id="667"/>
    </w:p>
    <w:p>
      <w:pPr>
        <w:pStyle w:val="BookText"/>
        <w:rPr/>
      </w:pPr>
      <w:r>
        <w:rPr>
          <w:rFonts w:ascii="Amiri" w:hAnsi="Amiri" w:eastAsia="Amiri" w:cs="Amiri"/>
          <w:color w:val="111111"/>
          <w:sz w:val="28"/>
          <w:sz w:val="28"/>
          <w:szCs w:val="28"/>
          <w:rtl w:val="true"/>
          <w:lang w:bidi="ar-SA"/>
        </w:rPr>
        <w:t>وصف الشيخ في رجاله بعض الرواة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مقصوده منه ؟</w:t>
      </w:r>
    </w:p>
    <w:p>
      <w:pPr>
        <w:pStyle w:val="BookText"/>
        <w:rPr/>
      </w:pPr>
      <w:r>
        <w:rPr>
          <w:rFonts w:ascii="Amiri" w:hAnsi="Amiri" w:eastAsia="Amiri" w:cs="Amiri"/>
          <w:color w:val="111111"/>
          <w:sz w:val="28"/>
          <w:sz w:val="28"/>
          <w:szCs w:val="28"/>
          <w:rtl w:val="true"/>
          <w:lang w:bidi="ar-SA"/>
        </w:rPr>
        <w:t>وصف المجهول له معنى لغوي وآخر 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ويوصف به الخبر والراوي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الوصف مر بمراحل وإطلاقات</w:t>
      </w:r>
      <w:r>
        <w:rPr>
          <w:rStyle w:val="FootnoteAnchor"/>
          <w:rtl w:val="true"/>
        </w:rPr>
        <w:footnoteReference w:id="470"/>
      </w:r>
      <w:r>
        <w:rPr>
          <w:rFonts w:ascii="Amiri" w:hAnsi="Amiri" w:eastAsia="Amiri" w:cs="Amiri"/>
          <w:color w:val="111111"/>
          <w:sz w:val="28"/>
          <w:sz w:val="28"/>
          <w:szCs w:val="28"/>
          <w:rtl w:val="true"/>
          <w:lang w:bidi="ar-SA"/>
        </w:rPr>
        <w:t>والمهم معناه عند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مجهولية الصحبة أو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مجهول الصحبة فيستلزم أنه مجهول الرواية بالمباشرة إذ نفي الأعم يستلزم نفي الأخص فلا يصح ذكره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مجهول الرواية بالمباشرة فانه لا يكفي لذكره في القسم الأول إذ ظاهر كلام الشيخ احراز الرواية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أنه صرّح في مثل هذه الموارد انه لم يرو عن الإمام أو لا يعلم انه يروي عنه فما المبرر لاختلاف التعبير؟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مجهولية الحال من غير الوثاقة والضعف والصحبة والرواية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 أن الأحوال الأخرى غير الطبقة ليست مقصودة للشيخ في هذا الكتاب إلا للتعيين والتمييز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 الموصوفين بهذا الوصف متعين بالمقدار نفسه المذكور لتعيين كثير من أوردهم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أشار إلى ذلك في خصوص هؤلاء دون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ان من المطمئن به أن معظم الذين أوردهم في كتابه لا يعرف أحوالهم فلماذا لم يصفهم بهذا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المجهولية من جهة الوثاقة والضعف فيكون احد ألفاظ الجرح 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 دامت بركاته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أن ألفاظ الجرح والتعديل مع إفادتها تينك الصفتين فأنها قد تفيد حيثيات أخرى وهنا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عبَّر بهذه الكلمة دون بقية التعابير والتي هي أكثر استعمالاً في هذه الموارد وماذا يحوي هذا التعبير؟</w:t>
      </w:r>
    </w:p>
    <w:p>
      <w:pPr>
        <w:pStyle w:val="BookText"/>
        <w:rPr/>
      </w:pPr>
      <w:r>
        <w:rPr>
          <w:rFonts w:ascii="Amiri" w:hAnsi="Amiri" w:eastAsia="Amiri" w:cs="Amiri"/>
          <w:color w:val="111111"/>
          <w:sz w:val="28"/>
          <w:sz w:val="28"/>
          <w:szCs w:val="28"/>
          <w:rtl w:val="true"/>
          <w:lang w:bidi="ar-SA"/>
        </w:rPr>
        <w:t>أجاب السيد الأستاذ دامت بركاته انه لا يبعد إن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تتضارب بشأنه مؤشرات الوثاقة والضعف ولذلك لا يمكن البناء على وثاقته ولا على ضعفه أي من المؤكد إن الشيخ لا يعرف كثيراً ممن أوردهم في كتابه وبهذا يندفع ما قد يقال إن الجهل بالوثاقة والضعف كالجهل بالأحوال الأخرى فلماذا خص هؤلاء بهذا الوصف دون غيرهم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والفارق بين الاحتمال الثاني والثالث ان الأخير يصلح للمعارضة فيما إذا ورد توثيق للموصوفين بالمجهول دون الثاني</w:t>
      </w:r>
      <w:r>
        <w:rPr>
          <w:rFonts w:eastAsia="Amiri" w:cs="Amiri" w:ascii="Amiri" w:hAnsi="Amiri"/>
          <w:color w:val="111111"/>
          <w:sz w:val="28"/>
          <w:szCs w:val="28"/>
          <w:rtl w:val="true"/>
          <w:lang w:bidi="ar-SA"/>
        </w:rPr>
        <w:t xml:space="preserve">. </w:t>
      </w:r>
      <w:bookmarkStart w:id="668" w:name="pg9067_79895"/>
    </w:p>
    <w:p>
      <w:pPr>
        <w:pStyle w:val="Heading3"/>
        <w:numPr>
          <w:ilvl w:val="2"/>
          <w:numId w:val="1"/>
        </w:numPr>
        <w:rPr/>
      </w:pPr>
      <w:bookmarkStart w:id="669" w:name="__RefHeading___Toc2465374_2870459653"/>
      <w:bookmarkStart w:id="670" w:name="_Toc259"/>
      <w:bookmarkEnd w:id="668"/>
      <w:bookmarkEnd w:id="669"/>
      <w:r>
        <w:rPr>
          <w:rtl w:val="true"/>
        </w:rPr>
        <w:t>الفصل الرابع</w:t>
      </w:r>
      <w:r>
        <w:rPr>
          <w:rtl w:val="true"/>
        </w:rPr>
        <w:t xml:space="preserve">: </w:t>
      </w:r>
      <w:r>
        <w:rPr>
          <w:rtl w:val="true"/>
        </w:rPr>
        <w:t>في الجرح والتعديل في رجال الشيخ</w:t>
      </w:r>
      <w:bookmarkEnd w:id="670"/>
    </w:p>
    <w:p>
      <w:pPr>
        <w:pStyle w:val="Heading4"/>
        <w:numPr>
          <w:ilvl w:val="3"/>
          <w:numId w:val="1"/>
        </w:numPr>
        <w:rPr/>
      </w:pPr>
      <w:bookmarkStart w:id="671" w:name="__RefHeading___Toc2465376_2870459653"/>
      <w:bookmarkStart w:id="672" w:name="_Toc260"/>
      <w:bookmarkEnd w:id="671"/>
      <w:r>
        <w:rPr>
          <w:rtl w:val="true"/>
        </w:rPr>
        <w:t>اشارة</w:t>
      </w:r>
      <w:bookmarkEnd w:id="672"/>
    </w:p>
    <w:p>
      <w:pPr>
        <w:pStyle w:val="BookText"/>
        <w:rPr/>
      </w:pPr>
      <w:r>
        <w:rPr>
          <w:rFonts w:ascii="IRNazanin" w:hAnsi="IRNazanin" w:eastAsia="IRNazanin"/>
          <w:color w:val="111111"/>
          <w:sz w:val="28"/>
          <w:sz w:val="28"/>
          <w:szCs w:val="28"/>
          <w:rtl w:val="true"/>
          <w:lang w:bidi="fa-IR"/>
        </w:rPr>
        <w:t>رجال الشيخ موضوعه طبقات الرواة وليس الجرح والتعديل إلا أنه ذكر أحياناً ما يتعلق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البعض استفادة ذلك من تعابير ليست ظاهرة في الجرح والتعديل كجملة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آخر حاول استفادة توثيق عام لأصحاب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يمكن إن يطرح في هذه الجهة الخاصة بالجرح والتعديل أبحاث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الجرح والتعديل التي وردت في كتاب الرجال هذا ودلالاتها وما يتعلق بها ولكن لما لم يكن للشيخ في رجاله أو بقية كتبه اصطلاح خاص في ألفاظ الجرح والتعديل فلا يصلح أن يكون بحثاً خاصاً برجاله أو مبدءاً مشتركاً لمصنفاته الرجالية بل هو من المباحث العامة لعلم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المناسب أن يذكر معجماً تعدد فيه هذه الألفاظ ويبحث عن دلالاتها وحدودها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توثيقات الشيخ وتضعيفاته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لعل المناسب ذكره في عموم المعلومة الرجالية المستفادة من الشيخ سواء كانت في الجرح والتعديل أو الطبقة أو تمييز المشتركات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معه حيثيات أخرى من قبيل ان اخباره عن حس أو حدس وغيرها فيكون بحثاً عاماً ومبدءاً مشتركاً يتطرق له قبل الدخول في خصوصيات مصنفاته الرجالية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وثاقة جميع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 الشيخ</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الأبحاث</w:t>
      </w:r>
      <w:r>
        <w:rPr>
          <w:rFonts w:eastAsia="Amiri" w:cs="Amiri" w:ascii="Amiri" w:hAnsi="Amiri"/>
          <w:color w:val="111111"/>
          <w:sz w:val="28"/>
          <w:szCs w:val="28"/>
          <w:rtl w:val="true"/>
          <w:lang w:bidi="ar-SA"/>
        </w:rPr>
        <w:t xml:space="preserve">. </w:t>
      </w:r>
      <w:bookmarkStart w:id="673" w:name="pg9067_79896"/>
    </w:p>
    <w:p>
      <w:pPr>
        <w:pStyle w:val="BookText"/>
        <w:rPr/>
      </w:pPr>
      <w:bookmarkEnd w:id="673"/>
      <w:r>
        <w:rPr>
          <w:rFonts w:ascii="IRNazanin" w:hAnsi="IRNazanin" w:eastAsia="IRNazanin"/>
          <w:color w:val="111111"/>
          <w:sz w:val="28"/>
          <w:sz w:val="28"/>
          <w:szCs w:val="28"/>
          <w:rtl w:val="true"/>
          <w:lang w:bidi="fa-IR"/>
        </w:rPr>
        <w:t xml:space="preserve">ويقع الكلام في هذا الفصل عن وثاقة أصحاب الأمام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يذكر لذلك وجهان</w:t>
      </w:r>
      <w:r>
        <w:rPr>
          <w:rFonts w:eastAsia="IRNazanin" w:cs="IRNazanin"/>
          <w:color w:val="111111"/>
          <w:sz w:val="28"/>
          <w:szCs w:val="28"/>
          <w:rtl w:val="true"/>
          <w:lang w:bidi="fa-IR"/>
        </w:rPr>
        <w:t>:</w:t>
      </w:r>
    </w:p>
    <w:p>
      <w:pPr>
        <w:pStyle w:val="Heading4"/>
        <w:numPr>
          <w:ilvl w:val="3"/>
          <w:numId w:val="1"/>
        </w:numPr>
        <w:rPr/>
      </w:pPr>
      <w:bookmarkStart w:id="674" w:name="__RefHeading___Toc2465378_2870459653"/>
      <w:bookmarkStart w:id="675" w:name="_Toc261"/>
      <w:bookmarkEnd w:id="674"/>
      <w:r>
        <w:rPr>
          <w:rtl w:val="true"/>
        </w:rPr>
        <w:t>الوجه الأول</w:t>
      </w:r>
      <w:bookmarkEnd w:id="675"/>
    </w:p>
    <w:p>
      <w:pPr>
        <w:pStyle w:val="BookText"/>
        <w:rPr/>
      </w:pPr>
      <w:r>
        <w:rPr>
          <w:rFonts w:ascii="Amiri" w:hAnsi="Amiri" w:eastAsia="Amiri" w:cs="Amiri"/>
          <w:color w:val="111111"/>
          <w:sz w:val="28"/>
          <w:sz w:val="28"/>
          <w:szCs w:val="28"/>
          <w:rtl w:val="true"/>
          <w:lang w:bidi="ar-SA"/>
        </w:rPr>
        <w:t>ويتألف من مقدمتين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لابن عقدة والذي ذكر فيه من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 جميعهم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الصادق في رجال الشيخ ليس إلا المذكورين في كتاب ابن عقدة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ان أصحاب الصادق ثقات بتوثيق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المقدمة الأولى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وتفسير ابن شهر آشوب في المناقب له من انه يقصد كتاب ابن عقدة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ويجدر الالتفات إلى إن كلام ابن شهر آشوب يمكن أن يكون في نفسه – لا من جهة انه تفسير لكلام المفيد – دليلاً على هذه المقدمة فان توثيقاته وتضعيفاته عن حس لا عن حدس كما ذكر 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ودليل المقدمة الثانية ما ذكره الشيخ في مقدمته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اذكر وأورد بعد ذلك ما لم يذكره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 على ذكره في باب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في رجال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أورد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رجال باقي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يمكن المساعدة على كلتا المقدمتين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فقد تكفلت اثبات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المفيد يقصد من كلامه ابن عقدة ولذا فسره في المناقب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شهر آشوب يخبر بذلك بقطع النظر عن كونه تفسيراً لكلام الشيخ المفيد وهو محتمل الإخبار الحسي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رجال ابن عقدة متوفر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ووثاقتهم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فليس إلا حدساً واجتهاداً من ابن شهر آشوب بشهادة إن الشيخ لم يذكر هذا العدد مع إن المناسبة تقتضي ذلك جداً إذْ وصف المصنفات الرجالية لأصحابنا بالمختصرات إلا كتاب ابن عقدة فانه بلغ الغاية فكان ذكر العدد مناسب جداً خصوصاً إذا كان بهذه المعروفية التي ادعى إشارة المفيد إليها وتصريح ابن شهر آشوب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إن النجاشي مع انه أكثر النقل عن ابن عقدة لم يشر إلى هذا الأمر فضلاً عن أنهم لم يذكروا ذلك في ترجمة ابن عقدة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 والذي هو بعد التنزل عن الأولين فانه لا يمكننا الوثوق بهذه الدعوى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العدد فان ما ذكر في رجال الطوسي لا يزيد على </w:t>
      </w:r>
      <w:r>
        <w:rPr>
          <w:rFonts w:eastAsia="IRNazanin" w:cs="IRNazanin"/>
          <w:color w:val="111111"/>
          <w:sz w:val="28"/>
          <w:szCs w:val="28"/>
          <w:rtl w:val="true"/>
          <w:lang w:bidi="fa-IR"/>
        </w:rPr>
        <w:t>(</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أكثر التقارير – بل في الفائق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للشبستري والذي جمع حتى غير المذكورين في رجال الشيخ فلا يزيد العدد عن </w:t>
      </w:r>
      <w:r>
        <w:rPr>
          <w:rFonts w:eastAsia="IRNazanin" w:cs="IRNazanin"/>
          <w:color w:val="111111"/>
          <w:sz w:val="28"/>
          <w:szCs w:val="28"/>
          <w:rtl w:val="true"/>
          <w:lang w:bidi="fa-IR"/>
        </w:rPr>
        <w:t>(</w:t>
      </w:r>
      <w:r>
        <w:rPr>
          <w:rFonts w:eastAsia="IRNazanin" w:cs="IRNazanin"/>
          <w:color w:val="111111"/>
          <w:sz w:val="28"/>
          <w:szCs w:val="28"/>
          <w:lang w:bidi="fa-IR"/>
        </w:rPr>
        <w:t>3759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 من مصادره رجال ابن عقدة مع زيادات ابن نوح عليه التي وصفها النجاشي بالمستوفى</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p>
    <w:p>
      <w:pPr>
        <w:pStyle w:val="BookText"/>
        <w:rPr/>
      </w:pPr>
      <w:r>
        <w:rPr>
          <w:rFonts w:ascii="Amiri" w:hAnsi="Amiri" w:eastAsia="Amiri" w:cs="Amiri"/>
          <w:color w:val="111111"/>
          <w:sz w:val="28"/>
          <w:sz w:val="28"/>
          <w:szCs w:val="28"/>
          <w:rtl w:val="true"/>
          <w:lang w:bidi="ar-SA"/>
        </w:rPr>
        <w:t>في الفهرست</w:t>
      </w:r>
      <w:r>
        <w:rPr>
          <w:rStyle w:val="FootnoteAnchor"/>
          <w:rtl w:val="true"/>
        </w:rPr>
        <w:footnoteReference w:id="474"/>
      </w:r>
      <w:r>
        <w:rPr>
          <w:rFonts w:ascii="Amiri" w:hAnsi="Amiri" w:eastAsia="Amiri" w:cs="Amiri"/>
          <w:color w:val="111111"/>
          <w:sz w:val="28"/>
          <w:sz w:val="28"/>
          <w:szCs w:val="28"/>
          <w:rtl w:val="true"/>
          <w:lang w:bidi="ar-SA"/>
        </w:rPr>
        <w:t>انه زاد على ما ذكره ابن عقدة كثيراً ومصادر أخرى كثيرة فهو بمثابة جمع الجوامع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الشيخ في المقدمة بالاستيفاء وبذل الجهد بحيث لا يشذ إلا النادر فكيف يكون عدد رجال ابن 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أقل من هذا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للوثاقة فالمقصود أما أن جميع أصحاب الصادق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أنهم أكثر من ذلك لكن الثقات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 على الأول أنَّ الشيخ ضعّف ووثق بعض المذكورين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ينسجم مع بنائه على إن المذكورين جميعهم موثقون بتوثيق ابن عقدة إذ المناسب اكتفائه بتوثيق ابن عقدة وعدم وجود ضعيف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 لا فائدة منها بعد عدم وجود ما يشخص الثقات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إن المقدمة الأولى لا يمكن قبولها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المقدمة الثانية فحق العبارة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ما ذكر ابن عقدة من رجال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من بعد ذلك ما لم يورد ابن عقدة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ذلك إلى ماذا يرجع بحسب القواعد العربية؟</w:t>
      </w:r>
    </w:p>
    <w:p>
      <w:pPr>
        <w:pStyle w:val="BookText"/>
        <w:rPr/>
      </w:pPr>
      <w:r>
        <w:rPr>
          <w:rFonts w:ascii="IRNazanin" w:hAnsi="IRNazanin" w:eastAsia="IRNazanin"/>
          <w:color w:val="111111"/>
          <w:sz w:val="28"/>
          <w:sz w:val="28"/>
          <w:szCs w:val="28"/>
          <w:rtl w:val="true"/>
          <w:lang w:bidi="fa-IR"/>
        </w:rPr>
        <w:t>إما يرجع إلى البعيد لأنه اسم إشارة للبعيد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يرجع إلى مصب الكلام ومحوره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المحدث النوري يتم إذا رجع إلى رجال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انه قريب لا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 مصب الكلام يناسب أن يكون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 من بعد ما ذكره ما لم يورده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شاملاً لأصحاب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ما رامه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صحيحاً</w:t>
      </w:r>
      <w:r>
        <w:rPr>
          <w:rFonts w:eastAsia="Amiri" w:cs="Amiri" w:ascii="Amiri" w:hAnsi="Amiri"/>
          <w:color w:val="111111"/>
          <w:sz w:val="28"/>
          <w:szCs w:val="28"/>
          <w:rtl w:val="true"/>
          <w:lang w:bidi="ar-SA"/>
        </w:rPr>
        <w:t xml:space="preserve">. </w:t>
      </w:r>
      <w:bookmarkStart w:id="676" w:name="pg9067_79899"/>
    </w:p>
    <w:p>
      <w:pPr>
        <w:pStyle w:val="Heading4"/>
        <w:numPr>
          <w:ilvl w:val="3"/>
          <w:numId w:val="1"/>
        </w:numPr>
        <w:rPr/>
      </w:pPr>
      <w:bookmarkStart w:id="677" w:name="__RefHeading___Toc2465380_2870459653"/>
      <w:bookmarkStart w:id="678" w:name="_Toc262"/>
      <w:bookmarkEnd w:id="676"/>
      <w:bookmarkEnd w:id="677"/>
      <w:r>
        <w:rPr>
          <w:rtl w:val="true"/>
        </w:rPr>
        <w:t>الوجه الثاني</w:t>
      </w:r>
      <w:bookmarkEnd w:id="678"/>
    </w:p>
    <w:p>
      <w:pPr>
        <w:pStyle w:val="BookText"/>
        <w:rPr/>
      </w:pPr>
      <w:r>
        <w:rPr>
          <w:rFonts w:ascii="Amiri" w:hAnsi="Amiri" w:eastAsia="Amiri" w:cs="Amiri"/>
          <w:color w:val="111111"/>
          <w:sz w:val="28"/>
          <w:sz w:val="28"/>
          <w:szCs w:val="28"/>
          <w:rtl w:val="true"/>
          <w:lang w:bidi="ar-SA"/>
        </w:rPr>
        <w:t xml:space="preserve">ما ذكره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الآمل كما في المستدرك</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ويتألف من مقدمتين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كلام المفيد في نفسه ومن دون إرجاعه إلى انه يريد كتاب ابن عقدة فيكون مقصوده إن الثقات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أنهم تمام أصحابه أو بعضهم فمسكوت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رجال الشيخ أقل من هذا العدد بل حتى مع إضافة المذكورين في المصادر الأخرى كما نقلناه عن الفائق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فتكون النتيجة أن تمام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ذاك العدد بذاك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أيضاً ليس بتام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للمقدمة الأولى فيأتي فيها ما ذكرناه بالنسبة للوثاقة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للمقدمة الثانية فعدم الوجدان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ظاهر عبارة المفيد أن العدد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الثقات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أعلام الورى ان الأربعة ألآف هؤلاء من مشهوري أهل العلم لا مع غير المشهورين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فالحصيلة النهائية انه لا دليل على وثاقة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 الشيخ</w:t>
      </w:r>
      <w:r>
        <w:rPr>
          <w:rFonts w:eastAsia="IRNazanin" w:cs="IRNazanin"/>
          <w:color w:val="111111"/>
          <w:sz w:val="28"/>
          <w:szCs w:val="28"/>
          <w:rtl w:val="true"/>
          <w:lang w:bidi="fa-IR"/>
        </w:rPr>
        <w:t xml:space="preserve">. </w:t>
      </w:r>
      <w:bookmarkStart w:id="679" w:name="pg9067_79900"/>
    </w:p>
    <w:p>
      <w:pPr>
        <w:pStyle w:val="Heading3"/>
        <w:numPr>
          <w:ilvl w:val="2"/>
          <w:numId w:val="1"/>
        </w:numPr>
        <w:rPr/>
      </w:pPr>
      <w:bookmarkStart w:id="680" w:name="__RefHeading___Toc2465382_2870459653"/>
      <w:bookmarkStart w:id="681" w:name="_Toc263"/>
      <w:bookmarkEnd w:id="679"/>
      <w:bookmarkEnd w:id="680"/>
      <w:r>
        <w:rPr>
          <w:rtl w:val="true"/>
        </w:rPr>
        <w:t>الفصل الخامس</w:t>
      </w:r>
      <w:r>
        <w:rPr>
          <w:rtl w:val="true"/>
        </w:rPr>
        <w:t xml:space="preserve">: </w:t>
      </w:r>
      <w:r>
        <w:rPr>
          <w:rtl w:val="true"/>
        </w:rPr>
        <w:t>في نسخ الكتاب هذا</w:t>
      </w:r>
      <w:bookmarkEnd w:id="681"/>
    </w:p>
    <w:p>
      <w:pPr>
        <w:pStyle w:val="BookText"/>
        <w:rPr/>
      </w:pPr>
      <w:r>
        <w:rPr>
          <w:rFonts w:ascii="Amiri" w:hAnsi="Amiri" w:eastAsia="Amiri" w:cs="Amiri"/>
          <w:color w:val="111111"/>
          <w:sz w:val="28"/>
          <w:sz w:val="28"/>
          <w:szCs w:val="28"/>
          <w:rtl w:val="true"/>
          <w:lang w:bidi="ar-SA"/>
        </w:rPr>
        <w:t>وههنا جهات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التستري</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إنه لم يصل إلينا شيء من رجال الشيخ وفهرسته وفهرست النجاشي نسخة 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وصلت إلى ابن طاووس والعلامة وابن داود بل صرح الأخير في مواضع بكون الفهرست ورجال الشيخ عنده بخط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بعدهم فلا حتى زمن التفرشي والميرزا بدليل اختلافهم في النقل عنها ووو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والاطلاع على النسخ الخطية لرجال الشيخ وغيره يحتاج إلى متابعة الفهارس الخاصة بالمخطوطات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لرجال الشيخ كان أقدم مخطوطة يرجع تاريخها إلى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اعتمدت في تصحيح المطبوع أخيراً من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توفرت على كتاب الرجال مما يمكن عدّها نسخاً للكتاب هي على الإجمال الخلاصة والإيضاح ورجال ابن داود ومنهج المقال ونقد الرجال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بالالتفات إلى ما ذكرناه عن القاموس يكون ما اتفق عليه العلامة وابن داود هو الأصل والصحيح كما صرح به حتى لو كانت نسخنا خالية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لم يذكر في كلامهما ونقله المتأخرون كمنهج المقال والنقد عن الشيخ فلا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يدل دليل من الخارج على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لابد من إثبات أن النسخ المصححة وصلت إلى العلامة وابن داود ولم تصل إلى ما بعدهما ؟</w:t>
      </w:r>
    </w:p>
    <w:p>
      <w:pPr>
        <w:pStyle w:val="BookText"/>
        <w:rPr/>
      </w:pPr>
      <w:r>
        <w:rPr>
          <w:rFonts w:ascii="Amiri" w:hAnsi="Amiri" w:eastAsia="Amiri" w:cs="Amiri"/>
          <w:color w:val="111111"/>
          <w:sz w:val="28"/>
          <w:sz w:val="28"/>
          <w:szCs w:val="28"/>
          <w:rtl w:val="true"/>
          <w:lang w:bidi="ar-SA"/>
        </w:rPr>
        <w:t>أما ابن داود فقد صرح مراراً إن رجال الشيخ وفهرسته كانت عنده بخط الشيخ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العلامة فنحتاج إلى متابعة أكثر ليست وقتها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كان فيمكن إن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لمنهج المقال ونقد الرجال فصحيح إن طول المدة المفضية إلى نسخ الكتاب وما يرافق النسخ من الخطأ والوهم وتصرف النساخ يجعل احتمال الخطأ في النسخ الواصلة إليها اكبر من تلك الواصلة إلى ابن داود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يمنع وصول النسخ التي اعتمد عليها العلامة وابن داود بل وقبلها أيضاً كما في وصول النسخة المخطوطة المشار إليها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إن الفاصلة بين الخلاصة ورجال ابن داود وبيننا طويلة جداً مما يجعل نسخها في أنفسهما عرضة للخطأ وتصرف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وصلت إلينا بخطهما كان لما ذُكر مجالاً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إن المنهج فيما اختلفوا فيه هو حساب الاحتمالات وملاحظة القرائن حتى يحصل الوثوق بأحد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في النسخة المخطوطة والخلاصة ورجال ابن داود أكثر قيمة احتمالية لا أنها تقدم مطلقاً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النسخ بالزيادة والنقيصة لا تعني تصرف النساخ وإسقاطهم بل هذا احد الاحتمالات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الاحتمال الأخر وهو قوي في رجال الشيخ وفهرسته إن هذه الزيادات من إضافات الشيخ أو ابنه أو احد تلامذته بعد الانتهاء من تأليفهما وانتشار نسخهما إذ الإضافة على الكتب بعد الانتهاء من تأليفهما آمر متداول بين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المؤلفين كما هو المشاهد الآن عند إعادة طبعات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ذلك السيد الأستاذ دامت بركاته فراجع</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682" w:name="pg9067_79903"/>
    </w:p>
    <w:p>
      <w:pPr>
        <w:pStyle w:val="Heading3"/>
        <w:numPr>
          <w:ilvl w:val="2"/>
          <w:numId w:val="1"/>
        </w:numPr>
        <w:rPr/>
      </w:pPr>
      <w:bookmarkStart w:id="683" w:name="__RefHeading___Toc2465384_2870459653"/>
      <w:bookmarkStart w:id="684" w:name="_Toc264"/>
      <w:bookmarkEnd w:id="682"/>
      <w:bookmarkEnd w:id="683"/>
      <w:r>
        <w:rPr>
          <w:rtl w:val="true"/>
        </w:rPr>
        <w:t>الفصل السادس</w:t>
      </w:r>
      <w:r>
        <w:rPr>
          <w:rtl w:val="true"/>
        </w:rPr>
        <w:t xml:space="preserve">: </w:t>
      </w:r>
      <w:r>
        <w:rPr>
          <w:rtl w:val="true"/>
        </w:rPr>
        <w:t>في تأخر رجال الشيخ عن فهرسته وتقدمه على الاختيار</w:t>
      </w:r>
      <w:bookmarkEnd w:id="684"/>
    </w:p>
    <w:p>
      <w:pPr>
        <w:pStyle w:val="BookText"/>
        <w:rPr/>
      </w:pPr>
      <w:r>
        <w:rPr>
          <w:rFonts w:ascii="Amiri" w:hAnsi="Amiri" w:eastAsia="Amiri" w:cs="Amiri"/>
          <w:color w:val="111111"/>
          <w:sz w:val="28"/>
          <w:sz w:val="28"/>
          <w:szCs w:val="28"/>
          <w:rtl w:val="true"/>
          <w:lang w:bidi="ar-SA"/>
        </w:rPr>
        <w:t>أما بالنسبة لرجال الشيخ مع فهرسته فهنا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تزامنهما في التأليف بدليل الإرجاع في الرجال إلى الفهرست الكاشف عن تقدم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لكتاب</w:t>
      </w:r>
      <w:r>
        <w:rPr>
          <w:rStyle w:val="FootnoteAnchor"/>
          <w:rtl w:val="true"/>
        </w:rPr>
        <w:footnoteReference w:id="478"/>
      </w:r>
      <w:r>
        <w:rPr>
          <w:rFonts w:ascii="Amiri" w:hAnsi="Amiri" w:eastAsia="Amiri" w:cs="Amiri"/>
          <w:color w:val="111111"/>
          <w:sz w:val="28"/>
          <w:sz w:val="28"/>
          <w:szCs w:val="28"/>
          <w:rtl w:val="true"/>
          <w:lang w:bidi="ar-SA"/>
        </w:rPr>
        <w:t>الرجال في الفهرست المستدعي لتقدم الرجال ورفعاً للتناقض يصار إلى التزامن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احتمال أن ذلك الإرجاع وهذا الذكر هو من الإضافات اللاحقة عليهما إذ كما أشرنا إلى أن الإضافة على الكتب بعد الانتهاء من تأليفها أمر متداول بين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البناء على أي من هذين الاحتمالين إلا بمرجح مضافاً إلى ذلك ما سنذكره في الاتجاه الثاني من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الاحتمال لا يمكن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الرجال عن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اتجاهان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الرجال بالجملة أي بكل ما ورد فيه عن الفهرست واختاره كثيرون والدليل عليه الإرجاع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الاحتمال الأول من أنه ذكر كتاب الرجال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رامه إلا بإثبات إن هذا الذكر من الإضافات اللاحقة على الفهرست وسيأتي في الاتجاه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هذه الإرجاعات مما أضافه الشيخ لاحقاً كما في خاتمة مشيخة التهذيب إلى الفهرست مع أن من المقطوع به أن الفهرست متأخر عن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الرجال في الجملة عن الفهرست واختاره السيد الأستاذ دامت بركاته</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فههنا دعويان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في الجملة لا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أصل التأخر فلما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زرارة بن أعين في الفهرست</w:t>
      </w:r>
      <w:r>
        <w:rPr>
          <w:rStyle w:val="FootnoteAnchor"/>
          <w:rtl w:val="true"/>
        </w:rPr>
        <w:footnoteReference w:id="480"/>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ولهم أيضاً روايات عن علي بن الحسين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فذكرهم في كتاب الرجال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العبارة واضحة الدلالة على انه لم يكن قد ألف كتاب الرجال آنذاك وإنما كان من قصده تأليفه لاحقاً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كما تحتمل ما ذكر تحتمل أيضاً أن كتاب الرجال موجود ولكن الفعل المضارع وان شاء الله أنما لذكرهم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بملاحظة تجميع القرائن يحصل الوثوق إن الرجال في الجملة متقدم وهي بالإضافة إلى ما ذكر من أصل الإرجاع وما في ترجمة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الإرجاع في الرجال إلى الفهرست إذ بلغت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وقد ذكر الإرجاع بالفعل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الجملة فلأن الإضافة على الكتب بعد الانتهاء من تأليفها أمر متداول بين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للشيخ في كتبه كما بين ذلك السيد الأستاذ دامت بركاته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ما الفائدة المرجوة من تحقيق أيهما المتأخر؟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انه عند تعارض المتقدم والمتأخر يقدم المتأخر أو يصار إلى التساقط على </w:t>
      </w:r>
    </w:p>
    <w:p>
      <w:pPr>
        <w:pStyle w:val="BookText"/>
        <w:rPr/>
      </w:pPr>
      <w:r>
        <w:rPr>
          <w:rFonts w:ascii="Amiri" w:hAnsi="Amiri" w:eastAsia="Amiri" w:cs="Amiri"/>
          <w:color w:val="111111"/>
          <w:sz w:val="28"/>
          <w:sz w:val="28"/>
          <w:szCs w:val="28"/>
          <w:rtl w:val="true"/>
          <w:lang w:bidi="ar-SA"/>
        </w:rPr>
        <w:t>المبنى في حجية قول الرجالي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بنينا على إن حجية قول الرجالي من باب حجية رأي أهل الخبرة نظير الفتوى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الالتزام بتقديم المتأخر ولا عبرة بالمتقدم ولا يحكم بتساقطهما والرجوع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بنينا على أنه حجة من باب حجية خبر الثقة في الموضوعات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الوثوق باشتباهه في خبره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لابد من تقديم المتأخر بعد سقوط المتقدم عن الحجية للوثوق بأخطائه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هكذا 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يقع التعارض بين المتأخر والمتقدم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 الزماني يصلح إن يكون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مراجعة سيرة العقلاء التي هي الملاك في حجية خبر الثقة لا تعتبر التأخر الزماني مرجحاً بل تتحير فيهما وتراهما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بنينا على انه حجة من باب حصول الوثوق والاطمئنان فلا يكفي التأخر الزماني بل المدار هو الوثوق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لرجال الشيخ مع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فهرسته</w:t>
      </w:r>
      <w:r>
        <w:rPr>
          <w:rStyle w:val="FootnoteAnchor"/>
          <w:rtl w:val="true"/>
        </w:rPr>
        <w:footnoteReference w:id="482"/>
      </w:r>
      <w:r>
        <w:rPr>
          <w:rFonts w:ascii="Amiri" w:hAnsi="Amiri" w:eastAsia="Amiri" w:cs="Amiri"/>
          <w:color w:val="111111"/>
          <w:sz w:val="28"/>
          <w:sz w:val="28"/>
          <w:szCs w:val="28"/>
          <w:rtl w:val="true"/>
          <w:lang w:bidi="ar-SA"/>
        </w:rPr>
        <w:t>ذكر الاختيار في عداد كتبه عند ترجمته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يستدعي تقدمه على الفهرست فالرجال أو المزامنة في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الواضح إن هذا من الإضافات اللاحقة للكتاب بشهادة أمور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ذكرنا عنه في خطبة اختياره </w:t>
      </w:r>
    </w:p>
    <w:p>
      <w:pPr>
        <w:pStyle w:val="BookText"/>
        <w:rPr/>
      </w:pPr>
      <w:r>
        <w:rPr>
          <w:rFonts w:ascii="Amiri" w:hAnsi="Amiri" w:eastAsia="Amiri" w:cs="Amiri"/>
          <w:color w:val="111111"/>
          <w:sz w:val="28"/>
          <w:sz w:val="28"/>
          <w:szCs w:val="28"/>
          <w:rtl w:val="true"/>
          <w:lang w:bidi="ar-SA"/>
        </w:rPr>
        <w:t>لكتاب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الشيخ الجليل الموفق أبو جعفر محمد بن الحسن بن علي الطوسي وكان ابتداء إملائه يوم الثلاثاء السادس والعشرين من صفر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الشريف الغروي على ساكنه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الإخبار اختصرتها من كتاب الرجال لأبي عمرو محمد بن عبد العزيز واخترت ما فيها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التاريخ يقرب من تاريخ وفاة الشيخ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تأليفه للاختيار في أخريات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تاريخ إملاء الكتاب على تلامذته لا تاريخ تصنيفه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إن ما اختاره في هذا الإملاء يمثل تصنيفه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Style w:val="FootnoteAnchor"/>
          <w:rtl w:val="true"/>
        </w:rPr>
        <w:footnoteReference w:id="484"/>
      </w:r>
      <w:r>
        <w:rPr>
          <w:rFonts w:ascii="Amiri" w:hAnsi="Amiri" w:eastAsia="Amiri" w:cs="Amiri"/>
          <w:color w:val="111111"/>
          <w:sz w:val="28"/>
          <w:sz w:val="28"/>
          <w:szCs w:val="28"/>
          <w:rtl w:val="true"/>
          <w:lang w:bidi="ar-SA"/>
        </w:rPr>
        <w:t>عند ترجمته للشيخ لم يذكره في عداد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النجاشي لم يكن في مقام استقصاء كتبه بل ذكر بعضها كما هو صريح عبارته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اختيار الشيخ من أصل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انه حذف الطبقات وأسامي الكتب والمصنفات مما يفيد الظن الغالب أنه اعتمد في ذلك على الرجال والفهرست واقتصر في الاختيار على الجرح والتعديل</w:t>
      </w:r>
      <w:r>
        <w:rPr>
          <w:rFonts w:eastAsia="Amiri" w:cs="Amiri" w:ascii="Amiri" w:hAnsi="Amiri"/>
          <w:color w:val="111111"/>
          <w:sz w:val="28"/>
          <w:szCs w:val="28"/>
          <w:rtl w:val="true"/>
          <w:lang w:bidi="ar-SA"/>
        </w:rPr>
        <w:t xml:space="preserve">. </w:t>
      </w:r>
      <w:bookmarkStart w:id="685" w:name="pg9067_79908"/>
    </w:p>
    <w:p>
      <w:pPr>
        <w:pStyle w:val="Heading3"/>
        <w:numPr>
          <w:ilvl w:val="2"/>
          <w:numId w:val="1"/>
        </w:numPr>
        <w:rPr/>
      </w:pPr>
      <w:bookmarkStart w:id="686" w:name="__RefHeading___Toc2465386_2870459653"/>
      <w:bookmarkStart w:id="687" w:name="_Toc265"/>
      <w:bookmarkEnd w:id="685"/>
      <w:bookmarkEnd w:id="686"/>
      <w:r>
        <w:rPr>
          <w:rtl w:val="true"/>
        </w:rPr>
        <w:t>خاتمة</w:t>
      </w:r>
      <w:bookmarkEnd w:id="687"/>
    </w:p>
    <w:p>
      <w:pPr>
        <w:pStyle w:val="BookText"/>
        <w:rPr/>
      </w:pPr>
      <w:r>
        <w:rPr>
          <w:rFonts w:ascii="Amiri" w:hAnsi="Amiri" w:eastAsia="Amiri" w:cs="Amiri"/>
          <w:color w:val="111111"/>
          <w:sz w:val="28"/>
          <w:sz w:val="28"/>
          <w:szCs w:val="28"/>
          <w:rtl w:val="true"/>
          <w:lang w:bidi="ar-SA"/>
        </w:rPr>
        <w:t>يقيّم الكتاب من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 من حيث اختصاصه ورتبته في ذاك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 من حيث مشايخه وأفكاره ورؤاها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مصادره من حيث النوع والكم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موسوعيته وشموليته إلا أنه يحسب على الفقهاء والمتكلمين ويمثل هذا أحد مبررات عدم التزامه بالأساليب المنهجية والفنية في الحديث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البعض قدم النجاشي عليه عند المعارضة لمكان تخصصه – أي النجاشي – بالأنساب وتمحضه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اختصاص النجاشي ببعض الرجاليين كابن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ولمكان اعتماد الشيخ على فهرست ابن النديم ورجال الكشي أكثر من النجاشي ووو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هنا محل هذا البحث إذ انه يحتاج إلى تتبع واستقصاء وإنما مقصودنا الإشارة إلى هذه الجهة وما يترتب عليها من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كل الحمد لله رب العالمين</w:t>
      </w:r>
    </w:p>
    <w:p>
      <w:pPr>
        <w:pStyle w:val="BookText"/>
        <w:rPr/>
      </w:pPr>
      <w:r>
        <w:rPr>
          <w:rFonts w:ascii="Amiri" w:hAnsi="Amiri" w:eastAsia="Amiri" w:cs="Amiri"/>
          <w:color w:val="111111"/>
          <w:sz w:val="28"/>
          <w:sz w:val="28"/>
          <w:szCs w:val="28"/>
          <w:rtl w:val="true"/>
          <w:lang w:bidi="ar-SA"/>
        </w:rPr>
        <w:t>وصلى الله على خير الخلق المصطفى وآله الطاهرين</w:t>
      </w:r>
    </w:p>
    <w:p>
      <w:pPr>
        <w:pStyle w:val="BookText"/>
        <w:rPr/>
      </w:pPr>
      <w:r>
        <w:rPr>
          <w:rFonts w:ascii="Amiri" w:hAnsi="Amiri" w:eastAsia="Amiri" w:cs="Amiri"/>
          <w:color w:val="111111"/>
          <w:sz w:val="28"/>
          <w:sz w:val="28"/>
          <w:szCs w:val="28"/>
          <w:rtl w:val="true"/>
          <w:lang w:bidi="ar-SA"/>
        </w:rPr>
        <w:t xml:space="preserve">تم الفراغ من تسويده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الذكرى الأليمة لتهديم قبور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688" w:name="pg9067_79910"/>
    </w:p>
    <w:p>
      <w:pPr>
        <w:pStyle w:val="Heading3"/>
        <w:numPr>
          <w:ilvl w:val="2"/>
          <w:numId w:val="1"/>
        </w:numPr>
        <w:rPr/>
      </w:pPr>
      <w:bookmarkStart w:id="689" w:name="__RefHeading___Toc2465388_2870459653"/>
      <w:bookmarkStart w:id="690" w:name="_Toc266"/>
      <w:bookmarkEnd w:id="688"/>
      <w:bookmarkEnd w:id="689"/>
      <w:r>
        <w:rPr>
          <w:rtl w:val="true"/>
        </w:rPr>
        <w:t>أهم المصادر</w:t>
      </w:r>
      <w:bookmarkEnd w:id="6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اكليل المنهج في تحقيق المطلب للشيخ محمد جعفر الخراساني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جعفر الحسيني الأشكوري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الرجال للشيخ عبد 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أفسيت مطبعة 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للشيخ عبدالله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جواد 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جواد قيومي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السيد موسى الشبيري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الاسلامي التابعة لجماعة المدرسين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في شرح الاحاديث الامامية للعلامة المير محمد باقر الحسينى المرعشي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المقال لابي الهدى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الحسيني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ولي العصر للدراسات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مناسك الحج للسيد محمد رضا السيستاني دامت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الرجال للسيد محسن الحسيني الاعرجي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الهداية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في النجف الأشرف تحقيق 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تحقيق الشيخ جواد قيومي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للمحقق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الاسلامي التابعة لجماعة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في علم الرجال للشيخ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الاسلامي التابعة لجماعة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تراثنا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للقهبائي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السيد ضياء الدين الشهير بالعلامة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اصفهان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وسائل الشيعة للشيخ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الخامسة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ترتيب أسانيد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محمود درياب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ترتيب أسانيد كتاب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محمود درياب النجفي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المقال لمحمد بن اسماعيل الحائري المازندراني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الرجالي للسيد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محمد رضا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 للميرزا محمد بن علي الاستربادي تحقيق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للسيد حسن الصدر تحقيق ماجد الغرباوي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الانجاب الصناعية للسيد محمد رضا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691" w:name="pg9067_79916"/>
    </w:p>
    <w:p>
      <w:pPr>
        <w:pStyle w:val="Heading2"/>
        <w:numPr>
          <w:ilvl w:val="1"/>
          <w:numId w:val="1"/>
        </w:numPr>
        <w:rPr/>
      </w:pPr>
      <w:bookmarkStart w:id="692" w:name="__RefHeading___Toc2465390_2870459653"/>
      <w:bookmarkStart w:id="693" w:name="_Toc267"/>
      <w:bookmarkEnd w:id="691"/>
      <w:bookmarkEnd w:id="692"/>
      <w:r>
        <w:rPr>
          <w:rtl w:val="true"/>
        </w:rPr>
        <w:t xml:space="preserve">قطعة من رسالة الشرائع للفقیه الأقدم علی بن بابویة القمی </w:t>
      </w:r>
      <w:r>
        <w:rPr>
          <w:rtl w:val="true"/>
        </w:rPr>
        <w:t>(</w:t>
      </w:r>
      <w:r>
        <w:rPr>
          <w:rtl w:val="true"/>
        </w:rPr>
        <w:t>قدس سره</w:t>
      </w:r>
      <w:r>
        <w:rPr>
          <w:rtl w:val="true"/>
        </w:rPr>
        <w:t xml:space="preserve">) - </w:t>
      </w:r>
      <w:r>
        <w:rPr>
          <w:rtl w:val="true"/>
        </w:rPr>
        <w:t>الشيخ كريم مسير و الشيخ شاكر المحمدي</w:t>
      </w:r>
      <w:bookmarkEnd w:id="693"/>
    </w:p>
    <w:p>
      <w:pPr>
        <w:pStyle w:val="Heading3"/>
        <w:numPr>
          <w:ilvl w:val="2"/>
          <w:numId w:val="1"/>
        </w:numPr>
        <w:rPr/>
      </w:pPr>
      <w:bookmarkStart w:id="694" w:name="__RefHeading___Toc2465392_2870459653"/>
      <w:bookmarkStart w:id="695" w:name="_Toc268"/>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للفقیه الأقدم الشیخ علی بن الحسین بن موسی بن بابویظ القمی</w:t>
      </w:r>
    </w:p>
    <w:p>
      <w:pPr>
        <w:pStyle w:val="BookText"/>
        <w:rPr/>
      </w:pPr>
      <w:r>
        <w:rPr>
          <w:rFonts w:ascii="IRNazanin" w:hAnsi="IRNazanin" w:eastAsia="IRNazanin"/>
          <w:color w:val="111111"/>
          <w:sz w:val="28"/>
          <w:sz w:val="28"/>
          <w:szCs w:val="28"/>
          <w:rtl w:val="true"/>
          <w:lang w:bidi="fa-IR"/>
        </w:rPr>
        <w:t xml:space="preserve">رضوان الله علیه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إلی ولده الشیخ الصدوق رحمة الله</w:t>
      </w:r>
    </w:p>
    <w:p>
      <w:pPr>
        <w:pStyle w:val="BookText"/>
        <w:rPr/>
      </w:pPr>
      <w:r>
        <w:rPr>
          <w:rFonts w:ascii="Amiri" w:hAnsi="Amiri" w:eastAsia="Amiri" w:cs="Amiri"/>
          <w:color w:val="111111"/>
          <w:sz w:val="28"/>
          <w:sz w:val="28"/>
          <w:szCs w:val="28"/>
          <w:rtl w:val="true"/>
          <w:lang w:bidi="ar-SA"/>
        </w:rPr>
        <w:t>و تمثل أقدم نصٍّ فقهي معتبر للإمامية الإثني عشرية</w:t>
      </w:r>
    </w:p>
    <w:p>
      <w:pPr>
        <w:pStyle w:val="BookText"/>
        <w:rPr/>
      </w:pPr>
      <w:r>
        <w:rPr>
          <w:rFonts w:ascii="IRNazanin" w:hAnsi="IRNazanin" w:eastAsia="IRNazanin"/>
          <w:color w:val="111111"/>
          <w:sz w:val="28"/>
          <w:sz w:val="28"/>
          <w:szCs w:val="28"/>
          <w:rtl w:val="true"/>
          <w:lang w:bidi="fa-IR"/>
        </w:rPr>
        <w:t>بقی إلی هذا العصر</w:t>
      </w:r>
    </w:p>
    <w:p>
      <w:pPr>
        <w:pStyle w:val="BookText"/>
        <w:rPr/>
      </w:pPr>
      <w:r>
        <w:rPr>
          <w:rFonts w:ascii="Amiri" w:hAnsi="Amiri" w:eastAsia="Amiri" w:cs="Amiri"/>
          <w:color w:val="111111"/>
          <w:sz w:val="28"/>
          <w:sz w:val="28"/>
          <w:szCs w:val="28"/>
          <w:rtl w:val="true"/>
          <w:lang w:bidi="ar-SA"/>
        </w:rPr>
        <w:t>تحقيق</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كريم 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شاكر المحمدي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9067_79920"/>
      <w:bookmarkStart w:id="697" w:name="pg9067_79920"/>
      <w:bookmarkEnd w:id="697"/>
    </w:p>
    <w:p>
      <w:pPr>
        <w:pStyle w:val="BookText"/>
        <w:rPr/>
      </w:pPr>
      <w:bookmarkStart w:id="698" w:name="pg9067_79920"/>
      <w:bookmarkEnd w:id="698"/>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699" w:name="__RefHeading___Toc2465394_2870459653"/>
      <w:bookmarkStart w:id="700" w:name="_Toc269"/>
      <w:bookmarkEnd w:id="699"/>
      <w:r>
        <w:rPr>
          <w:rtl w:val="true"/>
        </w:rPr>
        <w:t>مقدمة التحقيق</w:t>
      </w:r>
      <w:bookmarkEnd w:id="700"/>
    </w:p>
    <w:p>
      <w:pPr>
        <w:pStyle w:val="Heading4"/>
        <w:numPr>
          <w:ilvl w:val="3"/>
          <w:numId w:val="1"/>
        </w:numPr>
        <w:rPr/>
      </w:pPr>
      <w:bookmarkStart w:id="701" w:name="__RefHeading___Toc2465396_2870459653"/>
      <w:bookmarkStart w:id="702" w:name="_Toc270"/>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الحمد الله ربّ العالمين والصلاة والسلام على خير خلقه محمد وآله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ستتعرَّف أخي القارئ الكريم في ما يأتي إليك من شرح مفصَّل – في هذه المقدّمة – على مطالب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جمعناها تحت أبواب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عن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بالتحقيق</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2465398_2870459653"/>
      <w:bookmarkStart w:id="704" w:name="_Toc271"/>
      <w:bookmarkEnd w:id="703"/>
      <w:r>
        <w:rPr>
          <w:rtl w:val="true"/>
        </w:rPr>
        <w:t>الباب الأول</w:t>
      </w:r>
      <w:r>
        <w:rPr>
          <w:rtl w:val="true"/>
        </w:rPr>
        <w:t xml:space="preserve">: </w:t>
      </w:r>
      <w:r>
        <w:rPr>
          <w:rtl w:val="true"/>
        </w:rPr>
        <w:t xml:space="preserve">سيرة المصنِّف </w:t>
      </w:r>
      <w:r>
        <w:rPr>
          <w:rtl w:val="true"/>
        </w:rPr>
        <w:t>(</w:t>
      </w:r>
      <w:r>
        <w:rPr>
          <w:rtl w:val="true"/>
        </w:rPr>
        <w:t>رحمة الله</w:t>
      </w:r>
      <w:r>
        <w:rPr>
          <w:rtl w:val="true"/>
        </w:rPr>
        <w:t>)</w:t>
      </w:r>
      <w:bookmarkEnd w:id="704"/>
    </w:p>
    <w:p>
      <w:pPr>
        <w:pStyle w:val="Heading5"/>
        <w:numPr>
          <w:ilvl w:val="4"/>
          <w:numId w:val="1"/>
        </w:numPr>
        <w:rPr/>
      </w:pPr>
      <w:bookmarkStart w:id="705" w:name="__RefHeading___Toc2465400_2870459653"/>
      <w:bookmarkStart w:id="706" w:name="_Toc272"/>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وفيه مطلبان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العلميّة</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2465402_2870459653"/>
      <w:bookmarkStart w:id="708" w:name="_Toc273"/>
      <w:bookmarkEnd w:id="707"/>
      <w:r>
        <w:rPr>
          <w:rtl w:val="true"/>
        </w:rPr>
        <w:t>المطلب الأوّل</w:t>
      </w:r>
      <w:r>
        <w:rPr>
          <w:rtl w:val="true"/>
        </w:rPr>
        <w:t xml:space="preserve">: </w:t>
      </w:r>
      <w:r>
        <w:rPr>
          <w:rtl w:val="true"/>
        </w:rPr>
        <w:t>سيرته الشخصيّة</w:t>
      </w:r>
      <w:bookmarkEnd w:id="708"/>
    </w:p>
    <w:p>
      <w:pPr>
        <w:pStyle w:val="Heading6"/>
        <w:numPr>
          <w:ilvl w:val="5"/>
          <w:numId w:val="1"/>
        </w:numPr>
        <w:rPr/>
      </w:pPr>
      <w:bookmarkStart w:id="709" w:name="__RefHeading___Toc2465404_2870459653"/>
      <w:bookmarkStart w:id="710" w:name="_Toc274"/>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ويتضمَّن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وكنيته وولادته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وأولاده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 ومعاصروه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bookmarkStart w:id="711" w:name="pg9067_79922"/>
    </w:p>
    <w:p>
      <w:pPr>
        <w:pStyle w:val="Heading6"/>
        <w:numPr>
          <w:ilvl w:val="5"/>
          <w:numId w:val="1"/>
        </w:numPr>
        <w:rPr/>
      </w:pPr>
      <w:bookmarkStart w:id="712" w:name="__RefHeading___Toc2465406_2870459653"/>
      <w:bookmarkStart w:id="713" w:name="_Toc275"/>
      <w:bookmarkEnd w:id="711"/>
      <w:bookmarkEnd w:id="712"/>
      <w:r>
        <w:rPr>
          <w:rtl w:val="true"/>
        </w:rPr>
        <w:t>أوّلاً</w:t>
      </w:r>
      <w:r>
        <w:rPr>
          <w:rtl w:val="true"/>
        </w:rPr>
        <w:t xml:space="preserve">: </w:t>
      </w:r>
      <w:r>
        <w:rPr>
          <w:rtl w:val="true"/>
        </w:rPr>
        <w:t>نسبه وكنيته وولادته</w:t>
      </w:r>
      <w:bookmarkEnd w:id="713"/>
    </w:p>
    <w:p>
      <w:pPr>
        <w:pStyle w:val="Heading6"/>
        <w:numPr>
          <w:ilvl w:val="5"/>
          <w:numId w:val="1"/>
        </w:numPr>
        <w:rPr/>
      </w:pPr>
      <w:bookmarkStart w:id="714" w:name="__RefHeading___Toc2465408_2870459653"/>
      <w:bookmarkStart w:id="715" w:name="_Toc276"/>
      <w:bookmarkEnd w:id="714"/>
      <w:r>
        <w:rPr>
          <w:rtl w:val="true"/>
        </w:rPr>
        <w:t>نسبه وكنيته</w:t>
      </w:r>
      <w:bookmarkEnd w:id="715"/>
    </w:p>
    <w:p>
      <w:pPr>
        <w:pStyle w:val="BookText"/>
        <w:rPr/>
      </w:pPr>
      <w:r>
        <w:rPr>
          <w:rFonts w:ascii="Amiri" w:hAnsi="Amiri" w:eastAsia="Amiri" w:cs="Amiri"/>
          <w:color w:val="111111"/>
          <w:sz w:val="28"/>
          <w:sz w:val="28"/>
          <w:szCs w:val="28"/>
          <w:rtl w:val="true"/>
          <w:lang w:bidi="ar-SA"/>
        </w:rPr>
        <w:t>هو عليّ بن الحسين بن موسى بن بابويه</w:t>
      </w:r>
      <w:r>
        <w:rPr>
          <w:rStyle w:val="FootnoteAnchor"/>
          <w:rtl w:val="true"/>
        </w:rPr>
        <w:footnoteReference w:id="485"/>
      </w:r>
      <w:r>
        <w:rPr>
          <w:rFonts w:ascii="Amiri" w:hAnsi="Amiri" w:eastAsia="Amiri" w:cs="Amiri"/>
          <w:color w:val="111111"/>
          <w:sz w:val="28"/>
          <w:sz w:val="28"/>
          <w:szCs w:val="28"/>
          <w:rtl w:val="true"/>
          <w:lang w:bidi="ar-SA"/>
        </w:rPr>
        <w:t>، ويكنّى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ويطلق عليه في كتب الحديث والرجال كلّ من العناوين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بابويه</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ابن بابويه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يعبّر عنه مع ولده الشيخ الصدوق معاً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بابويه</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الصدوقين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وأطلق عليه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الصدوق بن بابويه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المحقّق الداماد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6" w:name="__RefHeading___Toc2465410_2870459653"/>
      <w:bookmarkStart w:id="717" w:name="_Toc277"/>
      <w:bookmarkEnd w:id="716"/>
      <w:r>
        <w:rPr>
          <w:rtl w:val="true"/>
        </w:rPr>
        <w:t>ولادته</w:t>
      </w:r>
      <w:bookmarkEnd w:id="717"/>
    </w:p>
    <w:p>
      <w:pPr>
        <w:pStyle w:val="BookText"/>
        <w:rPr/>
      </w:pPr>
      <w:r>
        <w:rPr>
          <w:rFonts w:ascii="IRNazanin" w:hAnsi="IRNazanin" w:eastAsia="IRNazanin"/>
          <w:color w:val="111111"/>
          <w:sz w:val="28"/>
          <w:sz w:val="28"/>
          <w:szCs w:val="28"/>
          <w:rtl w:val="true"/>
          <w:lang w:bidi="fa-IR"/>
        </w:rPr>
        <w:t>اختلفت أنظار الأعلام فی تحدید سنة معینة لولادته، و من تتبع المصادر المتوفرة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القدیمظ منها والمتأخرة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عنیت بترجمته وجد أنها علی نحوین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لم تحدد تأریخاً معیناً لولادته، إما أنها ترکت التعرض لها بالأساس </w:t>
      </w:r>
      <w:r>
        <w:rPr>
          <w:rStyle w:val="FootnoteAnchor"/>
          <w:rtl w:val="true"/>
        </w:rPr>
        <w:footnoteReference w:id="494"/>
      </w:r>
      <w:r>
        <w:rPr>
          <w:rFonts w:ascii="IRNazanin" w:hAnsi="IRNazanin" w:eastAsia="IRNazanin"/>
          <w:color w:val="111111"/>
          <w:sz w:val="28"/>
          <w:sz w:val="28"/>
          <w:szCs w:val="28"/>
          <w:rtl w:val="true"/>
          <w:lang w:bidi="fa-IR"/>
        </w:rPr>
        <w:t xml:space="preserve">، </w:t>
      </w:r>
      <w:bookmarkStart w:id="718" w:name="pg9067_79923"/>
    </w:p>
    <w:p>
      <w:pPr>
        <w:pStyle w:val="BookText"/>
        <w:rPr/>
      </w:pPr>
      <w:bookmarkEnd w:id="718"/>
      <w:r>
        <w:rPr>
          <w:rFonts w:ascii="IRNazanin" w:hAnsi="IRNazanin" w:eastAsia="IRNazanin"/>
          <w:color w:val="111111"/>
          <w:sz w:val="28"/>
          <w:sz w:val="28"/>
          <w:szCs w:val="28"/>
          <w:rtl w:val="true"/>
          <w:lang w:bidi="fa-IR"/>
        </w:rPr>
        <w:t>أو أنها تعرضت لها من دون أن تحددها بالضبط</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أنها حدّدت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التزاماً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معینة لولادته،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سنة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9" w:name="__RefHeading___Toc2465412_2870459653"/>
      <w:bookmarkStart w:id="720" w:name="_Toc278"/>
      <w:bookmarkEnd w:id="719"/>
      <w:r>
        <w:rPr>
          <w:rtl w:val="true"/>
        </w:rPr>
        <w:t>ثانياً</w:t>
      </w:r>
      <w:r>
        <w:rPr>
          <w:rtl w:val="true"/>
        </w:rPr>
        <w:t xml:space="preserve">: </w:t>
      </w:r>
      <w:r>
        <w:rPr>
          <w:rtl w:val="true"/>
        </w:rPr>
        <w:t>أسرته وأولاده</w:t>
      </w:r>
      <w:bookmarkEnd w:id="720"/>
    </w:p>
    <w:p>
      <w:pPr>
        <w:pStyle w:val="Heading6"/>
        <w:numPr>
          <w:ilvl w:val="5"/>
          <w:numId w:val="1"/>
        </w:numPr>
        <w:rPr/>
      </w:pPr>
      <w:bookmarkStart w:id="721" w:name="__RefHeading___Toc2465414_2870459653"/>
      <w:bookmarkStart w:id="722" w:name="_Toc279"/>
      <w:bookmarkEnd w:id="721"/>
      <w:r>
        <w:rPr>
          <w:rtl w:val="true"/>
        </w:rPr>
        <w:t>أسرته</w:t>
      </w:r>
      <w:bookmarkEnd w:id="722"/>
    </w:p>
    <w:p>
      <w:pPr>
        <w:pStyle w:val="BookText"/>
        <w:rPr/>
      </w:pPr>
      <w:r>
        <w:rPr>
          <w:rFonts w:ascii="Amiri" w:hAnsi="Amiri" w:eastAsia="Amiri" w:cs="Amiri"/>
          <w:color w:val="111111"/>
          <w:sz w:val="28"/>
          <w:sz w:val="28"/>
          <w:szCs w:val="28"/>
          <w:rtl w:val="true"/>
          <w:lang w:bidi="ar-SA"/>
        </w:rPr>
        <w:t xml:space="preserve">تُعدّ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الأسر العلميّة الشهيرة التي لها مقام اجتماعيّ كبير في مدينة قم المقدّسة، فضلاً عن تخصّص ذويها بالفقه والحديث، ووجود كثير من العلماء في الأسرة الواحدة هو ما دعا بعض العلماء المتتبّعين</w:t>
      </w:r>
      <w:r>
        <w:rPr>
          <w:rStyle w:val="FootnoteAnchor"/>
          <w:rtl w:val="true"/>
        </w:rPr>
        <w:footnoteReference w:id="498"/>
      </w:r>
      <w:r>
        <w:rPr>
          <w:rFonts w:ascii="Amiri" w:hAnsi="Amiri" w:eastAsia="Amiri" w:cs="Amiri"/>
          <w:color w:val="111111"/>
          <w:sz w:val="28"/>
          <w:sz w:val="28"/>
          <w:szCs w:val="28"/>
          <w:rtl w:val="true"/>
          <w:lang w:bidi="ar-SA"/>
        </w:rPr>
        <w:t>إلى جمع أسمائهم وتعدادهم وذكر أحوالهم في رسالة مستقلّة خاصّة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هذه الأسرة من كبار البيوت العلميّة في تلك المدينة، كما أنَّ أولاد بابويه كثيرون جدّاً، كثيرٌ منهم علماء أجلاّء</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آباء الشيخ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أنَّ بابويه هو جدّ الأسرة الأعلى، وبين موسى – جدّ الشيخ – وبين بابويه أسامٍ كثيرة، وأمّا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 بأنّه من ثقات الرواة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723" w:name="pg9067_79925"/>
    </w:p>
    <w:p>
      <w:pPr>
        <w:pStyle w:val="BookText"/>
        <w:rPr/>
      </w:pPr>
      <w:bookmarkEnd w:id="723"/>
      <w:r>
        <w:rPr>
          <w:rFonts w:ascii="Amiri" w:hAnsi="Amiri" w:eastAsia="Amiri" w:cs="Amiri"/>
          <w:color w:val="111111"/>
          <w:sz w:val="28"/>
          <w:sz w:val="28"/>
          <w:szCs w:val="28"/>
          <w:rtl w:val="true"/>
          <w:lang w:bidi="ar-SA"/>
        </w:rPr>
        <w:t xml:space="preserve">وأمّا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وُصف بأنّه من المشايخ الكبار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4" w:name="__RefHeading___Toc2465416_2870459653"/>
      <w:bookmarkStart w:id="725" w:name="_Toc280"/>
      <w:bookmarkEnd w:id="724"/>
      <w:r>
        <w:rPr>
          <w:rtl w:val="true"/>
        </w:rPr>
        <w:t>أولاده</w:t>
      </w:r>
      <w:bookmarkEnd w:id="725"/>
    </w:p>
    <w:p>
      <w:pPr>
        <w:pStyle w:val="BookText"/>
        <w:rPr/>
      </w:pPr>
      <w:r>
        <w:rPr>
          <w:rFonts w:ascii="IRNazanin" w:hAnsi="IRNazanin" w:eastAsia="IRNazanin"/>
          <w:color w:val="111111"/>
          <w:sz w:val="28"/>
          <w:sz w:val="28"/>
          <w:szCs w:val="28"/>
          <w:rtl w:val="true"/>
          <w:lang w:bidi="fa-IR"/>
        </w:rPr>
        <w:t xml:space="preserve">ذكرت المصادر المتعدّدة أنّهم ثلاثة أولاد – يأتي ذكرهم –، كما ذكرت أنَّ ولادتهم – على ما يظﻫر من تلك المصادر – تمّت ببركة دعاء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 إذْ لم يكن للشيخ المترجَم له أولادٌ في ذلك الوقت، وكان قد قدم العراق، واجتمع مع أبي القاسم الحسين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مسائل، ثمَّ كاتبه بعد ذلك على يد عليّ بن جعفر بن الأسود، يطلب بمكاتبته أنْ يوصل له رقعة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فيها الولد، فكتب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لك بذلك، وسترزق ولدين خيّرين</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وأمّا أولاده الثلاثة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حلقة الوصل بين عدد كبير من المشايخ الذين لقيهم وحمل عنهم، وبين العدد الكبير من الرواة الذين أخذوا عنه العلم والحديث</w:t>
      </w:r>
      <w:r>
        <w:rPr>
          <w:rStyle w:val="FootnoteAnchor"/>
          <w:rtl w:val="true"/>
        </w:rPr>
        <w:footnoteReference w:id="5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وهو الأوسط، مشتغل بالعبادة والزهد، ولا يخالط الناس، ولا فقه له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الحسين،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عبد الله القمّيّ</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أصغر أولاد الشيخ </w:t>
      </w:r>
      <w:bookmarkStart w:id="726" w:name="pg9067_79927"/>
    </w:p>
    <w:p>
      <w:pPr>
        <w:pStyle w:val="BookText"/>
        <w:rPr/>
      </w:pPr>
      <w:bookmarkEnd w:id="726"/>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الأوّل والثالث بأنّهما فقيهان ماهران في الحفظ، ومن دعائم العلم والدين</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2465418_2870459653"/>
      <w:bookmarkStart w:id="728" w:name="_Toc281"/>
      <w:bookmarkEnd w:id="727"/>
      <w:r>
        <w:rPr>
          <w:rtl w:val="true"/>
        </w:rPr>
        <w:t>ثالثاً</w:t>
      </w:r>
      <w:r>
        <w:rPr>
          <w:rtl w:val="true"/>
        </w:rPr>
        <w:t xml:space="preserve">: </w:t>
      </w:r>
      <w:r>
        <w:rPr>
          <w:rtl w:val="true"/>
        </w:rPr>
        <w:t>عصره ومعاصروه</w:t>
      </w:r>
      <w:bookmarkEnd w:id="728"/>
    </w:p>
    <w:p>
      <w:pPr>
        <w:pStyle w:val="Heading6"/>
        <w:numPr>
          <w:ilvl w:val="5"/>
          <w:numId w:val="1"/>
        </w:numPr>
        <w:rPr/>
      </w:pPr>
      <w:bookmarkStart w:id="729" w:name="__RefHeading___Toc2465420_2870459653"/>
      <w:bookmarkStart w:id="730" w:name="_Toc282"/>
      <w:bookmarkEnd w:id="729"/>
      <w:r>
        <w:rPr>
          <w:rtl w:val="true"/>
        </w:rPr>
        <w:t>عصره</w:t>
      </w:r>
      <w:bookmarkEnd w:id="730"/>
    </w:p>
    <w:p>
      <w:pPr>
        <w:pStyle w:val="BookText"/>
        <w:rPr/>
      </w:pPr>
      <w:r>
        <w:rPr>
          <w:rFonts w:ascii="IRNazanin" w:hAnsi="IRNazanin" w:eastAsia="IRNazanin"/>
          <w:color w:val="111111"/>
          <w:sz w:val="28"/>
          <w:sz w:val="28"/>
          <w:szCs w:val="28"/>
          <w:rtl w:val="true"/>
          <w:lang w:bidi="fa-IR"/>
        </w:rPr>
        <w:t xml:space="preserve">قضى الشيخ المترجَم له أكثر زمان اشتهاره بالعلم في فترة حساسة من التاريخ، ولعلَّ أبرز ما فيها أنّها شهدت مسرحاً لأكبر حادثة ابتنت عليها واحدة من أهمّ عقائد الشيعة الإماميّة، التي كان لها أعمق الأثر في تاريخهم، ألاَ وهي غيبة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إنَّ المترجَم له عاصر زمن الغيبة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له أثر فاعل في ملء الفراغ الحاصل بغيبة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جوانب عدّة، ومنها جانب الغيبة نفسها، التي شهدت بروز مشاكل اجتماعيّة وفكريّة بين الطائفة، فتصدّى الشيخ علي بن الحسين للأزمة بحزم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تلك الفترة تشكّل بالنسبة إلى الشريعة 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بانتهاء عصر مصادر التشريع المباشرة –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وحلول موعد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أُرجع أمر الشريعة في هذه الفترة – التي زامنت عصر الغيبة الصغرى– إلى رواة الحديث، وقد تمّ نصبهم بصورة رسميّة بالروايات الكثيرة ومنها التوقيع الشريف الصادر عن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w:t>
      </w:r>
      <w:r>
        <w:rPr>
          <w:rFonts w:eastAsia="IRNazanin" w:cs="IRNazanin"/>
          <w:color w:val="111111"/>
          <w:sz w:val="28"/>
          <w:szCs w:val="28"/>
          <w:rtl w:val="true"/>
          <w:lang w:bidi="fa-IR"/>
        </w:rPr>
        <w:t>)</w:t>
      </w:r>
      <w:r>
        <w:rPr>
          <w:rStyle w:val="FootnoteAnchor"/>
          <w:rtl w:val="true"/>
        </w:rPr>
        <w:footnoteReference w:id="507"/>
      </w:r>
      <w:r>
        <w:rPr>
          <w:rFonts w:ascii="Amiri" w:hAnsi="Amiri" w:eastAsia="Amiri" w:cs="Amiri"/>
          <w:color w:val="111111"/>
          <w:sz w:val="28"/>
          <w:sz w:val="28"/>
          <w:szCs w:val="28"/>
          <w:rtl w:val="true"/>
          <w:lang w:bidi="ar-SA"/>
        </w:rPr>
        <w:t xml:space="preserve">، فكان لهم الاعتماد على اجتهادهم ومحاولاتهم الخاصّة لكشف الحكم الشرعيّ، وكان الشيخ ابن بابويه من روّاد هذه المهمّة، فقد كان من أعمدة الحديث، ومشايخ رواته، وثقات حملته </w:t>
      </w:r>
      <w:r>
        <w:rPr>
          <w:rFonts w:eastAsia="Amiri" w:cs="Amiri" w:ascii="Amiri" w:hAnsi="Amiri"/>
          <w:color w:val="111111"/>
          <w:sz w:val="28"/>
          <w:szCs w:val="28"/>
          <w:rtl w:val="true"/>
          <w:lang w:bidi="ar-SA"/>
        </w:rPr>
        <w:t xml:space="preserve">. </w:t>
      </w:r>
      <w:bookmarkStart w:id="731" w:name="pg9067_79930"/>
    </w:p>
    <w:p>
      <w:pPr>
        <w:pStyle w:val="Heading6"/>
        <w:numPr>
          <w:ilvl w:val="5"/>
          <w:numId w:val="1"/>
        </w:numPr>
        <w:rPr/>
      </w:pPr>
      <w:bookmarkStart w:id="732" w:name="__RefHeading___Toc2465422_2870459653"/>
      <w:bookmarkStart w:id="733" w:name="_Toc283"/>
      <w:bookmarkEnd w:id="731"/>
      <w:bookmarkEnd w:id="732"/>
      <w:r>
        <w:rPr>
          <w:rtl w:val="true"/>
        </w:rPr>
        <w:t>معاصروه</w:t>
      </w:r>
      <w:bookmarkEnd w:id="733"/>
    </w:p>
    <w:p>
      <w:pPr>
        <w:pStyle w:val="BookText"/>
        <w:rPr/>
      </w:pPr>
      <w:r>
        <w:rPr>
          <w:rFonts w:ascii="IRNazanin" w:hAnsi="IRNazanin" w:eastAsia="IRNazanin"/>
          <w:color w:val="111111"/>
          <w:sz w:val="28"/>
          <w:sz w:val="28"/>
          <w:szCs w:val="28"/>
          <w:rtl w:val="true"/>
          <w:lang w:bidi="fa-IR"/>
        </w:rPr>
        <w:t xml:space="preserve">بناءً على أنَّ ولادته لم تحدّد بالضبط – كما تقدّم آنفاً –، ومن المقطوع به أنّه عاصر زمان الغيبة الصغرى، التي غاب بها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وعيّن الوكلاء الأربعة نواباً خاصّين له، ووسائط بينه وبين الناس إلى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عام انقطاع النيابة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السفارة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وغاب غيبته الكبرى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اتفق أصحاب التراجم على أن الشيخ ابن بابويه قد عاصر السفراء الثلاثة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الحسين بن روح النوبختي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عليّ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وتعدّ طبقة الشيخ ابن بابويه هي بعينها طبقة الشيخ محمّد بن يعقوب الكليني، وأحمد بن داود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جعفر بن سفيان البزوفري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زياد بن جعفر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ابراهيم بن المعلى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محمد بن يحيى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علي بن أبي عقيل العماني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أبي القاسم الحسين بن روح ثالث السفراء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محمّد السمري رابع السفراء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الحسن بن أحمد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عمر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 بن مسعود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وأضرابهم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734" w:name="pg9067_79931"/>
    </w:p>
    <w:p>
      <w:pPr>
        <w:pStyle w:val="Heading6"/>
        <w:numPr>
          <w:ilvl w:val="5"/>
          <w:numId w:val="1"/>
        </w:numPr>
        <w:rPr/>
      </w:pPr>
      <w:bookmarkStart w:id="735" w:name="__RefHeading___Toc2465424_2870459653"/>
      <w:bookmarkStart w:id="736" w:name="_Toc284"/>
      <w:bookmarkEnd w:id="734"/>
      <w:bookmarkEnd w:id="735"/>
      <w:r>
        <w:rPr>
          <w:rtl w:val="true"/>
        </w:rPr>
        <w:t>رابعاً</w:t>
      </w:r>
      <w:r>
        <w:rPr>
          <w:rtl w:val="true"/>
        </w:rPr>
        <w:t xml:space="preserve">: </w:t>
      </w:r>
      <w:r>
        <w:rPr>
          <w:rtl w:val="true"/>
        </w:rPr>
        <w:t>وفاته</w:t>
      </w:r>
      <w:bookmarkEnd w:id="736"/>
    </w:p>
    <w:p>
      <w:pPr>
        <w:pStyle w:val="BookText"/>
        <w:rPr/>
      </w:pPr>
      <w:r>
        <w:rPr>
          <w:rFonts w:ascii="Amiri" w:hAnsi="Amiri" w:eastAsia="Amiri" w:cs="Amiri"/>
          <w:color w:val="111111"/>
          <w:sz w:val="28"/>
          <w:sz w:val="28"/>
          <w:szCs w:val="28"/>
          <w:rtl w:val="true"/>
          <w:lang w:bidi="ar-SA"/>
        </w:rPr>
        <w:t>يعدّ الشيخ ابن بابويه شيخ مشايخ المتقدّمين، وقدوة أهل الفقه والحديث أيضاً، وقد خالط اسمه في الحوزات العلميّة الشيعيّة بهذين العلِمين بفضل كتبه المعروفة التي سيأتي الإشارة إليها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ولوفاة الشيخ بن بابويه حديثٌ غريبٌ، ودلالة على عظم شأنه ومكانته لدى الناحية المقدّسة، فلا بأس بذكره على ما سطّره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جماعة عن أبي عبد الله الحسين بن بابويه، قال حدّثني جماعة من أهل قم، قالوا حضرنا بغداد في السنة التي توفّي بها أبي، عليّ بن الحسين بن موسى بن بابويه، وكان أبو الحسن عليّ بن محمّد السمري، يسألنا كلّ قريب، عن خبر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اليوم الذي قبض فيه، فسألنا عنه؟ فذكرنا له مثل ذلك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آجركم الله في عليّ بن الحسين، فقد قبض في هذه الساعة،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فأثبتنا تاريخ الساعة واليوم والشهر، فلما كان بعد عشرين يوماً – أو ثمانية عشر يوماً – ورد الخبر أنّه قبض في ﻫذه الساعة التي ذكرﻫا الشيخ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وتسمّى السنة التي توفّي فيها الشيخ ابن بابويه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تناثر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قُبض فيها كلّ من السفير الرابع عليّ بن محمّد السمري، وثقة الإسلام الشيخ محمّد بن يعقوب الكليني – على رواية –، فضلاً عن الشيخ المترجَم 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المصادر أنّه ختم حياته الكريمة بالسفر إلى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ورجع إلى مدينة قم المقدّسة، حيث مات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وقبره بها يزار إلى يومك هذا</w:t>
      </w:r>
      <w:r>
        <w:rPr>
          <w:rFonts w:eastAsia="Amiri" w:cs="Amiri" w:ascii="Amiri" w:hAnsi="Amiri"/>
          <w:color w:val="111111"/>
          <w:sz w:val="28"/>
          <w:szCs w:val="28"/>
          <w:rtl w:val="true"/>
          <w:lang w:bidi="ar-SA"/>
        </w:rPr>
        <w:t xml:space="preserve">. </w:t>
      </w:r>
      <w:bookmarkStart w:id="737" w:name="pg9067_79934"/>
    </w:p>
    <w:p>
      <w:pPr>
        <w:pStyle w:val="Heading5"/>
        <w:numPr>
          <w:ilvl w:val="4"/>
          <w:numId w:val="1"/>
        </w:numPr>
        <w:rPr/>
      </w:pPr>
      <w:bookmarkStart w:id="738" w:name="__RefHeading___Toc2465426_2870459653"/>
      <w:bookmarkStart w:id="739" w:name="_Toc285"/>
      <w:bookmarkEnd w:id="737"/>
      <w:bookmarkEnd w:id="738"/>
      <w:r>
        <w:rPr>
          <w:rtl w:val="true"/>
        </w:rPr>
        <w:t>المطلب الثاني</w:t>
      </w:r>
      <w:r>
        <w:rPr>
          <w:rtl w:val="true"/>
        </w:rPr>
        <w:t xml:space="preserve">: </w:t>
      </w:r>
      <w:r>
        <w:rPr>
          <w:rtl w:val="true"/>
        </w:rPr>
        <w:t>سيرته العلميّة</w:t>
      </w:r>
      <w:bookmarkEnd w:id="739"/>
    </w:p>
    <w:p>
      <w:pPr>
        <w:pStyle w:val="Heading6"/>
        <w:numPr>
          <w:ilvl w:val="5"/>
          <w:numId w:val="1"/>
        </w:numPr>
        <w:rPr/>
      </w:pPr>
      <w:bookmarkStart w:id="740" w:name="__RefHeading___Toc2465428_2870459653"/>
      <w:bookmarkStart w:id="741" w:name="_Toc286"/>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ويتضمّن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أساتذته ومشايخه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تلامذته والرواة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مرجعيّته الدينيّة، ومكانته العلميّة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2465430_2870459653"/>
      <w:bookmarkStart w:id="743" w:name="_Toc287"/>
      <w:bookmarkEnd w:id="742"/>
      <w:r>
        <w:rPr>
          <w:rtl w:val="true"/>
        </w:rPr>
        <w:t>توطئة</w:t>
      </w:r>
      <w:bookmarkEnd w:id="743"/>
    </w:p>
    <w:p>
      <w:pPr>
        <w:pStyle w:val="BookText"/>
        <w:rPr/>
      </w:pPr>
      <w:r>
        <w:rPr>
          <w:rFonts w:ascii="Amiri" w:hAnsi="Amiri" w:eastAsia="Amiri" w:cs="Amiri"/>
          <w:color w:val="111111"/>
          <w:sz w:val="28"/>
          <w:sz w:val="28"/>
          <w:szCs w:val="28"/>
          <w:rtl w:val="true"/>
          <w:lang w:bidi="ar-SA"/>
        </w:rPr>
        <w:t>يعدّ المترجَم له أوّل مَنْ نبغ واشتهر من أسرة بابويه، والمشهور أنه أوّل مَنْ سلك طريق الاستنباط من الروايات، وقام بتدوين الفقه على نمط جديد، فأخرج المسائل الفقهيّة من متون الروايات مع إيراد أسانيدها إلى صورة الفتوى فطلع لون جديد في الكتابة والفتيا، وهو الإفتاء بمتون الروايات مع حذف أسانيدها، والكتابة على هذا النمط مع إعمال النظر والدقّة في تمييز الصحيح من السقيم، فخرج الفقه – في ظاهره – عن صورة نقل الرواية، واتّخذ لنفسه شكل الفتوى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وتأسّى به الآخرون وفي طليعتهم ولده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 المقنع والهداية، ثمَّ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المقنعة، وأعقبه 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النهاية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الشيخ ابن بابويه مرموقاً لدى عامّة أهل قم المقدّسة، وفي طليعة </w:t>
      </w:r>
      <w:bookmarkStart w:id="744" w:name="pg9067_79935"/>
    </w:p>
    <w:p>
      <w:pPr>
        <w:pStyle w:val="BookText"/>
        <w:rPr/>
      </w:pPr>
      <w:bookmarkEnd w:id="744"/>
      <w:r>
        <w:rPr>
          <w:rFonts w:ascii="Amiri" w:hAnsi="Amiri" w:eastAsia="Amiri" w:cs="Amiri"/>
          <w:color w:val="111111"/>
          <w:sz w:val="28"/>
          <w:sz w:val="28"/>
          <w:szCs w:val="28"/>
          <w:rtl w:val="true"/>
          <w:lang w:bidi="ar-SA"/>
        </w:rPr>
        <w:t>أعلامهم ذائعي الصيت الذين اقترنت أسماؤهم بآيات التعظيم والثناء</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5" w:name="__RefHeading___Toc2465432_2870459653"/>
      <w:bookmarkStart w:id="746" w:name="_Toc288"/>
      <w:bookmarkEnd w:id="745"/>
      <w:r>
        <w:rPr>
          <w:rtl w:val="true"/>
        </w:rPr>
        <w:t>أوّلاً</w:t>
      </w:r>
      <w:r>
        <w:rPr>
          <w:rtl w:val="true"/>
        </w:rPr>
        <w:t xml:space="preserve">: </w:t>
      </w:r>
      <w:r>
        <w:rPr>
          <w:rtl w:val="true"/>
        </w:rPr>
        <w:t>أساتذته ومشايخه</w:t>
      </w:r>
      <w:bookmarkEnd w:id="746"/>
    </w:p>
    <w:p>
      <w:pPr>
        <w:pStyle w:val="BookText"/>
        <w:rPr/>
      </w:pPr>
      <w:r>
        <w:rPr>
          <w:rFonts w:ascii="Amiri" w:hAnsi="Amiri" w:eastAsia="Amiri" w:cs="Amiri"/>
          <w:color w:val="111111"/>
          <w:sz w:val="28"/>
          <w:sz w:val="28"/>
          <w:szCs w:val="28"/>
          <w:rtl w:val="true"/>
          <w:lang w:bidi="ar-SA"/>
        </w:rPr>
        <w:t>تتلّمذ الشيخ ابن بابويه على مشايخ عدّة، وأساتذة الفقه والحديث، وروى عنهم، وإحصاؤهم يتوقّف على تصفّح أسانيد الأخبار، ومتون التراجم والإجازات، ونذكر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أحمد بن إدريس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عليّ الشلمغاني،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العزاقر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التفليسي</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أحمد بن محمّد بن مطهّر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نوح</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الحسين التغلبي الكوفي</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أحمد الأسكيف</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أحمد المالكي</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العلوي الدينوري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قالو لي</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عبد الله بن عيسى</w:t>
      </w:r>
      <w:r>
        <w:rPr>
          <w:rStyle w:val="FootnoteAnchor"/>
          <w:rtl w:val="true"/>
        </w:rPr>
        <w:footnoteReference w:id="5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الحسين بن محمّد بن عامر بن عمران بن أبي بكر الأشعري</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موسى</w:t>
      </w:r>
      <w:r>
        <w:rPr>
          <w:rStyle w:val="FootnoteAnchor"/>
          <w:rtl w:val="true"/>
        </w:rPr>
        <w:footnoteReference w:id="533"/>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المؤدّب</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عليّ بن عبد الله بن المغيرة الكوفي</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سعدك الهمداني</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الحسين السعد آبادي</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سليمان بن الحسن بن الجهم بن بكير بن أعين الزراري</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قتيبة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موسى بن جعفر الكمنداني</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 النهاوندي</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عبد الله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قاسم ماجيلويه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محمّد بن أحمد بن عليّ بن أسد الأسدي</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عليّ بن الصلت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هشام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اسحاق بن خزيمة النيسابوري</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أبي عمران الهمداني</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معقل القرميسيني</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فرات بن إبراهيم الكوفي</w:t>
      </w:r>
      <w:r>
        <w:rPr>
          <w:rStyle w:val="FootnoteAnchor"/>
          <w:rtl w:val="true"/>
        </w:rPr>
        <w:footnoteReference w:id="551"/>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سعيد الأهوازي</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747" w:name="pg9067_79944"/>
    </w:p>
    <w:p>
      <w:pPr>
        <w:pStyle w:val="Heading6"/>
        <w:numPr>
          <w:ilvl w:val="5"/>
          <w:numId w:val="1"/>
        </w:numPr>
        <w:rPr/>
      </w:pPr>
      <w:bookmarkStart w:id="748" w:name="__RefHeading___Toc2465434_2870459653"/>
      <w:bookmarkStart w:id="749" w:name="_Toc289"/>
      <w:bookmarkEnd w:id="747"/>
      <w:bookmarkEnd w:id="748"/>
      <w:r>
        <w:rPr>
          <w:rtl w:val="true"/>
        </w:rPr>
        <w:t>ثانياً</w:t>
      </w:r>
      <w:r>
        <w:rPr>
          <w:rtl w:val="true"/>
        </w:rPr>
        <w:t xml:space="preserve">: </w:t>
      </w:r>
      <w:r>
        <w:rPr>
          <w:rtl w:val="true"/>
        </w:rPr>
        <w:t>تلامذته والرواة عنه</w:t>
      </w:r>
      <w:bookmarkEnd w:id="749"/>
    </w:p>
    <w:p>
      <w:pPr>
        <w:pStyle w:val="BookText"/>
        <w:rPr/>
      </w:pPr>
      <w:r>
        <w:rPr>
          <w:rFonts w:ascii="Amiri" w:hAnsi="Amiri" w:eastAsia="Amiri" w:cs="Amiri"/>
          <w:color w:val="111111"/>
          <w:sz w:val="28"/>
          <w:sz w:val="28"/>
          <w:szCs w:val="28"/>
          <w:rtl w:val="true"/>
          <w:lang w:bidi="ar-SA"/>
        </w:rPr>
        <w:t>روى عن الشيخ المترجَم له جماعة من الأعلام،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سلامة بن محمّد بن إسماعيل الأرزني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الغيبة وكشف الحيرة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جعفر بن محمّد بن قولويه القمّيّ صاحب كتاب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ابنه أبو جعفر محمّد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أكثر الرواية عن أبيه حتّى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 أبيه</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وجدير بالإشارة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المشيخة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روى عنهم من طريق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روى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من طريق شيخه 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يبتدئ الحديث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يسبقه بلفظ من ألفاظ التحمّل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وهذا ما لم نجد الشيخ الصدوق يستعمله مع أحد من شيوخه الآخرين على كثرتهم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هارون بن موسى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إجازة بجميع ما يرويه عن ابن بابويه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ابنه أبو عبد الله الحسين، ويروي عن أبيه إجازة فقط</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750" w:name="pg9067_79946"/>
    </w:p>
    <w:p>
      <w:pPr>
        <w:pStyle w:val="BookText"/>
        <w:rPr/>
      </w:pPr>
      <w:bookmarkEnd w:id="75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أحمد بن داود بن عليّ، صحب الشيخ المترجَم له، وله كتاب النوادر</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الفرج</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أحمد القميّ</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الحسن بن محمّد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 الشيخ المترجَم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محمّد بن جعفر،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إلياس الكوفي</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بندر القمّي</w:t>
      </w:r>
      <w:r>
        <w:rPr>
          <w:rStyle w:val="FootnoteAnchor"/>
          <w:rtl w:val="true"/>
        </w:rPr>
        <w:footnoteReference w:id="56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العبّاس بن عمر بن محمّد بن عبد الملك بن أبي مروان الكلوذاني،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مروان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وأكثر رواياته عن الشيخ المترجَم</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1" w:name="__RefHeading___Toc2465436_2870459653"/>
      <w:bookmarkStart w:id="752" w:name="_Toc290"/>
      <w:bookmarkEnd w:id="751"/>
      <w:r>
        <w:rPr>
          <w:rtl w:val="true"/>
        </w:rPr>
        <w:t>ثالثاً</w:t>
      </w:r>
      <w:r>
        <w:rPr>
          <w:rtl w:val="true"/>
        </w:rPr>
        <w:t xml:space="preserve">: </w:t>
      </w:r>
      <w:r>
        <w:rPr>
          <w:rtl w:val="true"/>
        </w:rPr>
        <w:t>مرجعيّته الدينيّة، ومكانته العلميّة والاجتماعيّة</w:t>
      </w:r>
      <w:bookmarkEnd w:id="75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مرجعيّته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ميزات عصر الشيخ ابن بابويه اعتماد منهجيّة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الرافضين لكلِّ المحاولات العقليّة، والتي تعتمد الخروج عن ظاهر الروايات، على أساس المقارنة بينها، وميزة الشيخ المترجَم له التي اختصّ بها هي المرجعيّة العامّة، التي تمتّع بها </w:t>
      </w:r>
    </w:p>
    <w:p>
      <w:pPr>
        <w:pStyle w:val="BookText"/>
        <w:rPr/>
      </w:pPr>
      <w:r>
        <w:rPr>
          <w:rFonts w:ascii="Amiri" w:hAnsi="Amiri" w:eastAsia="Amiri" w:cs="Amiri"/>
          <w:color w:val="111111"/>
          <w:sz w:val="28"/>
          <w:sz w:val="28"/>
          <w:szCs w:val="28"/>
          <w:rtl w:val="true"/>
          <w:lang w:bidi="ar-SA"/>
        </w:rPr>
        <w:t xml:space="preserve">في فترة الغيبة الصغرى، وتقدّم آنفاً أنه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في الوصول إلى الأحكام الشرعيّة، وبذلك يكون من روّاد الاجتهاد في تاريخ الفقه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لاحظنا أقوال العلماء في حقّه نجد مدى ما وصل إليه من مقام سام مختصّ به، وهو موجودٌ في مدينة قم المقدّسة الزاخرة بالمحدّثين آنذاك، ويتّضح مدى ما كان يتمتّع به من مكانة مرموقة لدى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والمتتبّع لحياة الشيخ ابن بابويه يشخّص جملة حوادث وأمور حدثت إبّان مرجعيّته الدينّية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اتّصاله بالنائبين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روح وعلي بن محم السمري رضوان الله تعالى عليهما</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 xml:space="preserve">، وتصدّيه للمنحرفين في العقيدة بسبب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ذكرنا أنّها أهمّ ما وقع في عصره، وقد حامت حولها المناقشات الطويلة، ولعلّ موقفه مع الحسين بن الحلاّج</w:t>
      </w:r>
      <w:r>
        <w:rPr>
          <w:rStyle w:val="FootnoteAnchor"/>
          <w:rtl w:val="true"/>
        </w:rPr>
        <w:footnoteReference w:id="568"/>
      </w:r>
      <w:r>
        <w:rPr>
          <w:rFonts w:ascii="Amiri" w:hAnsi="Amiri" w:eastAsia="Amiri" w:cs="Amiri"/>
          <w:color w:val="111111"/>
          <w:sz w:val="28"/>
          <w:sz w:val="28"/>
          <w:szCs w:val="28"/>
          <w:rtl w:val="true"/>
          <w:lang w:bidi="ar-SA"/>
        </w:rPr>
        <w:t>، ومناظرته مع محمّد بن مقاتل الرازي في الإمامة</w:t>
      </w:r>
      <w:r>
        <w:rPr>
          <w:rStyle w:val="FootnoteAnchor"/>
          <w:rtl w:val="true"/>
        </w:rPr>
        <w:footnoteReference w:id="569"/>
      </w:r>
      <w:r>
        <w:rPr>
          <w:rFonts w:ascii="IRNazanin" w:hAnsi="IRNazanin" w:eastAsia="IRNazanin"/>
          <w:color w:val="111111"/>
          <w:sz w:val="28"/>
          <w:sz w:val="28"/>
          <w:szCs w:val="28"/>
          <w:rtl w:val="true"/>
          <w:lang w:bidi="fa-IR"/>
        </w:rPr>
        <w:t xml:space="preserve">، وجداله الحادّ مع الحسين بن حمدان الخصيبي حول إمامة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خير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مكانته العلميّة والاجتماعيّة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ابن بابويه أياد بيضاء، وخدمات مشكورة في مجال تأليف الكتب – على ما سيأتي في بيان مصنّفاته – أسهمت بشكل فاعل ومؤثّر في تطوير </w:t>
      </w:r>
    </w:p>
    <w:p>
      <w:pPr>
        <w:pStyle w:val="BookText"/>
        <w:rPr/>
      </w:pPr>
      <w:r>
        <w:rPr>
          <w:rFonts w:ascii="Amiri" w:hAnsi="Amiri" w:eastAsia="Amiri" w:cs="Amiri"/>
          <w:color w:val="111111"/>
          <w:sz w:val="28"/>
          <w:sz w:val="28"/>
          <w:szCs w:val="28"/>
          <w:rtl w:val="true"/>
          <w:lang w:bidi="ar-SA"/>
        </w:rPr>
        <w:t>المجال العلميّ، وظلّت مقرونةً باسمه للأجيال الباقية، ومن المهمّ بمكان أنْ نشير إلى بعض خطواته العلميّة التي أهلّته لأنْ يحتل – بجدارة – ذلك المقام العلميّ الرفيع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جهوده العلميّة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الشيخ ابن بابويه من أوائل من طرح فكرة الاعتماد على الاستنتاج الفقهيّ من الروايات، وعلى أساس المقارنة بينها وبين النظائر، والجمع والتوفيق بين المتعارضات</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جهوده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ابن بابويه واحداً ممَّنْ تنتهي إليه طرق الرواية، ولعلَّ للظرف الزمانيّ والمكانيّ أثر في ذلك؛ إذْ أنّه عاش في عصر الغيبة، وكذلك تواجده في مدينة قم المقدّسة العامرة بالمشايخ ومعقل الحديث والمحدّثين في ذلك العصر</w:t>
      </w:r>
      <w:r>
        <w:rPr>
          <w:rStyle w:val="FootnoteAnchor"/>
          <w:rtl w:val="true"/>
        </w:rPr>
        <w:footnoteReference w:id="572"/>
      </w:r>
      <w:r>
        <w:rPr>
          <w:rFonts w:ascii="Amiri" w:hAnsi="Amiri" w:eastAsia="Amiri" w:cs="Amiri"/>
          <w:color w:val="111111"/>
          <w:sz w:val="28"/>
          <w:sz w:val="28"/>
          <w:szCs w:val="28"/>
          <w:rtl w:val="true"/>
          <w:lang w:bidi="ar-SA"/>
        </w:rPr>
        <w:t>، وعلى هذا يُعدَّ الشيخ ابن بابويه من المشايخ الكبار الذين إليهم تنتهي الإجازات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جهوده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آنفاً أنْ الشيخ ابن بابويه تصدّى لمقالات المنحرفين، ولم تكن جهوده منحصرةً في الفقه والحديث، بل خاض معركة عقائديّة وفكريّة مع أهل الزيغ والانحراف، فقد وقف سدّاً منيعاً لمواجهتهم، نظريّاً من خلال تأليف جملة من المصنّفات في هذا الموضوع، وعمليّاً من خلال مناظراته معهم، حتّى عدَّ المدمّر لأساس المنحرفين، والمعظّمً من مشايخ الشيعة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مكانة الشيخ ابن بابويه الاجتماعيّة أظهر من </w:t>
      </w:r>
      <w:bookmarkStart w:id="753" w:name="pg9067_79952"/>
    </w:p>
    <w:p>
      <w:pPr>
        <w:pStyle w:val="BookText"/>
        <w:rPr/>
      </w:pPr>
      <w:bookmarkEnd w:id="753"/>
      <w:r>
        <w:rPr>
          <w:rFonts w:ascii="Amiri" w:hAnsi="Amiri" w:eastAsia="Amiri" w:cs="Amiri"/>
          <w:color w:val="111111"/>
          <w:sz w:val="28"/>
          <w:sz w:val="28"/>
          <w:szCs w:val="28"/>
          <w:rtl w:val="true"/>
          <w:lang w:bidi="ar-SA"/>
        </w:rPr>
        <w:t>الشمس في رائعة النهار، وقد ساعدت في ذلك عوامل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كبار الفقهاء المعترف بمقامهم العلميّ البارز، ومن الأجلاء المجمع على وثاقتهم، بل وعظم شأنﻫم، فضلاً عن لانتمائه إلى أسرة بابويه العريقة، وغيرها من العوامل، التي آلت – وبلا شكّ – لأنْ يحتل مقاماً ومركزاً اجتماعيّاً بارزاً وكبيراً ومهمّاً</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2465438_2870459653"/>
      <w:bookmarkStart w:id="755" w:name="_Toc291"/>
      <w:bookmarkEnd w:id="754"/>
      <w:r>
        <w:rPr>
          <w:rtl w:val="true"/>
        </w:rPr>
        <w:t>رابعاً</w:t>
      </w:r>
      <w:r>
        <w:rPr>
          <w:rtl w:val="true"/>
        </w:rPr>
        <w:t xml:space="preserve">: </w:t>
      </w:r>
      <w:r>
        <w:rPr>
          <w:rtl w:val="true"/>
        </w:rPr>
        <w:t>مؤلّفاته</w:t>
      </w:r>
      <w:bookmarkEnd w:id="755"/>
    </w:p>
    <w:p>
      <w:pPr>
        <w:pStyle w:val="BookText"/>
        <w:rPr/>
      </w:pPr>
      <w:r>
        <w:rPr>
          <w:rFonts w:ascii="IRNazanin" w:hAnsi="IRNazanin" w:eastAsia="IRNazanin"/>
          <w:color w:val="111111"/>
          <w:sz w:val="28"/>
          <w:sz w:val="28"/>
          <w:szCs w:val="28"/>
          <w:rtl w:val="true"/>
          <w:lang w:bidi="fa-IR"/>
        </w:rPr>
        <w:t xml:space="preserve">لا يخفى ما كان عليه الشيخ ابن بابويه من ثراء علميّ ضخم، فلا حاجة إلى الإطناب بعد أنْ قرأنا ونقرأ أنّه صنّف في شتى العلوم، وسطّر قلمه الشريف أكثر من مؤلَّف، وجادت قريحته بمدونات أصبحت فيما مضى ولا يزال بعضها مصدراً ومرجعاً ينهل منه طلاّب العلوم الشرعيّة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بأس بالإشارة إلى بعض ما خطّه من تراث أثرى به المكتبة الإسلاميّة عموماً والمكتبة الإماميّة على وجه الخصوص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الإمامة والتبصرة من الحيرة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المنطق</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756" w:name="pg9067_79954"/>
    </w:p>
    <w:p>
      <w:pPr>
        <w:pStyle w:val="BookText"/>
        <w:rPr/>
      </w:pPr>
      <w:bookmarkEnd w:id="75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النساء والولدان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الشرائع، وهو رسالته إلى ابنه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الذي بين 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قرب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المعراج</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7" w:name="__RefHeading___Toc2465440_2870459653"/>
      <w:bookmarkStart w:id="758" w:name="_Toc292"/>
      <w:bookmarkEnd w:id="757"/>
      <w:r>
        <w:rPr>
          <w:rtl w:val="true"/>
        </w:rPr>
        <w:t>خامساً</w:t>
      </w:r>
      <w:r>
        <w:rPr>
          <w:rtl w:val="true"/>
        </w:rPr>
        <w:t xml:space="preserve">: </w:t>
      </w:r>
      <w:r>
        <w:rPr>
          <w:rtl w:val="true"/>
        </w:rPr>
        <w:t>أقوال العلماء فيه</w:t>
      </w:r>
      <w:bookmarkEnd w:id="75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في غنى عن سرد ما قيل من كلمات بحقِّ الشيخ ابن بابويه، فهو أعظم من أنْ يوصف بقول، أو يسطّر بقلم، إلاّ أنّه حري بنا أنْ نذكر بعض ما قيل فيه، وإنْ كان لا يتناسب ومقامه وشأنه العلميّ الرفيع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وصفه ابن النديم بأنّه من فقهاء الشيعة وثقاتهم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 والعلامة الحلّي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شيخ القميّين في عصره، ومتقدّمهم، وفقيههم، وثقتهم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وأطرى عليه شيخ الطائفة الطوسي بأنّه الفقيه، الجليل، الثقة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وأثنى عليه ابن داود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الجليل المعظّم الثقة الورع المصنِّف</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المحدّث النوريّ بأنّهّ شيخ الشيعة وعين الإماميّة</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وإنْ تكن هذه الترجمة هي يسيرة في حقّ الشيخ عليّ بن الحسين بن بابويه، ولكن عسى أنْ نكون قد ذكرنا نزراً منها ونزراً من حقّه، وإلاّ فمقامه لا يسعه هذا القرطاس، ومن أراد المزيد فليراجع كتب الرجال والحديث ونحوهما فقد فصّلوا فيه القول بما يتناسب ومقامه السامي</w:t>
      </w:r>
      <w:r>
        <w:rPr>
          <w:rFonts w:eastAsia="Amiri" w:cs="Amiri" w:ascii="Amiri" w:hAnsi="Amiri"/>
          <w:color w:val="111111"/>
          <w:sz w:val="28"/>
          <w:szCs w:val="28"/>
          <w:rtl w:val="true"/>
          <w:lang w:bidi="ar-SA"/>
        </w:rPr>
        <w:t xml:space="preserve">. </w:t>
      </w:r>
      <w:bookmarkStart w:id="759" w:name="pg9067_79957"/>
    </w:p>
    <w:p>
      <w:pPr>
        <w:pStyle w:val="Heading4"/>
        <w:numPr>
          <w:ilvl w:val="3"/>
          <w:numId w:val="1"/>
        </w:numPr>
        <w:rPr/>
      </w:pPr>
      <w:bookmarkStart w:id="760" w:name="__RefHeading___Toc2465442_2870459653"/>
      <w:bookmarkStart w:id="761" w:name="_Toc293"/>
      <w:bookmarkEnd w:id="759"/>
      <w:bookmarkEnd w:id="760"/>
      <w:r>
        <w:rPr>
          <w:rtl w:val="true"/>
        </w:rPr>
        <w:t>الباب الثاني</w:t>
      </w:r>
      <w:r>
        <w:rPr>
          <w:rtl w:val="true"/>
        </w:rPr>
        <w:t xml:space="preserve">: </w:t>
      </w:r>
      <w:r>
        <w:rPr>
          <w:rtl w:val="true"/>
        </w:rPr>
        <w:t>دراسة عن الرسالة</w:t>
      </w:r>
      <w:bookmarkEnd w:id="761"/>
    </w:p>
    <w:p>
      <w:pPr>
        <w:pStyle w:val="Heading5"/>
        <w:numPr>
          <w:ilvl w:val="4"/>
          <w:numId w:val="1"/>
        </w:numPr>
        <w:rPr/>
      </w:pPr>
      <w:bookmarkStart w:id="762" w:name="__RefHeading___Toc2465444_2870459653"/>
      <w:bookmarkStart w:id="763" w:name="_Toc294"/>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وسوف نعرض في هذه الدراسة ثلاثة مطالب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يظهر من الاختلاف الحاصل بين الشيخ والنجاشي في عدّ كتاب الرسالة وكتاب الشرائع كتاباً واحداً أو 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نختم المطلب بذكر العلماء الذين صرحوا أن لديهم نسخة من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اطلعوا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يظهر ذلك منهم، وذلك في مقابل العلامة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صرّح بعدم وجودها، من عصر الشهيد إلى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أهمية الرسالة وتتمثّل تلك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تعامل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الرسالة معاملة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أقدم نصّ فقهي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الرسالة ابتكاراً لنوع جديد من الطرح الفقهي لم يعهد من قبل، كما حُكِي ذلك عن نجل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وندرج المطلب الثاني والثالث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مميزات الرسالة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والخاتمة تتناول المقارنة بين الفقه الرضوي والرسالة</w:t>
      </w:r>
      <w:r>
        <w:rPr>
          <w:rFonts w:eastAsia="Amiri" w:cs="Amiri" w:ascii="Amiri" w:hAnsi="Amiri"/>
          <w:color w:val="111111"/>
          <w:sz w:val="28"/>
          <w:szCs w:val="28"/>
          <w:rtl w:val="true"/>
          <w:lang w:bidi="ar-SA"/>
        </w:rPr>
        <w:t xml:space="preserve">. </w:t>
      </w:r>
      <w:bookmarkStart w:id="764" w:name="pg9067_79959"/>
    </w:p>
    <w:p>
      <w:pPr>
        <w:pStyle w:val="Heading5"/>
        <w:numPr>
          <w:ilvl w:val="4"/>
          <w:numId w:val="1"/>
        </w:numPr>
        <w:rPr/>
      </w:pPr>
      <w:bookmarkStart w:id="765" w:name="__RefHeading___Toc2465446_2870459653"/>
      <w:bookmarkStart w:id="766" w:name="_Toc295"/>
      <w:bookmarkEnd w:id="764"/>
      <w:bookmarkEnd w:id="765"/>
      <w:r>
        <w:rPr>
          <w:rtl w:val="true"/>
        </w:rPr>
        <w:t>المطلب الأول</w:t>
      </w:r>
      <w:bookmarkEnd w:id="766"/>
    </w:p>
    <w:p>
      <w:pPr>
        <w:pStyle w:val="BookText"/>
        <w:rPr/>
      </w:pPr>
      <w:r>
        <w:rPr>
          <w:rFonts w:ascii="Amiri" w:hAnsi="Amiri" w:eastAsia="Amiri" w:cs="Amiri"/>
          <w:color w:val="111111"/>
          <w:sz w:val="28"/>
          <w:sz w:val="28"/>
          <w:szCs w:val="28"/>
          <w:rtl w:val="true"/>
          <w:lang w:bidi="ar-SA"/>
        </w:rPr>
        <w:t>هل أن رسالة علي بن بابويه إلى ابنه هي نفسها كتاب الشرائع أم لا؟ قال النجاشي في معرض ذكر مصنفات الشيخ علي 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الشرائع وهي الرسالة إلى ابنه </w:t>
      </w:r>
      <w:r>
        <w:rPr>
          <w:rFonts w:eastAsia="Amiri" w:cs="Amiri" w:ascii="Amiri" w:hAnsi="Amiri"/>
          <w:color w:val="111111"/>
          <w:sz w:val="28"/>
          <w:szCs w:val="28"/>
          <w:rtl w:val="true"/>
          <w:lang w:bidi="ar-SA"/>
        </w:rPr>
        <w:t xml:space="preserve">. ) </w:t>
      </w:r>
      <w:r>
        <w:rPr>
          <w:rStyle w:val="FootnoteAnchor"/>
          <w:rtl w:val="true"/>
        </w:rPr>
        <w:footnoteReference w:id="583"/>
      </w:r>
      <w:r>
        <w:rPr>
          <w:rFonts w:ascii="IRNazanin" w:hAnsi="IRNazanin" w:eastAsia="IRNazanin"/>
          <w:color w:val="111111"/>
          <w:sz w:val="28"/>
          <w:sz w:val="28"/>
          <w:szCs w:val="28"/>
          <w:rtl w:val="true"/>
          <w:lang w:bidi="fa-IR"/>
        </w:rPr>
        <w:t>، وتبعه مشهور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المقابل فإن ظاهر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الفهرست هو التغاير بين الكتابين،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الشرائع، كتاب الرسالة إلى ابنه محمد بن علي</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تبعه في ذلك ابن شهر آشوب في معالم العلماء،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الشرائع، الرسالة إلى</w:t>
      </w:r>
    </w:p>
    <w:p>
      <w:pPr>
        <w:pStyle w:val="BookText"/>
        <w:rPr/>
      </w:pPr>
      <w:r>
        <w:rPr>
          <w:rFonts w:ascii="Amiri" w:hAnsi="Amiri" w:eastAsia="Amiri" w:cs="Amiri"/>
          <w:color w:val="111111"/>
          <w:sz w:val="28"/>
          <w:sz w:val="28"/>
          <w:szCs w:val="28"/>
          <w:rtl w:val="true"/>
          <w:lang w:bidi="ar-SA"/>
        </w:rPr>
        <w:t xml:space="preserve">ابنه محمد بن علي رضي الله عنهما </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قال العلامة النوري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الشيخ في الفهرست، وابن شهر آشوب في معالم العلماء عداهما اثنين والثاني تبع الأول، والنجاشي أتقن وأضبط</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أن متابعة ابن شهر آشوب للشيخ غير مؤكدة لعدم اتفاق نسخ</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 العلماء على اللفظ المتقدم ولكن هذه الدعوى غير واضحة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أنه تابعه في مغايرة الرسالة للشرائع، كما تابعه في ذلك السيد حسن الصدر في نهاية الدراية، حيث قال في معرض كلامه في تعريف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عكسه النقض بالحديث المنقول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طرده بكثير من عبارات الفقهاء كالشيخ في النهاية، وعلي 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هامش الطبعة الحديثة من نهاية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لأنه لا وجه للعطف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إلَّا إذا كان لغرض بيان اتحاد المسمى بالشرائع والرسالة، ولكنه قاصر عن إفادة 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السيد حسن الصدر هنا هو متابعة الشيخ نقل في مغايرة الرسالة للشرائع، ولعله من جهة بنائه على تقديم قول الشيخ الطوسي في مقام التعارض مع النجاشي كما صرح به في بعض المواضع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صرح به في بعض مؤلفاته الأخرى هو كون الشرائع هو رسالته التي كتبها لابنه، حيث قال في رسالة فصل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الكتاب المعروف عند المتقدمين بكتاب التكليف لمحمد بن علي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أبي العزاقر صنعه أيام استقامته وكانت الطائفة تعمل به وترويه عنه وأخذه منه شيخ القميين علي بن موسى بن بابويه وجعله الأصل 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كتبها لابنه الصدوق</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 ألف كتاب النهاية في عام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خاتمته </w:t>
      </w:r>
      <w:r>
        <w:rPr>
          <w:rStyle w:val="FootnoteAnchor"/>
          <w:rtl w:val="true"/>
        </w:rPr>
        <w:footnoteReference w:id="590"/>
      </w:r>
      <w:r>
        <w:rPr>
          <w:rFonts w:ascii="Amiri" w:hAnsi="Amiri" w:eastAsia="Amiri" w:cs="Amiri"/>
          <w:color w:val="111111"/>
          <w:sz w:val="28"/>
          <w:sz w:val="28"/>
          <w:szCs w:val="28"/>
          <w:rtl w:val="true"/>
          <w:lang w:bidi="ar-SA"/>
        </w:rPr>
        <w:t xml:space="preserve">في حين ألف رسالة فصل القضاء في عام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آخرها </w:t>
      </w:r>
      <w:r>
        <w:rPr>
          <w:rStyle w:val="FootnoteAnchor"/>
          <w:rtl w:val="true"/>
        </w:rPr>
        <w:footnoteReference w:id="591"/>
      </w:r>
      <w:r>
        <w:rPr>
          <w:rFonts w:ascii="Amiri" w:hAnsi="Amiri" w:eastAsia="Amiri" w:cs="Amiri"/>
          <w:color w:val="111111"/>
          <w:sz w:val="28"/>
          <w:sz w:val="28"/>
          <w:szCs w:val="28"/>
          <w:rtl w:val="true"/>
          <w:lang w:bidi="ar-SA"/>
        </w:rPr>
        <w:t>يتبين أنه كان يتبنى المغايرة بين الشرائع والرسالة أولاً ثم بنى على الاتحاد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والملاحظ أن الشيخ الصدوق نقل قد أكثر </w:t>
      </w:r>
      <w:r>
        <w:rPr>
          <w:rStyle w:val="FootnoteAnchor"/>
          <w:rtl w:val="true"/>
        </w:rPr>
        <w:footnoteReference w:id="592"/>
      </w:r>
      <w:r>
        <w:rPr>
          <w:rFonts w:ascii="Amiri" w:hAnsi="Amiri" w:eastAsia="Amiri" w:cs="Amiri"/>
          <w:color w:val="111111"/>
          <w:sz w:val="28"/>
          <w:sz w:val="28"/>
          <w:szCs w:val="28"/>
          <w:rtl w:val="true"/>
          <w:lang w:bidi="ar-SA"/>
        </w:rPr>
        <w:t>النقل عن رسالة والده في الفقيه، والمقنع، والهداية، والعلل، والخصال، وثواب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أغلب تلك الموارد لم يعبر إلا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والدي أو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موارد في المقنع </w:t>
      </w:r>
      <w:r>
        <w:rPr>
          <w:rStyle w:val="FootnoteAnchor"/>
          <w:rtl w:val="true"/>
        </w:rPr>
        <w:footnoteReference w:id="593"/>
      </w:r>
      <w:r>
        <w:rPr>
          <w:rFonts w:ascii="Amiri" w:hAnsi="Amiri" w:eastAsia="Amiri" w:cs="Amiri"/>
          <w:color w:val="111111"/>
          <w:sz w:val="28"/>
          <w:sz w:val="28"/>
          <w:szCs w:val="28"/>
          <w:rtl w:val="true"/>
          <w:lang w:bidi="ar-SA"/>
        </w:rPr>
        <w:t xml:space="preserve">ومورد واحد في ثواب الأعمال </w:t>
      </w:r>
      <w:r>
        <w:rPr>
          <w:rStyle w:val="FootnoteAnchor"/>
          <w:rtl w:val="true"/>
        </w:rPr>
        <w:footnoteReference w:id="594"/>
      </w:r>
      <w:r>
        <w:rPr>
          <w:rFonts w:ascii="Amiri" w:hAnsi="Amiri" w:eastAsia="Amiri" w:cs="Amiri"/>
          <w:color w:val="111111"/>
          <w:sz w:val="28"/>
          <w:sz w:val="28"/>
          <w:szCs w:val="28"/>
          <w:rtl w:val="true"/>
          <w:lang w:bidi="ar-SA"/>
        </w:rPr>
        <w:t xml:space="preserve">ولم يذكر في شيء من الموارد أن اسم الرسالة أو الوصية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من بعده من الفقهاء ممن ذكر الرسالة أو نقل عنها كالسيد المرتضى تكتل في رسائله </w:t>
      </w:r>
      <w:r>
        <w:rPr>
          <w:rStyle w:val="FootnoteAnchor"/>
          <w:rtl w:val="true"/>
        </w:rPr>
        <w:footnoteReference w:id="595"/>
      </w:r>
      <w:r>
        <w:rPr>
          <w:rFonts w:ascii="Amiri" w:hAnsi="Amiri" w:eastAsia="Amiri" w:cs="Amiri"/>
          <w:color w:val="111111"/>
          <w:sz w:val="28"/>
          <w:sz w:val="28"/>
          <w:szCs w:val="28"/>
          <w:rtl w:val="true"/>
          <w:lang w:bidi="ar-SA"/>
        </w:rPr>
        <w:t>والشيخ الطوسي تكلل في ثلاثة موارد في التهذيب</w:t>
      </w:r>
      <w:r>
        <w:rPr>
          <w:rStyle w:val="FootnoteAnchor"/>
          <w:rtl w:val="true"/>
        </w:rPr>
        <w:footnoteReference w:id="596"/>
      </w:r>
      <w:r>
        <w:rPr>
          <w:rFonts w:ascii="Amiri" w:hAnsi="Amiri" w:eastAsia="Amiri" w:cs="Amiri"/>
          <w:color w:val="111111"/>
          <w:sz w:val="28"/>
          <w:sz w:val="28"/>
          <w:szCs w:val="28"/>
          <w:rtl w:val="true"/>
          <w:lang w:bidi="ar-SA"/>
        </w:rPr>
        <w:t xml:space="preserve">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 والمحقق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والعلامة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وغيرها من مؤلفاته، وابنه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والفاضل الآبي في كشف الرموز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كلهم لم يشيروا إلى أن رسالة ابن بابويه تسمى بالشرائع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يظهر منه ذلك ممن كانت عنده الرسالة ونقل عنها هو الشهيد الأول نقل في الذكرى، حيث ذكر في أوائله </w:t>
      </w:r>
      <w:r>
        <w:rPr>
          <w:rStyle w:val="FootnoteAnchor"/>
          <w:rtl w:val="true"/>
        </w:rPr>
        <w:footnoteReference w:id="604"/>
      </w:r>
      <w:r>
        <w:rPr>
          <w:rFonts w:ascii="Amiri" w:hAnsi="Amiri" w:eastAsia="Amiri" w:cs="Amiri"/>
          <w:color w:val="111111"/>
          <w:sz w:val="28"/>
          <w:sz w:val="28"/>
          <w:szCs w:val="28"/>
          <w:rtl w:val="true"/>
          <w:lang w:bidi="ar-SA"/>
        </w:rPr>
        <w:t xml:space="preserve">أنه كان الأصحاب يتمسكون بما يجدونه في شرائع أبي الحسن ابن بابويه عند إعواز النصوص، ثم حكى عن رسالة ابن بابويه بهذا العنوان في عدة مواضع </w:t>
      </w:r>
      <w:r>
        <w:rPr>
          <w:rStyle w:val="FootnoteAnchor"/>
          <w:rtl w:val="true"/>
        </w:rPr>
        <w:footnoteReference w:id="605"/>
      </w:r>
      <w:r>
        <w:rPr>
          <w:rFonts w:ascii="Amiri" w:hAnsi="Amiri" w:eastAsia="Amiri" w:cs="Amiri"/>
          <w:color w:val="111111"/>
          <w:sz w:val="28"/>
          <w:sz w:val="28"/>
          <w:szCs w:val="28"/>
          <w:rtl w:val="true"/>
          <w:lang w:bidi="ar-SA"/>
        </w:rPr>
        <w:t>، وظاهره وحدة المراد بالعنوانين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في المقام احتمالين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لكتاب الشرائع كما ورد في النسخ الواصلة إلينا</w:t>
      </w:r>
      <w:r>
        <w:rPr>
          <w:rStyle w:val="FootnoteAnchor"/>
          <w:rtl w:val="true"/>
        </w:rPr>
        <w:footnoteReference w:id="606"/>
      </w:r>
      <w:r>
        <w:rPr>
          <w:rFonts w:ascii="Amiri" w:hAnsi="Amiri" w:eastAsia="Amiri" w:cs="Amiri"/>
          <w:color w:val="111111"/>
          <w:sz w:val="28"/>
          <w:sz w:val="28"/>
          <w:szCs w:val="28"/>
          <w:rtl w:val="true"/>
          <w:lang w:bidi="ar-SA"/>
        </w:rPr>
        <w:t xml:space="preserve">من فهرست الشيخ الطوسي مثال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تعدد التسمية هو أن علي بن بابويه سمّى كتابه بالشرائع ولكنه لما كان رسالة منه إلى ولده الصدوق ذكر على ألسنة الحاكين عنه بهذا العنوان حتى غلب على التسمية الأصلية وصار يعرف برسالة ابن بابويه كما نجد نظير ذلك في كثير من الحالات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نذكر ما يرجح به أحد الوجهين على الآخر نشير إلى أن أسامي مؤلفات علي بن بابويه المذكورة في فهرست الشيخ ورجال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تقرب من عشرين مؤلفاً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متطابقة حتى في الترتيب إلا في عدة 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عد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والمذكور بدله في كتاب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أحدهما تصحيف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الشيخ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مذكور في رجال النجاشي، نعم ورد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أنه 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بعضه وحشر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عد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الإخوان والالف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التسليم والتمييز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المذكور في 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 ما تقدم من أن المذكور في فهرست الشيخ كتاب الرسالة إلى ابنه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المذكور في رجال النجاشي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الرسالة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علم ما تقدم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قد يرجح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يظهر من فهرست الشيخ من مغايرة الرسالة للشرائع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تقديم قول الشيخ على قول النجاشي عند التعارض بينهما كما عليه عدد من الأعلام كالتقي المجلسي </w:t>
      </w:r>
      <w:r>
        <w:rPr>
          <w:rStyle w:val="FootnoteAnchor"/>
          <w:rtl w:val="true"/>
        </w:rPr>
        <w:footnoteReference w:id="60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 يرجح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هو عليه النجاشي من اتحاد الرسالة مع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تقديم قول النجاشي على قول الشيخ عند التعارض بينهما، كما عليه جمع آخر من الأعلام، وقد صرح به في المقام العلامة النوري فيما سبق من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الصحيح هو أنه لا يوجد ما يقتضي تقديم قول أحدهما على الآخر بصورة عامة بل لابد من ملاحظة كل مورد على حده والتحقق مما يقتضي تقديم أحد القولين على الآخر فإن لم يوجد بني على تساقطها كما هو الحال في الموارد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ترجيح الوجه الأول من جهة أن الظاهر أن الشيخ قد أخذ أسامي مؤلفات علي بن بابويه من فهرست ولده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مصادره حين تأليف الفهرست كما يظهر للمتتبع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رواها عن الشيخ المفيد والحسين بن عبيد الله عن أبي جعفر بن بابويه، وهذا هو السند الذي يروي به سائر ما ورد في فهرس ست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الصدوق أدرى من غيره بكتب أبيه ولا سيما الرسالة التي ألفها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الرسالة إلى ابنه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كان مثل قوله في ترجمة ابن خانبة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التأديب وهو كتاب يوم وليلة فهو احتمال لا شاهد له، ومن هنا لا يمكن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يمكن أن يرجح به الوجه الأول، وفي المقابل يمكن أن يرجح الوجه الثاني بالنظر إلى عدة أمور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نص غير واحد من الأعلام أن النجاشي كان ناظرا إلى فهرست الشيخ حين تأليفه له، قال السيد بحر العلوم في رجاله 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المواضع عن بعض الأصحاب وأراد به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وهذان الكتابان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الفهرست ورجال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أجل ما صنف في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لحظها النجاشي رحمه الله في تصنيفه، وكانا له من الأسباب الممدة والعلل المعدة</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 ومثله ما ذكره </w:t>
      </w:r>
    </w:p>
    <w:p>
      <w:pPr>
        <w:pStyle w:val="BookText"/>
        <w:rPr/>
      </w:pPr>
      <w:r>
        <w:rPr>
          <w:rFonts w:ascii="Amiri" w:hAnsi="Amiri" w:eastAsia="Amiri" w:cs="Amiri"/>
          <w:color w:val="111111"/>
          <w:sz w:val="28"/>
          <w:sz w:val="28"/>
          <w:szCs w:val="28"/>
          <w:rtl w:val="true"/>
          <w:lang w:bidi="ar-SA"/>
        </w:rPr>
        <w:t>الكلباسي في رسائله الرجالية</w:t>
      </w:r>
      <w:r>
        <w:rPr>
          <w:rStyle w:val="FootnoteAnchor"/>
          <w:rtl w:val="true"/>
        </w:rPr>
        <w:footnoteReference w:id="609"/>
      </w:r>
      <w:r>
        <w:rPr>
          <w:rFonts w:ascii="Amiri" w:hAnsi="Amiri" w:eastAsia="Amiri" w:cs="Amiri"/>
          <w:color w:val="111111"/>
          <w:sz w:val="28"/>
          <w:sz w:val="28"/>
          <w:szCs w:val="28"/>
          <w:rtl w:val="true"/>
          <w:lang w:bidi="ar-SA"/>
        </w:rPr>
        <w:t xml:space="preserve">، وحكي أيضاً عن السيد البروجردي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فهرست النجاشي كالذيل بالنسبة لفهرست الشيخ الطوسي</w:t>
      </w:r>
      <w:r>
        <w:rPr>
          <w:rFonts w:eastAsia="Amiri" w:cs="Amiri" w:ascii="Amiri" w:hAnsi="Amiri"/>
          <w:color w:val="111111"/>
          <w:sz w:val="28"/>
          <w:szCs w:val="28"/>
          <w:rtl w:val="true"/>
          <w:lang w:bidi="ar-SA"/>
        </w:rPr>
        <w:t xml:space="preserve">) </w:t>
      </w:r>
      <w:r>
        <w:rPr>
          <w:rStyle w:val="FootnoteAnchor"/>
          <w:rtl w:val="true"/>
        </w:rPr>
        <w:footnoteReference w:id="610"/>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أن النجاشي ذكر كتب علي بن بابويه مطابقاً في الترتيب لما أورده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مورد واحد لا يبعد وقوع الخطأ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يحتمل بموجب حساب الاحتمالات حصول ذلك بالمصادفة فلابد فيه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النجاشي أخذ تلك الأسماء من فهرست الشيخ أو أنه أخذها من مصدر آخر كان معتمداً على ما اعتمد عليه الشيخ وهو فهرست الصدوق كما سبق</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التقديرين فإن اشتمال ما ذكره النجاشي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احتمال سقوطها عن فهرست الشيخ فيما وصل إلينا من نسخه،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السيد محمد رضا الجلالي قد طبع مؤخراً معالم العلماء لابن شهرآشوب معتمداً على عدة نسخ مخطوطة قديمة وذكر </w:t>
      </w:r>
      <w:r>
        <w:rPr>
          <w:rStyle w:val="FootnoteAnchor"/>
          <w:rtl w:val="true"/>
        </w:rPr>
        <w:footnoteReference w:id="612"/>
      </w:r>
      <w:r>
        <w:rPr>
          <w:rFonts w:ascii="Amiri" w:hAnsi="Amiri" w:eastAsia="Amiri" w:cs="Amiri"/>
          <w:color w:val="111111"/>
          <w:sz w:val="28"/>
          <w:sz w:val="28"/>
          <w:szCs w:val="28"/>
          <w:rtl w:val="true"/>
          <w:lang w:bidi="ar-SA"/>
        </w:rPr>
        <w:t>أن ظاهر واحدة منها فقط هو تعدد الرسالة والشرائع وحيث أن معالم العلماء قد صرح مصنفه بأن الأصل فيه هو فهرست الشيخ وأنه بمثابة التتمة له</w:t>
      </w:r>
      <w:r>
        <w:rPr>
          <w:rStyle w:val="FootnoteAnchor"/>
          <w:rtl w:val="true"/>
        </w:rPr>
        <w:footnoteReference w:id="613"/>
      </w:r>
      <w:r>
        <w:rPr>
          <w:rFonts w:ascii="Amiri" w:hAnsi="Amiri" w:eastAsia="Amiri" w:cs="Amiri"/>
          <w:color w:val="111111"/>
          <w:sz w:val="28"/>
          <w:sz w:val="28"/>
          <w:szCs w:val="28"/>
          <w:rtl w:val="true"/>
          <w:lang w:bidi="ar-SA"/>
        </w:rPr>
        <w:t xml:space="preserve">ولا يحتمل التصحيح القياسي على رجال النجاشي في النسخ الأخرى الظاهرة في وحدة المسمى بالشرائع والرسالة فلا محالة يترجح احتمال سقوط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 الفهرست الواصلة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المناقشة في هذا البيان بأن معالم العلماء طبع أيضاً مؤخراً بتحقيق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وعدد من النسخ التي اعتمدها السيد الجلالي هي مما اعتمدها محقق طبعة آل البيت كذلك ومنها النسختان المرعشيتان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 طبعة آل البيت الإشارة إلى وجود اختلاف في نسخ الكتاب في هذا الموضع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يعرف الوجه فيما ذكره السيد الجلالي من أن ظاهر إحدى النسخ فقط هو التعدد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علي بن بابويه قد ذكر في مقدمة الرسالة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وأمرك أن تؤثر من العلوم المآثر التي هي ملاذ للدين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ومرجئة الفضل في البدوى</w:t>
      </w:r>
      <w:r>
        <w:rPr>
          <w:rStyle w:val="FootnoteAnchor"/>
          <w:rtl w:val="true"/>
        </w:rPr>
        <w:footnoteReference w:id="615"/>
      </w:r>
      <w:r>
        <w:rPr>
          <w:rFonts w:ascii="IRNazanin" w:hAnsi="IRNazanin" w:eastAsia="IRNazanin"/>
          <w:color w:val="111111"/>
          <w:sz w:val="28"/>
          <w:sz w:val="28"/>
          <w:szCs w:val="28"/>
          <w:rtl w:val="true"/>
          <w:lang w:bidi="fa-IR"/>
        </w:rPr>
        <w:t xml:space="preserve">والعقبى،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القيم، وحدود طاعته من الصلاة والزكاة والصوم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ويقوى في النظر أن يكون ذكره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اسم الكتاب كما هو طريقة القدماء في ذلك وقد وضع الشيخ آقا بزرك الطهراني طاب ثراه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قوسين عند إيراده مقطعاً من المقدمة في كتابه الذريعة </w:t>
      </w:r>
      <w:r>
        <w:rPr>
          <w:rStyle w:val="FootnoteAnchor"/>
          <w:rtl w:val="true"/>
        </w:rPr>
        <w:footnoteReference w:id="616"/>
      </w:r>
      <w:r>
        <w:rPr>
          <w:rFonts w:ascii="Amiri" w:hAnsi="Amiri" w:eastAsia="Amiri" w:cs="Amiri"/>
          <w:color w:val="111111"/>
          <w:sz w:val="28"/>
          <w:sz w:val="28"/>
          <w:szCs w:val="28"/>
          <w:rtl w:val="true"/>
          <w:lang w:bidi="ar-SA"/>
        </w:rPr>
        <w:t>إشارة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العنوان الموجود على نسخة الأصل عندنا في التحقيق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رسالة ابن بابويه القمي في شرائع الإسلام ويلوح منه أنه جمع بين الاسمين أي الرسالة والشرائع، ولكن اللافت للانتباه أنه 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مصدر من المصادر في اسم هذا الكتاب بل المذكور في الجميع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والملاحظ أنه كان لبعض المتقدمين كتباً بهذا الاسم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كيونس بن عبد الرحمن وعلي بن إبراهيم القمي، فمن القريب جداً أن علي بن بابويه كان قد سمّى رسالته إلى ابنه بالشرائع أيضاً، وليس في العنوان الموجود على نسخة الأصل دلالة ظاهرة على تسمية الكتاب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شرائع الإسلام لابن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دالاً على ذلك،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ابن بابويه القمي في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نظير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العلامة الحلي في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يدل على موضوع الكتاب لا على اسمه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ما تقدم يترجح في النظر أن تكون رسالة ابن بابويه إلى ابنه هي كتاب الشرائع المعدود في مؤلفاته، كما يترجح كون عنوانه هو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فهرست الشيخ ورجال النجاشي وكلام الشهيد الأول في الذكرى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ربما يوحي به ما على نسخة الأصل المعتمدة في التحقيق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آثرنا ونحن نعيد نشر هذه الرسالة مع بعض الإضافات والتصحيحات </w:t>
      </w:r>
    </w:p>
    <w:p>
      <w:pPr>
        <w:pStyle w:val="BookText"/>
        <w:rPr/>
      </w:pPr>
      <w:r>
        <w:rPr>
          <w:rFonts w:ascii="Amiri" w:hAnsi="Amiri" w:eastAsia="Amiri" w:cs="Amiri"/>
          <w:color w:val="111111"/>
          <w:sz w:val="28"/>
          <w:sz w:val="28"/>
          <w:szCs w:val="28"/>
          <w:rtl w:val="true"/>
          <w:lang w:bidi="ar-SA"/>
        </w:rPr>
        <w:t xml:space="preserve">أن تنشرها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نشرناها لأول مرة في المجلة باسم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هنا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مر أن الصدوق علل قد نقل بعض الموارد عن وصية والده </w:t>
      </w:r>
      <w:r>
        <w:rPr>
          <w:rStyle w:val="FootnoteAnchor"/>
          <w:rtl w:val="true"/>
        </w:rPr>
        <w:footnoteReference w:id="617"/>
      </w:r>
      <w:r>
        <w:rPr>
          <w:rFonts w:ascii="Amiri" w:hAnsi="Amiri" w:eastAsia="Amiri" w:cs="Amiri"/>
          <w:color w:val="111111"/>
          <w:sz w:val="28"/>
          <w:sz w:val="28"/>
          <w:szCs w:val="28"/>
          <w:rtl w:val="true"/>
          <w:lang w:bidi="ar-SA"/>
        </w:rPr>
        <w:t>والمراد بها هي الرسالة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 عبر عنها بالوصية لما ورد في خطبة الرسالة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وأوصيك بما أوصى به إبراهيم بنيه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لكم الدين فلا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لاتحاد الوصية والرسالة أن السيد ابن طاووس نقل قال في بعض كتبه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جماعة ممن تأخر زمانهم عن ا لقائه قد أوصوا برسائل إلى أولادهم، دلوهم بها على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أحمد بن محمد الصفواني، ومنهم علي بن الحسين بن بابويه</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تثل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أوصوا برسائل إلى أولادهم ظاهر في أن الوصية والرسالة 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أن المراد بالوصية هو الرسالة أنه لم يذكر أحد ممن تعرض لمؤلفات ابن بابويه أن له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الصدوق نقل تعامل معها تعامل رسالة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وزعها على الأبواب الفقهية المناسبة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الموارد ما قاله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رجلاً أعطته امرأته مالاً، وقالت اصنع به ما شئت فأراد الرجل أن يشتري جارية يطؤها لما جاز له، لأنها أرادت مسرته فليس له أن يعمل ما ساءها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الذي نقله عن الوصية هو مفاد رواية الحسين بن المنذر نفسها التي نقلها في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إليّ امرأتي مالا أعملُ به ما شئت فأشتري من مالها الجارية أطؤها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دفعت إليك لتقر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عينها</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وأنت تريد أن تسخن عينها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 من جميع تلك القرائن في الدلالة على المطلوب ما نقله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 عن الوصية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وصيته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يا بني أن أصل الخمر من الكرم، إذا أصابته النار أو غلا من غير أن تصيبه النار فيصير أسفله أعلاه، فهو خمر لا يحل شربه، إلا أن يذهب ثلثاه ويبقى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نشّ من غير أن تصيبه النار، فدعه حتى يصير خلا من ذاته، من غير أن تُلقي فيه ملحا أو غيره حتى يتحول خلا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هذا الذي نقله عن الوصية نقل نحوه في الفقيه، لكن نسبه إلى الرسالة، وهذا كالصريح في كون الرسالة هي نفسها الوصية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أبي رضي الله عنه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أصل الخمر من الكرم إذا أصابته النار أوغلا من غير أن تمسه النار فيصير أسفله أعلاه فهو خمر ولا يحل شربه </w:t>
      </w:r>
    </w:p>
    <w:p>
      <w:pPr>
        <w:pStyle w:val="BookText"/>
        <w:rPr/>
      </w:pPr>
      <w:r>
        <w:rPr>
          <w:rFonts w:ascii="Amiri" w:hAnsi="Amiri" w:eastAsia="Amiri" w:cs="Amiri"/>
          <w:color w:val="111111"/>
          <w:sz w:val="28"/>
          <w:sz w:val="28"/>
          <w:szCs w:val="28"/>
          <w:rtl w:val="true"/>
          <w:lang w:bidi="ar-SA"/>
        </w:rPr>
        <w:t>إلا أن يذهب ثلثاه ويبقى ثلثه، فإن نشً من غير أن تمسه النار فدعه حتى يصير خلا من ذاته من غير أن تلقي فيه شيئاًً</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أنه وصل بنا الكلام إلى معالجة نقطة مهمة أثارها العلامة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المستدرك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لهذه الرسالة في هذه الأعصار وما قبلها إلى عصر الشهيد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ضاع كما ضاع – لقلة الهمم – سائر مؤلفاته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في المقابل سنحاول التعرض لذكر العلماء الذين صرحوا بأن لديهم نسخة من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أطلعوا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يظهر ذلك منهم من عصر الشهيد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كانت رسالة علي بن الحسين بن بابويه عند قدماء الأصحاب وعند 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مهدي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أسد الله الكاظمي من المتأخرين</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الفاضل الهندي فلم أعثر على تصريح له بذلك، وأما ما نقله عن رسالة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أيضاً أنه نقل نصاً لم ينقله من سبقه، ففي جميع ما تابعته من نقله عن الرسالة سبق أن نقله غيره كالصدوق أو المحقق الحلي، أو العلامة الحلي، أو الشهيد، وفي كثير من تلك الموارد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حكي عن علي بن بابويه</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وفي موارد تعارض النقل عن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وقوع الحيَّة في الإناء حيث اختلف ما نقله </w:t>
      </w:r>
    </w:p>
    <w:p>
      <w:pPr>
        <w:pStyle w:val="BookText"/>
        <w:rPr/>
      </w:pPr>
      <w:r>
        <w:rPr>
          <w:rFonts w:ascii="Amiri" w:hAnsi="Amiri" w:eastAsia="Amiri" w:cs="Amiri"/>
          <w:color w:val="111111"/>
          <w:sz w:val="28"/>
          <w:sz w:val="28"/>
          <w:szCs w:val="28"/>
          <w:rtl w:val="true"/>
          <w:lang w:bidi="ar-SA"/>
        </w:rPr>
        <w:t xml:space="preserve">العلامة عما نقله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وتعجب من ذلك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يتصدّ صاحب كشف اللثام لترجيح أحد النقلين مما يكشف عن عدم اطلاعه على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المعروف عنه أن مكتبته كانت زاخرة بالكتب والمخطوطات </w:t>
      </w:r>
      <w:r>
        <w:rPr>
          <w:rStyle w:val="FootnoteAnchor"/>
          <w:rtl w:val="true"/>
        </w:rPr>
        <w:footnoteReference w:id="628"/>
      </w:r>
      <w:r>
        <w:rPr>
          <w:rFonts w:ascii="Amiri" w:hAnsi="Amiri" w:eastAsia="Amiri" w:cs="Amiri"/>
          <w:color w:val="111111"/>
          <w:sz w:val="28"/>
          <w:sz w:val="28"/>
          <w:szCs w:val="28"/>
          <w:rtl w:val="true"/>
          <w:lang w:bidi="ar-SA"/>
        </w:rPr>
        <w:t>والملاحظ أنه في كشف اللثام لم ينقل غالباً عن كتب العلماء بواسطة، بل يظهر منه النقل مباشرة من كتب الأصحاب، وهذا يؤكد أن له مكتبة غنية بالمصادر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السيد بحر العلوم فأيضاً لم يصرح أن لديه نسخة من الرسالة لكنه نقل في مصابيح الأحكام موردين يظهر منهما أن لديه نسخة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يشترط أحد منهم صحة الصوم بغسل المسّ إلا الشيخ علي بن بابويه في رسالته فإنه اوجب قضاء الصوم والصلاة على ناسي غسل المس ولم أجد أحداً نقل عنه ذلك ولعل في النسخة وهماً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الرسالة مطابقة للفقه الرضوي في حكم الصلاة دون الصوم فإنه غير مذكور فيه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أجد أحدا نقل عنه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نقل عن الرسالة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كذلك بعد التتبع التام لم نعثر على من نقل عن الرسالة ذلك سوى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اعترف بهذا صاحب الجواهر أيضاً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وجدت ماءً ولم تعلم فيه نجاسة فتوضأ منه واشرب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بأن تتوضأ منه وتشرب</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الذي نقله عن الرسالة أيضاً لم نجد من نقله عنها سواه، وقد ذكر أيضاً الباب المنقول عنه وهو باب الأواني والأواعي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يؤكد اطلاعه على الرسالة لأن عادة من ينقل بواسطة أحد أن لا يعرف الباب المنقول عنه إلا إذا ذكره الناقل الأول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اللافت للانتباه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الفذ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مفتاح الكرامة لم يطلع على الرسالة بحسب الظاهر لأن كلّ ما نقله عن الرسالة كان بواسطة الغير</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الشيخ أسد الله التستري الكاظمي فقد صرّح هو بنفسه في مقابيس الأنوار بأنه يمتلك قطعة من أول الرسالة،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 كتب كثيرة منها الشرائع المعبر عنها ظاهراً بالرسالة وهي رسالته إلى ابنه والموجود عندي قطعة من أولها ويظهر من الشيخ والسروي أنها غير الشرائع</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ونضيف إلى ما ذكره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محمد بن علي الجباعي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الأعلى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نسخة من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انفرد بالنقل عن الرسالة في عدَّة موارد نقلنا عنه في تحقيق الرسالة بعضها والبعض الآخر سننقله في الملحق</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حسن نجل الشهيد الثاني قد صرّح بامتلاكه نسخة من الرسالة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معقّباً على كلامٍ للمحقق والعلامة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الاختلاف الذي وقع في النقل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أن النسخة التي عندنا للرسالة خالية من كلا النقلين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وقعت فيها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 منها للحية دلاء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النسخة قديمة وعليها آثار التصحيح والمعارضة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الأعلام الذين اقتنوا نسختنا</w:t>
      </w:r>
      <w:r>
        <w:rPr>
          <w:rStyle w:val="FootnoteAnchor"/>
          <w:rtl w:val="true"/>
        </w:rPr>
        <w:footnoteReference w:id="634"/>
      </w:r>
      <w:r>
        <w:rPr>
          <w:rFonts w:ascii="Amiri" w:hAnsi="Amiri" w:eastAsia="Amiri" w:cs="Amiri"/>
          <w:color w:val="111111"/>
          <w:sz w:val="28"/>
          <w:sz w:val="28"/>
          <w:szCs w:val="28"/>
          <w:rtl w:val="true"/>
          <w:lang w:bidi="ar-SA"/>
        </w:rPr>
        <w:t xml:space="preserve">أو اطلعوا عليها ابتداءً من السيد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ببركته نجا هذا الأثر المهم من الضياع ثم السيد محمد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بعده الشيخ محمد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علي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اليوم وبحمد الله تعالى بمتناول يد القارئ الكريم</w:t>
      </w:r>
      <w:r>
        <w:rPr>
          <w:rFonts w:eastAsia="Amiri" w:cs="Amiri" w:ascii="Amiri" w:hAnsi="Amiri"/>
          <w:color w:val="111111"/>
          <w:sz w:val="28"/>
          <w:szCs w:val="28"/>
          <w:rtl w:val="true"/>
          <w:lang w:bidi="ar-SA"/>
        </w:rPr>
        <w:t xml:space="preserve">. </w:t>
      </w:r>
      <w:bookmarkStart w:id="767" w:name="pg9067_79990"/>
    </w:p>
    <w:p>
      <w:pPr>
        <w:pStyle w:val="Heading5"/>
        <w:numPr>
          <w:ilvl w:val="4"/>
          <w:numId w:val="1"/>
        </w:numPr>
        <w:rPr/>
      </w:pPr>
      <w:bookmarkStart w:id="768" w:name="__RefHeading___Toc2465448_2870459653"/>
      <w:bookmarkStart w:id="769" w:name="_Toc296"/>
      <w:bookmarkEnd w:id="767"/>
      <w:bookmarkEnd w:id="768"/>
      <w:r>
        <w:rPr>
          <w:rtl w:val="true"/>
        </w:rPr>
        <w:t>مميزات الرسالة</w:t>
      </w:r>
      <w:bookmarkEnd w:id="769"/>
    </w:p>
    <w:p>
      <w:pPr>
        <w:pStyle w:val="Heading6"/>
        <w:numPr>
          <w:ilvl w:val="5"/>
          <w:numId w:val="1"/>
        </w:numPr>
        <w:rPr/>
      </w:pPr>
      <w:bookmarkStart w:id="770" w:name="__RefHeading___Toc2465450_2870459653"/>
      <w:bookmarkStart w:id="771" w:name="_Toc297"/>
      <w:bookmarkEnd w:id="770"/>
      <w:r>
        <w:rPr>
          <w:rtl w:val="true"/>
        </w:rPr>
        <w:t>المطلب الثاني</w:t>
      </w:r>
      <w:r>
        <w:rPr>
          <w:rtl w:val="true"/>
        </w:rPr>
        <w:t xml:space="preserve">: </w:t>
      </w:r>
      <w:r>
        <w:rPr>
          <w:rtl w:val="true"/>
        </w:rPr>
        <w:t>في أهمية الرسالة</w:t>
      </w:r>
      <w:bookmarkEnd w:id="771"/>
    </w:p>
    <w:p>
      <w:pPr>
        <w:pStyle w:val="BookText"/>
        <w:rPr/>
      </w:pPr>
      <w:r>
        <w:rPr>
          <w:rFonts w:ascii="Amiri" w:hAnsi="Amiri" w:eastAsia="Amiri" w:cs="Amiri"/>
          <w:color w:val="111111"/>
          <w:sz w:val="28"/>
          <w:sz w:val="28"/>
          <w:szCs w:val="28"/>
          <w:rtl w:val="true"/>
          <w:lang w:bidi="ar-SA"/>
        </w:rPr>
        <w:t>وتتمثل تلك الأهمية التي أولاها العلماء لهذا الأثر النفيس والقيم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الفقهاء مع فتاوى الفقيه علي بن بابويه معاملة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قد صرح بها العديد من فقهائنا</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وعلماؤنا يعدون فتاواه من جملة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أكثر الأصحاب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أبيه رضي الله عنهما منزلة النص المنقول والخبر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لايفتي ابن بابويه في المسائل إلا بمنطوقات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رسائل الكلباسي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وفتوى الشيخ في النهاية التي قيل إنها متون أخبار كرسالة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الآخوند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لاسيما مثل الصدوقين الغالب إفتاؤهما بمتون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اللمعات النيرة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ونحوه ما ذكره الشيخ محمد حسين الحائري في الفصول الغروية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الشهيد الأول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 الأصحاب يتمسكون بما يجدونه في شرائع الشيخ أبي الحسن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إِعواز النصوص لحسن ظنهم به، وأن فتواه كروايته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ولكون هذه الحقيقة بالغة الأهمية حاولنا إثباتها من كلمات المتقدمين وجمع الشواهد لذلك، ومن أهم تلك الشواهد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الشيخ علي بن بابويه نفسه في مقدمة الرسالة إلى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أديتها إليك عن أئمة الهدى، مؤثرا ما يجب استعماله، وحاذفا من الإسناد ما يثقل حمله ويكثر بالتقصاص من الكتاب طرقه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رسالة والده أيضاً وفق هذه الحقيقة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عدّه الرسالة من الكتب المعتمدة في تأليف الفقيه</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 مستخرج من كتب مشهورة عليها المعوّل وإليها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جملة من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ينقل عن كتب غير موصوفة بهذه الأوصاف كالكتب التي هجرها قدماؤنا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صحة جميع ما في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عدَّ منها كتاب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استثناه منه هو وشيخه مذكور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أكثر من النقل عنها في كتبه كالفقيه والمقنع والهداية والعلل وثواب الأعمال 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ذلك جليا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ينقل في بعض الأبواب إلا عن الرسالة، وهي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جفاف بعض الوضوء قبل تمامه</w:t>
      </w:r>
      <w:r>
        <w:rPr>
          <w:rStyle w:val="FootnoteAnchor"/>
          <w:rtl w:val="true"/>
        </w:rPr>
        <w:footnoteReference w:id="639"/>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أفضل النوافل</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على المتمتع إذا وجد ثمن الهدي ولم يجد الهدي</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الحكم في جميع الدعاوى</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ذهب إلى أبعد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فتصرّف في بعض الروايات وجعل الأصل ما ذكره والده في الرسالة، كما في باب ما يصلّى فيه وما لا يصلّى من الثياب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 عن داود الصرمي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الخز يُغش بوبر الأرانب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رخصة الآخذ بها مأجور، ورادها مأثوم، والأصل ما ذكره أبي في رسالته إليّ، وصلّ في الخز ما لم يكن مغشوشاً بوبر الأرانب</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فلاحظ كيف أنه نقل مكاتبة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جواز الصلاة في الخز المغشوش بوبر الأرانب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حملها على كونها رخصة ببركة رسالة أبيه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دلالتها على الرخصة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والأصل ما ذكره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الحكم الأولي هو المنع من الصلاة في الخز المغشوش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في ذلك لمصلحة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وقريب منه ما قاله بعد رواية سماعة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سأل فيها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لحوم السباع من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عن رسالة أبيه ما يتنافى مع ظاهر مكاتبة</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وقد قال الوحيد البهبهاني في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ولأنها لا يؤمن من أن يطلع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المكاتبة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يرضى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بالاطلاع عليها، ولذا لا تكاد تخلو مكاتبة عن حزازة، كما يشهد به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مدارك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بعد كلام أبيه بروايتين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شعر ووبر كل ما أكلتَ لحمه وإن كان عليك غيره من سنجاب أو سمور أو فنك وأردت الصلاة فانزعه، وقد روي في ذلك رخص</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يحيى بن أبي عمران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السنجاب والفنك والخز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أحب أن لا تجيبني بالتقية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بخطه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اعترف بهذه الحقيقة غير واحد من العلماء، منهم السيد حسن الصدر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فالصدوق ذكر رسالة أبيه في الكتب التي إليها المرجع وعليها المعوّل، وبلغ من شدة الاعتماد عليها بحيث قدّم بعض مضامينها على الأخبار المعتمدة، وليس هذا إلا أنها مأخوذة من الأخبار المعتمدة الصحيحة لديه ولدى والده</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نقل عن رسالة أبيه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من ترك ذا قرابة من أهل </w:t>
      </w:r>
    </w:p>
    <w:p>
      <w:pPr>
        <w:pStyle w:val="BookText"/>
        <w:rPr/>
      </w:pPr>
      <w:r>
        <w:rPr>
          <w:rFonts w:ascii="Amiri" w:hAnsi="Amiri" w:eastAsia="Amiri" w:cs="Amiri"/>
          <w:color w:val="111111"/>
          <w:sz w:val="28"/>
          <w:sz w:val="28"/>
          <w:szCs w:val="28"/>
          <w:rtl w:val="true"/>
          <w:lang w:bidi="ar-SA"/>
        </w:rPr>
        <w:t xml:space="preserve">الذمة، وذا قرابة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قرب نسبه أو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المسلم أولى بالميراث من الذمي، فلو كان الذمي ابناً وكان المسلم أخا أو عما أو ابن أخ أو ابن عم أو أبعد من ذلك، لكان المسلم أولى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ما نقله عن الرسالة موجود في روايات عدّة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ومع ذلك اكتفى بالنقل عن الرسالة، وليس ذلك إلا اعتقادا منه أنها تحقق نفس الغرض الموجود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الهداية فقد تعامل الصدوق مع الرسالة بنحو آخر فهو لا يجد ضيراً في نسبة رواية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أخرى لأبيه في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بإخراج الفطرة في أول يوم من شهر رمضان إلى آخره، وهي زكاة إلى أن تصلي العيد، فإن أخرجتها بعد الصلاة فهي صدقة، وأفضل وقتها آخر يوم من شهر رمضان</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أورد الرواية هذه نفسها بعين ألفاظها في الفقيه ونسبها إلى والده في الرسالة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العرض لطريقة تعامل الصدوق مع رسالة أبيه يظهر لك النظر فيما أفاده جملة من العلماء كالشهيدين</w:t>
      </w:r>
      <w:r>
        <w:rPr>
          <w:rStyle w:val="FootnoteAnchor"/>
          <w:rtl w:val="true"/>
        </w:rPr>
        <w:footnoteReference w:id="652"/>
      </w:r>
      <w:r>
        <w:rPr>
          <w:rFonts w:ascii="Amiri" w:hAnsi="Amiri" w:eastAsia="Amiri" w:cs="Amiri"/>
          <w:color w:val="111111"/>
          <w:sz w:val="28"/>
          <w:sz w:val="28"/>
          <w:szCs w:val="28"/>
          <w:rtl w:val="true"/>
          <w:lang w:bidi="ar-SA"/>
        </w:rPr>
        <w:t>والسيد حسن الصدر</w:t>
      </w:r>
      <w:r>
        <w:rPr>
          <w:rStyle w:val="FootnoteAnchor"/>
          <w:rtl w:val="true"/>
        </w:rPr>
        <w:footnoteReference w:id="653"/>
      </w:r>
      <w:r>
        <w:rPr>
          <w:rFonts w:ascii="Amiri" w:hAnsi="Amiri" w:eastAsia="Amiri" w:cs="Amiri"/>
          <w:color w:val="111111"/>
          <w:sz w:val="28"/>
          <w:sz w:val="28"/>
          <w:szCs w:val="28"/>
          <w:rtl w:val="true"/>
          <w:lang w:bidi="ar-SA"/>
        </w:rPr>
        <w:t xml:space="preserve">وغيرهم من أن الأصحاب </w:t>
      </w:r>
    </w:p>
    <w:p>
      <w:pPr>
        <w:pStyle w:val="BookText"/>
        <w:rPr/>
      </w:pPr>
      <w:r>
        <w:rPr>
          <w:rFonts w:ascii="Amiri" w:hAnsi="Amiri" w:eastAsia="Amiri" w:cs="Amiri"/>
          <w:color w:val="111111"/>
          <w:sz w:val="28"/>
          <w:sz w:val="28"/>
          <w:szCs w:val="28"/>
          <w:rtl w:val="true"/>
          <w:lang w:bidi="ar-SA"/>
        </w:rPr>
        <w:t>كانوا يرجعون إلى الرسالة عند عدم النصّ، فقد ظهر لك بما تقدم أن الصدوق لجأ إلى الرسالة مع وجود الروايات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نظرهم الشريف إلى أمثال الشيخ المفيد والسيد المرتضى والشيخ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بعد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لم يتعامل الصدوق مع ما ينقله عن الرسالة إلا تعامل النصوص المعتبرة كما صرح بذلك جملة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ولننتقل إلى نموذج آخر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لنؤكد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يظهر منهما أيضاً الاعتماد على الرسالة فقد نقلا عنها في ثلاثة مواضع من المقنعة – وتبعاً له التهذيب –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والسنة التوجّه بسبع تكبيرات في سبع صلوات</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ذلك علي بن الحسين ابن بابويه ولمأجد به خبرا مسنداً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مع ذلك أفتى على طبقه في المبسوط</w:t>
      </w:r>
      <w:r>
        <w:rPr>
          <w:rStyle w:val="FootnoteAnchor"/>
          <w:rtl w:val="true"/>
        </w:rPr>
        <w:footnoteReference w:id="656"/>
      </w:r>
      <w:r>
        <w:rPr>
          <w:rFonts w:ascii="Amiri" w:hAnsi="Amiri" w:eastAsia="Amiri" w:cs="Amiri"/>
          <w:color w:val="111111"/>
          <w:sz w:val="28"/>
          <w:sz w:val="28"/>
          <w:szCs w:val="28"/>
          <w:rtl w:val="true"/>
          <w:lang w:bidi="ar-SA"/>
        </w:rPr>
        <w:t>، والنهاية</w:t>
      </w:r>
      <w:r>
        <w:rPr>
          <w:rStyle w:val="FootnoteAnchor"/>
          <w:rtl w:val="true"/>
        </w:rPr>
        <w:footnoteReference w:id="657"/>
      </w:r>
      <w:r>
        <w:rPr>
          <w:rFonts w:ascii="IRNazanin" w:hAnsi="IRNazanin" w:eastAsia="IRNazanin"/>
          <w:color w:val="111111"/>
          <w:sz w:val="28"/>
          <w:sz w:val="28"/>
          <w:szCs w:val="28"/>
          <w:rtl w:val="true"/>
          <w:lang w:bidi="fa-IR"/>
        </w:rPr>
        <w:t>، ومصباح المتهجد</w:t>
      </w:r>
      <w:r>
        <w:rPr>
          <w:rStyle w:val="FootnoteAnchor"/>
          <w:rtl w:val="true"/>
        </w:rPr>
        <w:footnoteReference w:id="658"/>
      </w:r>
      <w:r>
        <w:rPr>
          <w:rFonts w:ascii="Amiri" w:hAnsi="Amiri" w:eastAsia="Amiri" w:cs="Amiri"/>
          <w:color w:val="111111"/>
          <w:sz w:val="28"/>
          <w:sz w:val="28"/>
          <w:szCs w:val="28"/>
          <w:rtl w:val="true"/>
          <w:lang w:bidi="ar-SA"/>
        </w:rPr>
        <w:t>، وكذا ابن إدريس في السرائر</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لأحد أن يصلي وعليه قباء مشدود إلا أن يكون في الحرب فلا يتمكن من أن يحله فيجوز ذلك للاضطرار</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ذلك علي بن الحسين ابن بابويه، وسمعناها من الشيوخ مذاكرة ولم أعرف به خبرا مسندا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فقد أفتى على وفقه السيد المرتضى</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والشيخ الطوسي في المبسوط</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والنهاية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َنفَّر حمام الحرم فعليه دم شاة، فإن لم ترجع فعليه لكل طائر دم شاة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ذلك علي بن الحسين ابن بابويه في رسالته ولم أجد به حديثاً مسندا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وأفتى على وفقه في المبسوط</w:t>
      </w:r>
      <w:r>
        <w:rPr>
          <w:rStyle w:val="FootnoteAnchor"/>
          <w:rtl w:val="true"/>
        </w:rPr>
        <w:footnoteReference w:id="667"/>
      </w:r>
      <w:r>
        <w:rPr>
          <w:rFonts w:ascii="Amiri" w:hAnsi="Amiri" w:eastAsia="Amiri" w:cs="Amiri"/>
          <w:color w:val="111111"/>
          <w:sz w:val="28"/>
          <w:sz w:val="28"/>
          <w:szCs w:val="28"/>
          <w:rtl w:val="true"/>
          <w:lang w:bidi="ar-SA"/>
        </w:rPr>
        <w:t>، والنهاية</w:t>
      </w:r>
      <w:r>
        <w:rPr>
          <w:rStyle w:val="FootnoteAnchor"/>
          <w:rtl w:val="true"/>
        </w:rPr>
        <w:footnoteReference w:id="668"/>
      </w:r>
      <w:r>
        <w:rPr>
          <w:rFonts w:ascii="Amiri" w:hAnsi="Amiri" w:eastAsia="Amiri" w:cs="Amiri"/>
          <w:color w:val="111111"/>
          <w:sz w:val="28"/>
          <w:sz w:val="28"/>
          <w:szCs w:val="28"/>
          <w:rtl w:val="true"/>
          <w:lang w:bidi="ar-SA"/>
        </w:rPr>
        <w:t>، وكذا ابن إدريس في السرائر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الفاضل الآبي</w:t>
      </w:r>
      <w:r>
        <w:rPr>
          <w:rStyle w:val="FootnoteAnchor"/>
          <w:rtl w:val="true"/>
        </w:rPr>
        <w:footnoteReference w:id="670"/>
      </w:r>
      <w:r>
        <w:rPr>
          <w:rFonts w:ascii="Amiri" w:hAnsi="Amiri" w:eastAsia="Amiri" w:cs="Amiri"/>
          <w:color w:val="111111"/>
          <w:sz w:val="28"/>
          <w:sz w:val="28"/>
          <w:szCs w:val="28"/>
          <w:rtl w:val="true"/>
          <w:lang w:bidi="ar-SA"/>
        </w:rPr>
        <w:t xml:space="preserve">– بعد قول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اذا نفّر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الشيخان وأتباعهما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الشيخ الطوسي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اشتهر ذلك بين الأصحاب حتى كاد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كيف تحوّلت فتوى الفقيه علي بن بابويه إلى شبه إجماع، وأفتى بها أمثال الشيخ المفيد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أفتى بها ابن إدريس</w:t>
      </w:r>
      <w:r>
        <w:rPr>
          <w:rStyle w:val="FootnoteAnchor"/>
          <w:rtl w:val="true"/>
        </w:rPr>
        <w:footnoteReference w:id="672"/>
      </w:r>
      <w:r>
        <w:rPr>
          <w:rFonts w:ascii="Amiri" w:hAnsi="Amiri" w:eastAsia="Amiri" w:cs="Amiri"/>
          <w:color w:val="111111"/>
          <w:sz w:val="28"/>
          <w:sz w:val="28"/>
          <w:szCs w:val="28"/>
          <w:rtl w:val="true"/>
          <w:lang w:bidi="ar-SA"/>
        </w:rPr>
        <w:t>الذي عُرف عنه أنه لا يعمل بخبر الآحاد مع التفاتهم جميعا أنه لم يُعثر على خبر مُسندٍ فيها، أليس هذا اعترافاً عملياً منهم بأن ما يفتي به علي بن بابويه هو مضامين أخبارٍ معتبرة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يُضاف بعض الموارد ، كما في قضاء السجدة المنسية من ركعة، 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المفيد إلى قضاء السجدة المنسية من ركعة إلى أن يركع في الأخرى مع سجدات تلك الركعة، ومثله ذكر علي بن بابويه ولم نقف لهما على مستند</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في مسألة تقديم الرجل اليسرى قبل اليمنى عند الدخول إلى بيت الخلاء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في هذا الوجه وتبعهما علق المجلسي الأصحاب لحسن الظن بهما أنهما أخذاه من خبر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فقد ورد للسيد المرتضى سؤالان مهمان يكشفان عن جانب من الحقيقة حول مدى تأثير رسالة علي بن بابويه في المجتمع الإسلامي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يشكلُ علينا من الفقه نأخذه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علي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عبيد الله الحلبي</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أجاب السيد المرتضى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كتاب ابن بابويه وإلى كتاب الحلبي أولى من الرجوع إلى كتاب الشلمغاني على كل حالٍٍٍٍٍٍ</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لعالم أو متمكن من العلم أو عامي الرجوع في تعرف أحكام ما يجب عليه العمل به من التكليف الشرعي إلى كتاب 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كتاب رواية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كتاب أصل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يجوز ذلك؟</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جائزاً فما الوجه فيه ؟ مع أنه غير مثمر 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ليقين بل الفقهاء العاملون بأخبار الآحاد لا يجيزون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جائز فما الغرض مِنْ وضع هذه الكتب؟ وهي لا تجدي نفعاً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الوجه فيما علمناه من رجوع عامة طائفتنا على قديم الدهر وحديثه إلى العمل بهذه الكتب وارتفاع النكير من العلماء منا على العامل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نجدهم يدرسونها مطلقة من جهة خلية من تقية على ترك العمل بمتضمنها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يكاد يعلم من قصدهم إيجاب التدين بها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السؤال يستوقفنا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من أهل العلم وهذا واضح من خلال معرفته بأهمية تلك الكتب، وتقسيمه للفقهاء بين عامل بأخبار الآحاد وغيرهم، واطلاعه على دراسة العلماء لتلك الكتب إلى آخر ما ذكر في سؤاله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الرسالة مع مقنعة المفيد والكافي للكليني، وأصل عبيد الله الحلبي له قيمته العلمية لأنه جاء بعد حوالي قرن من الزمان</w:t>
      </w:r>
      <w:r>
        <w:rPr>
          <w:rStyle w:val="FootnoteAnchor"/>
          <w:rtl w:val="true"/>
        </w:rPr>
        <w:footnoteReference w:id="679"/>
      </w:r>
      <w:r>
        <w:rPr>
          <w:rFonts w:ascii="Amiri" w:hAnsi="Amiri" w:eastAsia="Amiri" w:cs="Amiri"/>
          <w:color w:val="111111"/>
          <w:sz w:val="28"/>
          <w:sz w:val="28"/>
          <w:szCs w:val="28"/>
          <w:rtl w:val="true"/>
          <w:lang w:bidi="ar-SA"/>
        </w:rPr>
        <w:t>واعتراف السيد المرتضى بذلك شاهد صدق على تميز هذا الأثر النفيس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وثيقة اعترف بها السائل بعمل عامة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قديم الدهر وحديثه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نكير من أحد من العلماء بل يكاد يعلم منهم وجوب التدين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الاعتراف في غاية الأهمية للكشف عن قيمة رسالة علي بن بابويه وتأثيرها في المجمتع الديني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العرض ينتهي الأمر الأول من المطلب الثاني وهو تعامل الفقهاء مع الرسالة تعامل النصوص الروائية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رسالة علي بن بابويه تعد أقدم نص 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الإمامية وهذا الأمر له أهميته البالغة لدى أهل الفن، فمن جهة تدخل فتاوى القدماء ضمن أفراد </w:t>
      </w:r>
    </w:p>
    <w:p>
      <w:pPr>
        <w:pStyle w:val="BookText"/>
        <w:rPr/>
      </w:pPr>
      <w:r>
        <w:rPr>
          <w:rFonts w:ascii="Amiri" w:hAnsi="Amiri" w:eastAsia="Amiri" w:cs="Amiri"/>
          <w:color w:val="111111"/>
          <w:sz w:val="28"/>
          <w:sz w:val="28"/>
          <w:szCs w:val="28"/>
          <w:rtl w:val="true"/>
          <w:lang w:bidi="ar-SA"/>
        </w:rPr>
        <w:t>الشهرة والإجماع، ومن جهة أخرى لها أهميتها في استكشاف الحكم الشرعي في بعض مراحله الزمنية فالفقهاء كثيرا ما يعوّلون على ذلك ويقولون لو كان هذا واجبا أو حراما لانعكس ذلك في الروايات وفتاوى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الوجوب ثابتاً لأصبح من الواضحات، فكيف خلت منه فتاوى القدماء</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يمكننا ببركة فتاوى القدماء استكشاف بعض ما يسقط من الروايات، فمثلا في مسألة غسل الإناء من ولوغ الكلب قال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واغسله بالتراب أول مرة ثم بالماء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 التهذيبين وموضع آخر من الخلاف من ذكر لفظ مرتين لا يقدح في الاحتجاج بإثباته بعد كمال الوضوح بثبوته من ذكره في فتاوى القدماء، لاسيما مثل الصدوقين الغالب إفتاؤهما بمتون الأخبار</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عن الفضل بن شاذان كثير من الفتاوى في الفقيه، والكافي، والتهذيب، والاستبصار، وغيرها فلماذا لا يكون الفضل أولى في هذه المنزلة؟ وهو متقدم طبقةً على علي بن بابويه وقدره أشهر من أن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النجاشي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نقل الفقهاء كالصدوق</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كما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4/277</w:t>
      </w:r>
      <w:r>
        <w:rPr>
          <w:rFonts w:ascii="Amiri" w:hAnsi="Amiri" w:eastAsia="Amiri" w:cs="Amiri"/>
          <w:color w:val="111111"/>
          <w:sz w:val="28"/>
          <w:sz w:val="28"/>
          <w:szCs w:val="28"/>
          <w:rtl w:val="true"/>
          <w:lang w:bidi="ar-SA"/>
        </w:rPr>
        <w:t>، باب ميراث الإخوة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وغلط الفضل بن شاذان في هذه المسالة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والشيخ الطوسي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الفضل بن شاذان وخطّؤوه في فتواه</w:t>
      </w:r>
      <w:r>
        <w:rPr>
          <w:rFonts w:eastAsia="Amiri" w:cs="Amiri" w:ascii="Amiri" w:hAnsi="Amiri"/>
          <w:color w:val="111111"/>
          <w:sz w:val="28"/>
          <w:szCs w:val="28"/>
          <w:rtl w:val="true"/>
          <w:lang w:bidi="ar-SA"/>
        </w:rPr>
        <w:t>.</w:t>
      </w:r>
      <w:bookmarkStart w:id="772" w:name="pg9067_80012"/>
    </w:p>
    <w:p>
      <w:pPr>
        <w:pStyle w:val="Heading6"/>
        <w:numPr>
          <w:ilvl w:val="5"/>
          <w:numId w:val="1"/>
        </w:numPr>
        <w:rPr/>
      </w:pPr>
      <w:bookmarkStart w:id="773" w:name="__RefHeading___Toc2465452_2870459653"/>
      <w:bookmarkStart w:id="774" w:name="_Toc298"/>
      <w:bookmarkEnd w:id="772"/>
      <w:bookmarkEnd w:id="773"/>
      <w:r>
        <w:rPr>
          <w:rtl w:val="true"/>
        </w:rPr>
        <w:t>المطلب الثالث</w:t>
      </w:r>
      <w:bookmarkEnd w:id="774"/>
    </w:p>
    <w:p>
      <w:pPr>
        <w:pStyle w:val="BookText"/>
        <w:rPr/>
      </w:pPr>
      <w:r>
        <w:rPr>
          <w:rFonts w:ascii="Amiri" w:hAnsi="Amiri" w:eastAsia="Amiri" w:cs="Amiri"/>
          <w:color w:val="111111"/>
          <w:sz w:val="28"/>
          <w:sz w:val="28"/>
          <w:szCs w:val="28"/>
          <w:rtl w:val="true"/>
          <w:lang w:bidi="ar-SA"/>
        </w:rPr>
        <w:t>في كون الرسالة ابتكاراً لنوع جديد من الطرح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الشيخ علي بن بابويه من أوائل من قام بطرح الأسانيد</w:t>
      </w:r>
      <w:r>
        <w:rPr>
          <w:rStyle w:val="FootnoteAnchor"/>
          <w:rtl w:val="true"/>
        </w:rPr>
        <w:footnoteReference w:id="683"/>
      </w:r>
      <w:r>
        <w:rPr>
          <w:rFonts w:ascii="Amiri" w:hAnsi="Amiri" w:eastAsia="Amiri" w:cs="Amiri"/>
          <w:color w:val="111111"/>
          <w:sz w:val="28"/>
          <w:sz w:val="28"/>
          <w:szCs w:val="28"/>
          <w:rtl w:val="true"/>
          <w:lang w:bidi="ar-SA"/>
        </w:rPr>
        <w:t>وذلك في رسالته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صرح بذلك هو أبو علي ابن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بالمفيد الثاني حيث حُكي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ابتكر طرح الأسانيد وجمع بين النظائر وأتى بالخبر مع قرينه علي بن بابويه في رسالته إلى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جميع من تأخر عنه يحمد طريقته فيها ويعوّل عليه في مسائل لا يجد النص عليها لثقته وأمانته وموضعه من الدين والعلم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ولعلّنا ندرك أهمية هذا العمل في ذلك الزمان إذا استمعنا إلى مقدمة الشيخ الطوسي في المبسوط التي كتبها بعد رسالة ابن بابويه بما يقارب القرن من الزمان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 على قديم الوقت وحديثه متشوّق النفس إلى عمل كتاب يشتمل على ذلك تتوق نفسي إليه، فيقطعني عن ذلك القواطع، ويشغلني الشواغل، وتضعف نيتي أيضاً فيه قلة رغبة هذه الطائفة فيه، وترك عنايتهم به، لأنهم ألفوا الأخبار وما رووه من صريح الألفاظ، حتى أن مسألة لو غيّر معناها وعبّر عن معناها بغير اللفظ المعتاد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وقصر فهمهم عنها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الابتكار من ابن بابويه</w:t>
      </w:r>
      <w:r>
        <w:rPr>
          <w:rStyle w:val="FootnoteAnchor"/>
          <w:rtl w:val="true"/>
        </w:rPr>
        <w:footnoteReference w:id="686"/>
      </w:r>
      <w:r>
        <w:rPr>
          <w:rFonts w:ascii="Amiri" w:hAnsi="Amiri" w:eastAsia="Amiri" w:cs="Amiri"/>
          <w:color w:val="111111"/>
          <w:sz w:val="28"/>
          <w:sz w:val="28"/>
          <w:szCs w:val="28"/>
          <w:rtl w:val="true"/>
          <w:lang w:bidi="ar-SA"/>
        </w:rPr>
        <w:t>يكشف عن شجاعة وثقة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كيف يُقدم على عمل يتردد فيه شيخ الطائفة بعد قرن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الابتكار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يحمل في طياته أي تطور علمي إلا أنه يعد فاتحة عهد جديد في الإسناد الفقهي وتطور في أسلوب العرض وعملية تسهيلية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ألمح الشيخ علي بن بابويه إلى ذلك في خطبته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وحاذفا من الأسناد ما يثقل حمله، ويكثر بالتقصاص من الكتاب طرقه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تأثر بهذه الخطوة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ممّن تأخر عنه وتابعه فيها ولده الصدوق فألّف على منواله المقنع والهداية</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الشيخ المفيد في المقنعة، والشيخ الطوسي في كتاب النهاية، وقد نوّه إلى ذلك في مقدمة المبسوط</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وفتوى الشيخ في النهاية التي قيل إنها متون أخبار كرسالة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ذكره لسند كتاب الاستبصار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طرح الأسانيد أصبحت في العصور المتأخرة مشكلة حقيقية واجهت الفقهاء لكنها في ذلك العصر قوبلت بالترحيب من الوسط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لذلك قال أبو علي نجل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جميع من تأخر عنه يحمد طريقته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بين النظائر وأتى بالخبر مع قرينه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الخطوة لها أهميتها الكبرى فهي تعد نقلةً نوعيةً من طريقة المحدثين التي كانت سائدة آنذاك إلى طريقة الفقهاء والمجتهدين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يكثر التعبير عن الشيخ علي بن بابويه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وصف بالفقيه في كلمات الشيخ الطوسي</w:t>
      </w:r>
      <w:r>
        <w:rPr>
          <w:rStyle w:val="FootnoteAnchor"/>
          <w:rtl w:val="true"/>
        </w:rPr>
        <w:footnoteReference w:id="690"/>
      </w:r>
      <w:r>
        <w:rPr>
          <w:rFonts w:ascii="Amiri" w:hAnsi="Amiri" w:eastAsia="Amiri" w:cs="Amiri"/>
          <w:color w:val="111111"/>
          <w:sz w:val="28"/>
          <w:sz w:val="28"/>
          <w:szCs w:val="28"/>
          <w:rtl w:val="true"/>
          <w:lang w:bidi="ar-SA"/>
        </w:rPr>
        <w:t>والنجاشي</w:t>
      </w:r>
      <w:r>
        <w:rPr>
          <w:rStyle w:val="FootnoteAnchor"/>
          <w:rtl w:val="true"/>
        </w:rPr>
        <w:footnoteReference w:id="691"/>
      </w:r>
      <w:r>
        <w:rPr>
          <w:rFonts w:ascii="Amiri" w:hAnsi="Amiri" w:eastAsia="Amiri" w:cs="Amiri"/>
          <w:color w:val="111111"/>
          <w:sz w:val="28"/>
          <w:sz w:val="28"/>
          <w:szCs w:val="28"/>
          <w:rtl w:val="true"/>
          <w:lang w:bidi="ar-SA"/>
        </w:rPr>
        <w:t>وابن فهد الحلي</w:t>
      </w:r>
      <w:r>
        <w:rPr>
          <w:rStyle w:val="FootnoteAnchor"/>
          <w:rtl w:val="true"/>
        </w:rPr>
        <w:footnoteReference w:id="692"/>
      </w:r>
      <w:r>
        <w:rPr>
          <w:rFonts w:ascii="Amiri" w:hAnsi="Amiri" w:eastAsia="Amiri" w:cs="Amiri"/>
          <w:color w:val="111111"/>
          <w:sz w:val="28"/>
          <w:sz w:val="28"/>
          <w:szCs w:val="28"/>
          <w:rtl w:val="true"/>
          <w:lang w:bidi="ar-SA"/>
        </w:rPr>
        <w:t>والسيد بحر العلوم</w:t>
      </w:r>
      <w:r>
        <w:rPr>
          <w:rStyle w:val="FootnoteAnchor"/>
          <w:rtl w:val="true"/>
        </w:rPr>
        <w:footnoteReference w:id="69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بين النظائر وأتى بالخبر مع قرينه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تطور في منهجية عرض الرواية؛ لأنه في السابق لم تبوّب الروايات على هذا المنوال التفصيلي الذي نجده في الكتب الأربعة وغيرها، بل كانت تأخذ أساليب عدة في طريقة العرض</w:t>
      </w:r>
      <w:r>
        <w:rPr>
          <w:rStyle w:val="FootnoteAnchor"/>
          <w:rtl w:val="true"/>
        </w:rPr>
        <w:footnoteReference w:id="694"/>
      </w:r>
      <w:r>
        <w:rPr>
          <w:rFonts w:ascii="Amiri" w:hAnsi="Amiri" w:eastAsia="Amiri" w:cs="Amiri"/>
          <w:color w:val="111111"/>
          <w:sz w:val="28"/>
          <w:sz w:val="28"/>
          <w:szCs w:val="28"/>
          <w:rtl w:val="true"/>
          <w:lang w:bidi="ar-SA"/>
        </w:rPr>
        <w:t xml:space="preserve">،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طريقة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مجملها لم ترتقَ إلى أسلوب ابن بابويه في رسالته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جميع من تأخر عنه يحمد طريقته فيها ويعول عليه في </w:t>
      </w:r>
    </w:p>
    <w:p>
      <w:pPr>
        <w:pStyle w:val="BookText"/>
        <w:rPr/>
      </w:pPr>
      <w:r>
        <w:rPr>
          <w:rFonts w:ascii="Amiri" w:hAnsi="Amiri" w:eastAsia="Amiri" w:cs="Amiri"/>
          <w:color w:val="111111"/>
          <w:sz w:val="28"/>
          <w:sz w:val="28"/>
          <w:szCs w:val="28"/>
          <w:rtl w:val="true"/>
          <w:lang w:bidi="ar-SA"/>
        </w:rPr>
        <w:t>مسائل لا يجد النص عليها لثقته وموضعه من الدين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من العلامة المجلسي والعلامة النوري وغيرهم أن قائل هذا المقطع هو أبو علي نجل الشيخ الطوسي، ولكن يحتمل أنه الشهيد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بقرينة أن هذا المقطع يشبه قول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الأصحاب يتمسكون بما يجدونه في شرائع الشيخ أبي الحسن بن بابويه عند إعواز النصوص لحسن ظنهم به، وأن فتواه كروايته</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والقرينة الثانية أنه قد تقدم قبل قليل أن رجوع الصدوق إلى الرسالة ليس عند إعواز النصوص بل حتى مع وجودها، ومن البعيد أن يخفى هذا الأمر على نجل الشيخ الطوسي وهو قريب العهد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تشابه كلام الشهيد مع كلام أبي علي لا قرينة فيه لاحتمال أخذ الشهيد كلامه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بخصوص القرينة الثانية فإن أبا علي ملتفت إلى ذلك لكن نظره إلى أمثال الشيخ والمفيد والسيد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سواء أكانت تلك الكلمة للشهيد أم للمفيد الثاني فهي حَريةٌ بالاهتمام وجديرةٌ بالتقدير والدراسة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ويبقى هنا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علي بن بابويه كان معاصرا للفقيه المتكلم الحسن بن علي بن أبي عقيل العماني</w:t>
      </w:r>
      <w:r>
        <w:rPr>
          <w:rStyle w:val="FootnoteAnchor"/>
          <w:rtl w:val="true"/>
        </w:rPr>
        <w:footnoteReference w:id="697"/>
      </w:r>
      <w:r>
        <w:rPr>
          <w:rFonts w:ascii="Amiri" w:hAnsi="Amiri" w:eastAsia="Amiri" w:cs="Amiri"/>
          <w:color w:val="111111"/>
          <w:sz w:val="28"/>
          <w:sz w:val="28"/>
          <w:szCs w:val="28"/>
          <w:rtl w:val="true"/>
          <w:lang w:bidi="ar-SA"/>
        </w:rPr>
        <w:t>، وقد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 من هذّب الفقه واستعمل النظر وفتق البحث في الأصول والفروع في ابتداء الغيبة الكبرى</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يصرّح الشيخ الطوسي في مقدمة مبسوطه بما ظاهره التنافي مع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أصحابنا فليس لهم في هذا المعنى شيء يشار إليه بل لهم مختصرات، وأوفى ما عُمل في هذا المعنى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قلت فيه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أتى ابن أبي عقيل بطريقة ابن بابويه نفسها فهو لم يأتِ بجديد، وإن تقدّم خطوة بالعرض الفقهي فلماذا أنكرها الشيخ الطوسي ولم 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تنبّه لذلك بعض الأكابر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أشتهر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الشيخ عن مقدمة مبسوطه من أن ديدن الأصحاب قد كان جاريا على الجمود على النصوص من دون أدنى خروج من ظواهرها تكريما لأئمتهم وتعظيما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الشيخ قد نقض تلك الطريقة ببعض تآليفه وأورد المسائل بعبارات غير دارجة عند أصحاب النصوص، وفرّع على الأصول كثيرا من التفريعات غير المذكورة في الروايات وجاء الأصحاب بعد الشيخ وحذوا حذوه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بعد الفحص لم نجد الكتب المؤلفة في </w:t>
      </w:r>
    </w:p>
    <w:p>
      <w:pPr>
        <w:pStyle w:val="BookText"/>
        <w:rPr/>
      </w:pPr>
      <w:r>
        <w:rPr>
          <w:rFonts w:ascii="Amiri" w:hAnsi="Amiri" w:eastAsia="Amiri" w:cs="Amiri"/>
          <w:color w:val="111111"/>
          <w:sz w:val="28"/>
          <w:sz w:val="28"/>
          <w:szCs w:val="28"/>
          <w:rtl w:val="true"/>
          <w:lang w:bidi="ar-SA"/>
        </w:rPr>
        <w:t xml:space="preserve">عصره أو قبل عصره على ما وصفه فراجع ما بقي من تآليف المفيد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عقيل</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يبدو لي أن ابن أبي عقيل قد انتهج طريقا وسطا بين أسلوب علي بن بابويه وبين منهجية الشيخ الطوسي فلذلك احتفظ ابن بابويه بالريادة وقام ابن أبي عقيل بشيء من التطوير لطريقة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وصفه السيد بحر العلوم بأنه مهذّب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استلم دفة الأمر الشيخ الطوسي فأبدع بما أنتج</w:t>
      </w:r>
      <w:r>
        <w:rPr>
          <w:rFonts w:eastAsia="Amiri" w:cs="Amiri" w:ascii="Amiri" w:hAnsi="Amiri"/>
          <w:color w:val="111111"/>
          <w:sz w:val="28"/>
          <w:szCs w:val="28"/>
          <w:rtl w:val="true"/>
          <w:lang w:bidi="ar-SA"/>
        </w:rPr>
        <w:t xml:space="preserve">. </w:t>
      </w:r>
      <w:bookmarkStart w:id="775" w:name="pg9067_80024"/>
    </w:p>
    <w:p>
      <w:pPr>
        <w:pStyle w:val="Heading5"/>
        <w:numPr>
          <w:ilvl w:val="4"/>
          <w:numId w:val="1"/>
        </w:numPr>
        <w:rPr/>
      </w:pPr>
      <w:bookmarkStart w:id="776" w:name="__RefHeading___Toc2465454_2870459653"/>
      <w:bookmarkStart w:id="777" w:name="_Toc299"/>
      <w:bookmarkEnd w:id="775"/>
      <w:bookmarkEnd w:id="776"/>
      <w:r>
        <w:rPr>
          <w:rtl w:val="true"/>
        </w:rPr>
        <w:t>خاتمة</w:t>
      </w:r>
      <w:bookmarkEnd w:id="777"/>
    </w:p>
    <w:p>
      <w:pPr>
        <w:pStyle w:val="BookText"/>
        <w:rPr/>
      </w:pPr>
      <w:r>
        <w:rPr>
          <w:rFonts w:ascii="IRNazanin" w:hAnsi="IRNazanin" w:eastAsia="IRNazanin"/>
          <w:color w:val="111111"/>
          <w:sz w:val="28"/>
          <w:sz w:val="28"/>
          <w:szCs w:val="28"/>
          <w:rtl w:val="true"/>
          <w:lang w:bidi="fa-IR"/>
        </w:rPr>
        <w:t xml:space="preserve">هل إنَّ 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نفسه رسالة الشرائع لعلي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 أن ظهر ما يُسمّى بالفقه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المجلسيين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 غير واحد من الأعلام للبحث عن مؤلف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من تأليف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أو إملائه أو أنَّ له مؤلفاً آخر</w:t>
      </w:r>
      <w:r>
        <w:rPr>
          <w:rStyle w:val="FootnoteAnchor"/>
          <w:rtl w:val="true"/>
        </w:rPr>
        <w:footnoteReference w:id="7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الآراء التي ذُكرت في هذا المجال وتبناه بعضهم هو أن هذا الكتاب ليس سوى رسالة شرائع الإسلام لعلي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الميرزا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التلميذ المبرز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 كتاب الفقه الرضوي هو بعينه كتاب الرسالة المعروف لعلي بن موسى بن بابويه القمي إلى ولده الصدوق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الاشتباه قد نشأ من اشتراك اسم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في كونهما أبا الحسن علي بن موسى</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الأستاذ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محمد بن الحسن الشيرواني</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إلى ذلك</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وحكي عن السيد حسين القزويني شارح الشرائع أنه قال كان الوالد العلامة يرجح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رسالة والد الصدوق محتملاً كون عنوان الكتاب أولاً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عبد الله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من النساخ لانصراف المطلق إلى الفرد الكامل الشائع المتعارف</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مَن تبنى الرأي المذكور لم يطّلع على ما وصل إلى المتأخرين من رسالة الشرائع ليقارن بينه وبين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ولم يقارن بين المقاطع المنقولة بألفاظها في الفقيه والمقنع والهداية وغيرها عن الرسالة وبين ما ورد في الفقه الرضوي وإلا لم يحكم بأن الفقه الرضوي هو رسالة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الاختلاف بين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المقدمة إلى عناوين الأبواب ثم التفاوت من حيث البسط والإيجاز فضلاً عن المغايرة في الفتوى في غير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لكل مَن قارن بين نصوص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العلامة المجلسي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ما ذكره علي بن بابويه في رسالته إلى ابنه فهو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عبارة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تساؤل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الوجه في التطابق الكبير بين عبارات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الاختلاف بينهما أحياناً؟</w:t>
      </w:r>
    </w:p>
    <w:p>
      <w:pPr>
        <w:pStyle w:val="BookText"/>
        <w:rPr/>
      </w:pPr>
      <w:r>
        <w:rPr>
          <w:rFonts w:ascii="Amiri" w:hAnsi="Amiri" w:eastAsia="Amiri" w:cs="Amiri"/>
          <w:color w:val="111111"/>
          <w:sz w:val="28"/>
          <w:sz w:val="28"/>
          <w:szCs w:val="28"/>
          <w:rtl w:val="true"/>
          <w:lang w:bidi="ar-SA"/>
        </w:rPr>
        <w:t>ولتوضيح التمايز بينهما وتمهيداً للجواب على السؤال المذكور ينبغي إجراء مقارنة بين ما ورد في الرسالة بمقدار ما وصل إلينا وبين ما ذكر في الفقه الرضوي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الإشارة أولاً إلى بعض الملاحظات على النسخ الواصلة إلى المتأخرين من كتاب الفقه الرضوي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مختلة الترتيب ويبدو أن ذلك من جهة تبعثر أوراق النسخة الأم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يُظن بالمؤلف أيَّاً كان أنْ يذكر أحكام التخلي بعد مواقيت الصلاة ويذكر أحكام الحيض والإستحاضة والنفاس بعد باب الاعتكاف وقبل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باب اللباس وما يُكره فيه الصلاة والدم والنجاسات وما يجوز فيه الصلاة بين باب الصناعات وباب العتق والتدبير والمكاتبة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فيها سقطاً في عدد من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الإشارة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قد أقحم فيها ما لم يكن له تعلُّق بها من روايات ما يُسمى بنوادر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السبب في ذلك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 الفقه الرضوي في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نسخ الفقه الرضوي تختلف بالزيادة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يظهر بمراجعة مستدرك الوسائل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تكون بعض الزيادات من حواشي بعض العلماء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رسالة 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الناسخين أخطأ فأدرجوا الهوامش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 ما يُلاحَظ من التهافت بين ما ذُكر في موضع وما ذُكر في موضع آخر في الفقه الرضوي هو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ففيما يأتي جدول للمقارنة بين ما ورد في 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الفقه الرضوي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دخول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بهذا العنوان في رسالة الشرائع وفيه العديد من أحكام </w:t>
      </w:r>
    </w:p>
    <w:p>
      <w:pPr>
        <w:pStyle w:val="BookText"/>
        <w:rPr/>
      </w:pPr>
      <w:r>
        <w:rPr>
          <w:rFonts w:ascii="Amiri" w:hAnsi="Amiri" w:eastAsia="Amiri" w:cs="Amiri"/>
          <w:color w:val="111111"/>
          <w:sz w:val="28"/>
          <w:sz w:val="28"/>
          <w:szCs w:val="28"/>
          <w:rtl w:val="true"/>
          <w:lang w:bidi="ar-SA"/>
        </w:rPr>
        <w:t>التخلي والاستنجاء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التخلي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العنوان من إضافات النسخة المرعشية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الناسخ أضافه لأنه لم يجد أية علاقة بين ما ذكر من أحكام التخلي والوضوء وما قبله من أحكام مواقيت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الخلل في الترتيب 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في الفقه الرضوي إلا بعض أحكام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ورقة أو أزيد من أوراق الفقه الرضوي قد سقطت من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وللمقارنة لاحظ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أردتَ دخول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رجلك اليُسرى قبل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بالله من الرِّجْسِ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المُخْبثِ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 التغويط على شطوط الأنهار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تطمّح ببولك في الهواء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أماط عنّي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وهنّأني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وعافاني مِن البلوى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أردت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 ما ورد من أحكام الاستنجاء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دخلت الغائط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الرِّجْسِ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الخَبيثِ المُخْبثِ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أماط عنّي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وهنّأني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وعافاني مِن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يسّر المساغ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المخرج</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وأماط عنّي الأذى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عدم اشتمال الفقه الرضوي على أحكام الاستنجاء وعدد من أحكام التخلي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ورد فيه من أحكام التخلّي يختلف بعض الشيء عمّا ورد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أضاف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فغطِّ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رجلك اليُسرى قبل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حذف في ذيل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بهذا العنوان في الرسالة المخطوطة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جزء مما ذُكر في الرسالة والأحكام في الفقه الرضوي متصلاً بالمقدمة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سقوط عدد من الأوراق فيما بعد الصفحة الأولى من الفقه الرضوي وكانت تتضمن أحكام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الناسخ في النسخة المرعشية قام بتبديل بعض الكلمات ليستقيم المعنى ولا يظهر منه وقوع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أردت الوضوء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تمضمضت واستنشقت فليكن ذلك ثلاثاً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بأنْ لا تتمضمض ولا تستنشق؛ لأن الوضوء المفروض عليك هو ما وصفته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والمضمضة والاستنشاق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سُنَّة الوضوء؛ لأنَّ الوضوء فريضة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من الحنيفية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مِلَّةَ إِبْرَاهِيمَ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عشر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في الرأس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من عليهم بالمعرفة ومن عليهم 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من الحنيفية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مِلَّةَ إِبْرَاهِيمَ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عشر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في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فيُلاحظ أنَّ الفقه الرضوي قد سقطت منه أحكام الوضوء المذكورة في الرسالة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ناسخ المرعشية بدّل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ليستقيم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وجوه الفرق بين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أعني لمن طوّل شعره</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لا يوجد في الفقه الرضوي</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تدع الفرق إن كان لك شعر طويل</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تدع الفرق إن كان لك شعر</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فيُلاحظ أن ابن بابويه أضاف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بالمقارنة وقوع بعض التصحيف 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 ما وصفته لك</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عملت ما وصفته لك</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عَلِمتَ أنَّ الماء لا يدخل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عَلِمتَ أنَّ الماء لا يدخل تحته فانزع</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تمسح على 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تمسح على خفيك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جوربك إلاّ مِن عدوّ تتقيه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ثلج تخاف منه على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الخفين مقام الجابر فتمسح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خلاف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تقيَّة في شرب المُسكِر والمسح على الخفين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تمسح على 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تمسح على خفّيك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أروي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تقيَّة في شرب المُسكِر والمسح على الخفّين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تمسح على جوربك إلاّ مِن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ثلج تخاف على رجلك</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الموارد المهمة التي خالف فيها ابن بابويه مؤلف الفقه الرضوي، حيث </w:t>
      </w:r>
    </w:p>
    <w:p>
      <w:pPr>
        <w:pStyle w:val="BookText"/>
        <w:rPr/>
      </w:pPr>
      <w:r>
        <w:rPr>
          <w:rFonts w:ascii="Amiri" w:hAnsi="Amiri" w:eastAsia="Amiri" w:cs="Amiri"/>
          <w:color w:val="111111"/>
          <w:sz w:val="28"/>
          <w:sz w:val="28"/>
          <w:szCs w:val="28"/>
          <w:rtl w:val="true"/>
          <w:lang w:bidi="ar-SA"/>
        </w:rPr>
        <w:t>أفتى ابن بابويه بجواز المسح على الخفين تقية وأشار إلى الرواية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مؤلف الفقه الرضوي عمل بتلك الرواية وأفتى بعدم جواز المسح على الخفين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 منك الحَبّ الذي يُشبه حَبّ القرع</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 منك حَبّ القرع</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خَرَج مِن قُبلك ودُبرك مِن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وضوء عليك ولا 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يخرج منك بول</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خَرَج مِن قُبلك ودُبرك مِن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فيُلاحظ عدم اشتمال الرسالة على الصديد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اشتمال الفقه الرضوي على المذي والوذي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بك في المواضع التي يجب عليها الوضوء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دماميل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يؤذك حَلّها فحلّها واغسلها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بك بول أو غائط أو ريح أو مني وكان بك في الموضع الذي يجب عليك الوضوء قرحة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دماميل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يؤذك فحلّها واغسلها</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العبارة مغلوطة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 مخلّ بالمعنى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اشتبه الناسخ وكرر ما كان في سطر سابق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موجبات الوضوء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بك بول أو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المقدّمة لما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مراده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تكن على وضوء وكان بك في المواضع التي يجب عليك الوضوء قرحة أو دماميل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العنوان مذكور 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ما أورده ابن بابويه لا يشتمل على جميع ما ورد في الفقه الرضوي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ذلك فاضرب بيديك على الأرض مرة واحدة وانفضهما وامسح بهما وجهك ثم اضرب بيديك الأرض فامسح بهما يديك من المرفق إلى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يمسح الرجل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ويمسح على ظهر كفّيه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تضرب بيديك على الأرض مرة واحدة ثم تمسح بهما وجهك من حدّ الحاجبين إلى الذقن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موضع السجود من مقام الشعر إلى طرف الأنف ثم تضرب بهما أخرى فتمسح باليسرى اليمنى إلى حد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أصول الأصابع من اليد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وباليمنى اليُسرى وعلى هذه الصفة</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رواية أُخرى في كيفية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والملاحظ أن هناك اختلافات عدَّة بين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ابن بابويه وجوب المسح على تمام الوجه في حين أن ظاهر الفقه الرضوي عدم وجوب مسح الجبهة والجبينين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الرسالة وجوب مسح اليدين من المرفق إلى الأصابع في حين أن المذكور في الفقه الرضوي أنَّه إلى حد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الرسالة أنَّه ينفض يديه بعد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في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بأنْ تُصلّي بتيمم واحد صلوات اللّيل والنّهار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تُحدِث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تصيب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ماءً ولم تتوضأ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تقدر عليه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أنْْ تُعيد التيمم؛ لأنَّك نقضته بالنظر إلى الماء</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الفقه الرضوي مقاطع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يصلي بتيمم واحد خمس صلواة، ما لم يحدث حدثاً ينقض به الوضوء</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قدرت على الماء انتقض التيمم، وعليك إعادة الوضوء والغسل بالماء لما تستأنف من الصلاة، اللهم إلا أن تقدر على الماء وأنت في وقت من الصلاة التي صليتها بالتيمم، فتطهر وتعيد الصلاة</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كبّرت في صلاتك تكبيرة الافتتاح، وأوتيت بالماء فلا تقطع الصلاة ولا تنقض تيممك، وامضِ في صلاتك</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والملاحظ أنَّ ﻫذا المذكور أخيراً لا ينسجم مع ما ذكر من وجوب إعادة الصلاة بالتيمم مع الحصول على الماء في أثناء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الأواني والأواعي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الرسالة</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ما ورد تحت العنوان المذكور ليس له تعلُّق واضح بأحكام الأواني والأوعية بل تتضمن المقاطع الأولى منه حكم ماء البحر وماء الكر والماء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في الفقه الرضوي ما يتعلَّق بشيء من ذلك إلا في عدم تنجس ماء الكر ومقداره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وجدت فيه ما 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 ثلاثة أشبار طولاً في عرض ثلاثة أشبار في عمق ثلاثة أشبار</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غدير فيه من الماء أكثر من كر، لا ينجّسه ما يقع فيه من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ذلك أن تأخذ الحجر فترمي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بلغت أمواجه من الحجر جنبي الغدير فهو دون الكر، وإن لم يبلغ فهو كر</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يقع في البئر من الناس والبهائم والطيور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الرسالة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أحكام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الفقه الرضوي</w:t>
      </w:r>
      <w:r>
        <w:rPr>
          <w:rStyle w:val="FootnoteAnchor"/>
          <w:rtl w:val="true"/>
        </w:rPr>
        <w:footnoteReference w:id="732"/>
      </w:r>
      <w:r>
        <w:rPr>
          <w:rFonts w:ascii="IRNazanin" w:hAnsi="IRNazanin" w:eastAsia="IRNazanin"/>
          <w:color w:val="111111"/>
          <w:sz w:val="28"/>
          <w:sz w:val="28"/>
          <w:szCs w:val="28"/>
          <w:rtl w:val="true"/>
          <w:lang w:bidi="fa-IR"/>
        </w:rPr>
        <w:t>تحت العنوان 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 فيها 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حمامة فانزح منها سبعة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الفقه الرضوي</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توضأت منه واغتسلت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غسلت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إعادة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آنية صُبَّ فيها ذلك الماء 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توضأت منه أو اغتسلت أو غسلت ثوبك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الفقه الرضوي فيه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غير مستقيمة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وقعت عَذرَة فاستق منها عشرة دلاء فان ذابت فاستق منها أربعين دلواً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يوجد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الدم دون حمصة فلا بأس بأن لا تغسله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الدم حمصة فلا بأس بأن لا تغسله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غسلت قدميك، ونسيت المسح عليهما، فإن ذلك يجزيك، لأنك قد أتيت بأكثر 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الرسالة من هكذا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مخالفةً لإجماع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نسيت الغُسل أو فاتك 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بعد العصر أو يوم السبت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فاتك الغسل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يوم السبت أو بعده من أيام الجمعة</w:t>
      </w:r>
    </w:p>
    <w:p>
      <w:pPr>
        <w:pStyle w:val="BookText"/>
        <w:rPr/>
      </w:pPr>
      <w:r>
        <w:rPr>
          <w:rFonts w:ascii="Amiri" w:hAnsi="Amiri" w:eastAsia="Amiri" w:cs="Amiri"/>
          <w:color w:val="111111"/>
          <w:sz w:val="28"/>
          <w:sz w:val="28"/>
          <w:szCs w:val="28"/>
          <w:rtl w:val="true"/>
          <w:lang w:bidi="ar-SA"/>
        </w:rPr>
        <w:t>والملاحظ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الرسالة موافق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الفقه الرضوي مخالف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أقمت فعلى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إماماً فلا تؤذن إلا من قيام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يوجد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يذهب إلى هذا إلاّ ولده الصدوق في المقنع ولم أعثر على مورد مشابه له في الفقه الرضوي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بيان حكم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أنها تقعد ثمانية عشر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بيان حكم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ثلاثة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هذه الأحاديث أخذ من جهة التسليم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الرسالة الإشارة إلى وجود خلاف في الروايات من دون 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منه ذلك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صريح الفقه الرضوي العمل بالروايات على الرغم من اختلافها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العنوان في الرسالة</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 الرضوي عنونه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غُسل الميت وتكفينه</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عنوان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آخر في غُسل الميت والصلاة عليه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ليس من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أسلوب المؤلف في هذا الباب كما وردت فيه بعض الأحكام المتنافية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تقدر على ﻫذا المقدار كافوراً فأربعة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تقدر فمثقال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ذلك لمن وجده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وأدنى ما يجزيه من الكافور مثقال ونصف</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روى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الكافور يجعل في الفم والسمع والبصر</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قبل هذا منع من ذلك</w:t>
      </w:r>
      <w:r>
        <w:rPr>
          <w:rStyle w:val="FootnoteAnchor"/>
          <w:rtl w:val="true"/>
        </w:rPr>
        <w:footnoteReference w:id="740"/>
      </w:r>
      <w:r>
        <w:rPr>
          <w:rFonts w:ascii="Amiri" w:hAnsi="Amiri" w:eastAsia="Amiri" w:cs="Amiri"/>
          <w:color w:val="111111"/>
          <w:sz w:val="28"/>
          <w:sz w:val="28"/>
          <w:szCs w:val="28"/>
          <w:rtl w:val="true"/>
          <w:lang w:bidi="ar-SA"/>
        </w:rPr>
        <w:t>ولم يشر إلى تلك الرواية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تبتدئ بغسل اليدين إلى نصف المرفقين ثلاثاً ثلاثاً</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وتبدأ بغسل كفيه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وجود بعض الإرباك في الباب الذي ورد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كيفيتين للصلاة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الثانية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أنها ليست في محلها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اقطع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بالنمط فتبسطه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ويبسط عليه 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وينثر عليه شيئاً من الذريرة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يوجد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تسخن له ماءً إلا أنْ يكون شتاءً بارداً فتوقي الميت مما توقي منه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تسخن له ماءً إلا أنْ يكون الماء بارداً جداً فتوقي الميت مما توقي منه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دخلت القبر فاقرأ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أنزلناه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دخلت القبر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توسطت المقبرة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أضاف في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جداً أنَّها من سبق قلم الناسخ لأنَّ الصدوق لم يذكرها في الفقيه ولا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أنها في المخطوطة كتبت فوق السطر مما يؤيد كونها أضيفت لاحقاً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زادت واحدة ففيها جذعة إلى ثمانين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زادت واحدة ففيها جذعة إلى خمسة وسبعين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لا يجب في الذهب الزكاة حتى يبلغ أربعين مثقالاً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فيما دون عشرين ديناراً زكاة ففيها نصف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 يا بني في صومك خمسة أشياء تفطرك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والشرب والجماع والإرتماس في الماء والكذب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واتقِ في صومك خمسة أشياء تفطرك الأكل والشرب والجماع والإرتماس في الماء والكذب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والخناء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إلى 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الغيبة تفطر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ذلك ينقص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ذكره في هذا الموضع من الفقه الرضوي يتنافى مع ما ذكره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ذكره ليس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القيء ناقض للصوم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ذلك ينقص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أربعة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إمَّا من المؤلف أو تتمة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فهي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كونها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وسائر ذلك ينقض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يستقيم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أضاف الشيخ علي بن بابويه الاشتقان والكري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يلزمه التمام للصلاة والصوم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والرابح؛ لأنَّه عملهم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تصلّ خلف أحد إلا خلف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وسلّم من قيام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تصلّ خلف أحد إلا خلف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وسلّم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الرسالة أضاف مقطعاً لا يوجد في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تلحق القراءة وخشيت أن يركع فقل ما حذفه الإمام من الأذان والإقامة واركع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المقطع مما انفردت به الرسالة وتابعه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الهداية</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والمقنع</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بعض الموارد التي ذكرت في الرسالة ولا يوجد ما يشبهها في الفقه الرضوي</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يحرم وضع اليمين على الشمال في حال القراءة، وتبطل به الصلاة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لأحد أن يصلّي وعليه قباء مشدود، إلا أن يكون في الحرب فلا يتمكن من أن يحله، فيجوز ذلك للاضطرار</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تُصلى مع الشرائط ركعتين، ومع اختلالها أربعاً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صليت بغير خطبة صليت أربع ركعات بتسليمة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يجعلها بتسليمة وابن الجنيد بتسليمتين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أعثر على مورد مشابه له في الفقه الرضوي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احترق القرص كله فصلّها في جماعة، وإن احترق بعضه فصلها فرادی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نزلت إلى القبر فاخلع خفيك ونعليك، ولا بأس بالخف إن كان تقية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تجوز شهادة الولد على الوالد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وقعت عذرة فاستق منها عشرة دلاء، فإن ذابت فاستق منها أربعين دلوا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والحائض تغتسل بتسعة أرطال من الماء بالرطل المدني</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الموارد التي وردت في الرسالة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يُشعر بكون مؤلف الرسالة ناظراً إلى الفقه الرضوي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الفقه الرضوي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أروي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تقية في شرب الخمر</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خلاف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تقية في شرب المسكر</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الفقه الرضوي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نروي في الجبائر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ما حولها</w:t>
      </w:r>
      <w:r>
        <w:rPr>
          <w:rFonts w:eastAsia="IRNazanin" w:cs="IRNazanin"/>
          <w:color w:val="111111"/>
          <w:sz w:val="28"/>
          <w:szCs w:val="28"/>
          <w:rtl w:val="true"/>
          <w:lang w:bidi="fa-IR"/>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 في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الجبائر أنه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حولها</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الفقه الرضوي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أروي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بكى اليتيم اهتز له العرش</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روي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بكى اليتيم اهتز له العرش</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الفقه الرضوي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نروي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بعض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لي جيراناً ولهم جوارٍ قينات يتغنين ويضربن بالعود</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سأله بعض أصحابه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إن لي جيراناً ولهم جوارٍ قينات يتغنين ويضربن بالعود</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وأروي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يسأل السمع عمّا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 عمّا نظر</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يسأل السمع عمّا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 عمّا نظر</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الفقه الرضوي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لا </w:t>
      </w:r>
    </w:p>
    <w:p>
      <w:pPr>
        <w:pStyle w:val="BookText"/>
        <w:rPr/>
      </w:pPr>
      <w:r>
        <w:rPr>
          <w:rFonts w:ascii="Amiri" w:hAnsi="Amiri" w:eastAsia="Amiri" w:cs="Amiri"/>
          <w:color w:val="111111"/>
          <w:sz w:val="28"/>
          <w:sz w:val="28"/>
          <w:szCs w:val="28"/>
          <w:rtl w:val="true"/>
          <w:lang w:bidi="ar-SA"/>
        </w:rPr>
        <w:t>ينسى تكبيرة الافتتاح</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لا ينسى تكبيرة الافتتاح</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الصلاة في سنجاب وسمور وفنك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أروي فيه رخصة</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الرسالة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فيه رخصة</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الفقه الرضوي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نروي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ضحك في وجه أخيه المؤمن تواضعاً لله عزّ وجل أدخله الجنَّة</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روي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ضحك في وجه أخيه المؤمن تواضعاً لله عزّ وجل أدخله الجنَّة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تبسّم في وجه أخيه كتب الله له حسنة ومَن قبل الله منه حسنة لم يعذبه وأدخله الجنة</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المقارنة بين ما ورد في الرسالة وما ورد في 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الإجابة عن السؤال الذي طرحناه في أول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التطابق الكبير بين عبارات الكتابين والاختلاف بينهما أحياناً؟ </w:t>
      </w:r>
    </w:p>
    <w:p>
      <w:pPr>
        <w:pStyle w:val="BookText"/>
        <w:rPr/>
      </w:pPr>
      <w:r>
        <w:rPr>
          <w:rFonts w:ascii="Amiri" w:hAnsi="Amiri" w:eastAsia="Amiri" w:cs="Amiri"/>
          <w:color w:val="111111"/>
          <w:sz w:val="28"/>
          <w:sz w:val="28"/>
          <w:szCs w:val="28"/>
          <w:rtl w:val="true"/>
          <w:lang w:bidi="ar-SA"/>
        </w:rPr>
        <w:t xml:space="preserve">والجواب ببساطة هو أن كتاب الفقه الرضوي ليس على التحقيق – كما تنبَّه له المرحوم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كتاب التكليف للشلمغاني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يعد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رواته عنه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كتاب التكليف قريباً من الرسالة الفتوائية ارتأى الشيخ علي بن بابويه أن يغيّر مواضع منه وفق ما يُطابق فتاواه كما هو عليه دأب المتأخرين من المراجع من اجراء التغيير على الرسالة الفتوائية للمرجع المتقدم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السرّ في تطابق ما في رسالة ابن بابويه مع ما في 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معظم المواضع وما يُلاحظ من الاختلاف في الفتوى أحياناً وبالإضافة إلى التفاوت بينهما في البسط والإيجاز</w:t>
      </w:r>
      <w:r>
        <w:rPr>
          <w:rFonts w:eastAsia="IRNazanin" w:cs="IRNazanin"/>
          <w:color w:val="111111"/>
          <w:sz w:val="28"/>
          <w:szCs w:val="28"/>
          <w:rtl w:val="true"/>
          <w:lang w:bidi="fa-IR"/>
        </w:rPr>
        <w:t xml:space="preserve">. </w:t>
      </w:r>
      <w:bookmarkStart w:id="778" w:name="pg9067_80071"/>
    </w:p>
    <w:p>
      <w:pPr>
        <w:pStyle w:val="Heading4"/>
        <w:numPr>
          <w:ilvl w:val="3"/>
          <w:numId w:val="1"/>
        </w:numPr>
        <w:rPr/>
      </w:pPr>
      <w:bookmarkStart w:id="779" w:name="__RefHeading___Toc2465456_2870459653"/>
      <w:bookmarkStart w:id="780" w:name="_Toc300"/>
      <w:bookmarkEnd w:id="778"/>
      <w:bookmarkEnd w:id="779"/>
      <w:r>
        <w:rPr>
          <w:rtl w:val="true"/>
        </w:rPr>
        <w:t>الباب الثالث</w:t>
      </w:r>
      <w:r>
        <w:rPr>
          <w:rtl w:val="true"/>
        </w:rPr>
        <w:t xml:space="preserve">: </w:t>
      </w:r>
      <w:r>
        <w:rPr>
          <w:rtl w:val="true"/>
        </w:rPr>
        <w:t>فيما يتعلَّق بالتحقيق</w:t>
      </w:r>
      <w:bookmarkEnd w:id="780"/>
    </w:p>
    <w:p>
      <w:pPr>
        <w:pStyle w:val="Heading5"/>
        <w:numPr>
          <w:ilvl w:val="4"/>
          <w:numId w:val="1"/>
        </w:numPr>
        <w:rPr/>
      </w:pPr>
      <w:bookmarkStart w:id="781" w:name="__RefHeading___Toc2465458_2870459653"/>
      <w:bookmarkStart w:id="782" w:name="_Toc301"/>
      <w:bookmarkEnd w:id="781"/>
      <w:r>
        <w:rPr/>
        <w:t>1</w:t>
      </w:r>
      <w:r>
        <w:rPr>
          <w:rtl w:val="true"/>
        </w:rPr>
        <w:t xml:space="preserve">- </w:t>
      </w:r>
      <w:r>
        <w:rPr>
          <w:rtl w:val="true"/>
        </w:rPr>
        <w:t>النسخة المعتمدة في التحقيق</w:t>
      </w:r>
      <w:bookmarkEnd w:id="782"/>
    </w:p>
    <w:p>
      <w:pPr>
        <w:pStyle w:val="BookText"/>
        <w:rPr/>
      </w:pPr>
      <w:r>
        <w:rPr>
          <w:rFonts w:ascii="Amiri" w:hAnsi="Amiri" w:eastAsia="Amiri" w:cs="Amiri"/>
          <w:color w:val="111111"/>
          <w:sz w:val="28"/>
          <w:sz w:val="28"/>
          <w:szCs w:val="28"/>
          <w:rtl w:val="true"/>
          <w:lang w:bidi="ar-SA"/>
        </w:rPr>
        <w:t xml:space="preserve">اعتمدنا على نسخة وحيدة؛ إذ لا يوجد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والمحفوظة في مكتبة الشيخ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حصلنا عليها بواسطة سيدنا الأستاذ المحقق الحجة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على ورق 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يدوية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ومخطوطة بخط النسخ، والحبر في تركيبه حديد</w:t>
      </w:r>
      <w:r>
        <w:rPr>
          <w:rStyle w:val="FootnoteAnchor"/>
          <w:rtl w:val="true"/>
        </w:rPr>
        <w:footnoteReference w:id="772"/>
      </w:r>
      <w:r>
        <w:rPr>
          <w:rFonts w:ascii="Amiri" w:hAnsi="Amiri" w:eastAsia="Amiri" w:cs="Amiri"/>
          <w:color w:val="111111"/>
          <w:sz w:val="28"/>
          <w:sz w:val="28"/>
          <w:szCs w:val="28"/>
          <w:rtl w:val="true"/>
          <w:lang w:bidi="ar-SA"/>
        </w:rPr>
        <w:t xml:space="preserve">وطول الورقة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والعرض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والغلاف الخارجي جلد طبيعي لف لونه بني وهو متضرر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على ظهر أول ورقة منها تملّك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 وعليها ختم الشيخ علي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المنيعة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وختم مديرية الآثار العامة برقم </w:t>
      </w:r>
      <w:r>
        <w:rPr>
          <w:rFonts w:eastAsia="Amiri" w:cs="Amiri" w:ascii="Amiri" w:hAnsi="Amiri"/>
          <w:color w:val="111111"/>
          <w:sz w:val="28"/>
          <w:szCs w:val="28"/>
          <w:lang w:bidi="ar-SA"/>
        </w:rPr>
        <w:t>17633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23/2/1977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الورقة الثانية عنوان الرسالة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رسالة ابن بابويه القمي في 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وعليها تملّك بالشراء كُتِب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بالمبيع الشرعي للسيد حسن ابن ثابت ابن حسن ابن أحمد ابن محمد ابن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المرسي أو المدني</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 xml:space="preserve">غفر </w:t>
      </w:r>
    </w:p>
    <w:p>
      <w:pPr>
        <w:pStyle w:val="BookText"/>
        <w:rPr/>
      </w:pPr>
      <w:r>
        <w:rPr>
          <w:rFonts w:ascii="Amiri" w:hAnsi="Amiri" w:eastAsia="Amiri" w:cs="Amiri"/>
          <w:color w:val="111111"/>
          <w:sz w:val="28"/>
          <w:sz w:val="28"/>
          <w:szCs w:val="28"/>
          <w:rtl w:val="true"/>
          <w:lang w:bidi="ar-SA"/>
        </w:rPr>
        <w:t>الله له ولوالديه ومَن قرأه وترحّم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فائدة لبيان مقدار الكر بالرطل العراقي وختم الفائدة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يثق بالله الغني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والرقم يعني اسم صاحب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بحساب الأبجد هوز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وتبدأ النسخة بخطبة المصنف وأول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دخول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بلاغ بالقراءة من أول الرسالة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بخط السيد محمد بن مطرف تلميذ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فُقدت أوراق كثيرة من وسطها، وهي تتكون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وكل صفحة يتراوح عدد الأسطر فيها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 أحياناً ويزيد أخرى والنسخة مُنضمة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المراسم</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استنسخه السيد محمد بن مطرف أيضاً في السادس عشر من صفر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ذكرناه من قبل إلَّا أنّ التوفيق حالفنا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بصدد تهيئة الرسالة لإعادة طباعتها على هيئة كتاب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بالعثور على وريقات متفرقة في المكتبة الخاصة للعالم الجليل الحجة الميرزا محمد علي الأردوبادي 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بخط يده نسخة المباركة قد تمثل نسخة أخرى للرسالة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المحتمل قوياً أنها منقولة عن الأصل التي اعتمدناها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الآن في حوزة سبطه العلامة الخطيب السيد مهدي الشيرازي دام توفيقه، وتتمثل في سبع وريقات بحجم كف اليد، تبدأ بخطبة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أنطق بحمد الله وتنتهي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يكن فيها </w:t>
      </w:r>
    </w:p>
    <w:p>
      <w:pPr>
        <w:pStyle w:val="BookText"/>
        <w:rPr/>
      </w:pPr>
      <w:r>
        <w:rPr>
          <w:rFonts w:ascii="IRNazanin" w:hAnsi="IRNazanin" w:eastAsia="IRNazanin"/>
          <w:color w:val="111111"/>
          <w:sz w:val="28"/>
          <w:sz w:val="28"/>
          <w:szCs w:val="28"/>
          <w:rtl w:val="true"/>
          <w:lang w:bidi="fa-IR"/>
        </w:rPr>
        <w:t>ثفل فلا استنجاء علیک ولا وضوء، وإن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تمت مقابلتها مع نسخة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والتعامل معها على أنها نسخة مؤيدة لنسخة الأصل، لكنها بعثت الأمل فينا للبحث عن نسخ أخرى للرسالة قد نجدها هنا أو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عن نسختنا هذه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الشرائع ويقال كتاب الشرائع أيضاً لشيخ القميين الشيخ أبي الحسن علي بن الحسين بن موسى بن بابويه القمي والد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نسخة منها في الكاظمية في مكتبة سيدنا الحسن صدر الدين وهي بخط السيد محمد بن مطرف تلميذ المحقق الحلي وقد قرأها على أستاذه المحقق فأجازه على ظهرها وتأريخ الإجازة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ومجموعها يقرب من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فيها من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آداب الخلوة إلى صلاة الجمعة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وكأنّه مختصر من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مطابق لعين عباراته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أنطق بحمد الله بدءاً وعودا وأصلي على محمد أولا وآخراً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وأفتح لك سبيلها بما يفتتح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وأفتتح الوضوء بما يفتتح منه باب دخول الخلاء</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ذكرها مرة أخرى عند الحديث عن مختصر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مختصر المراسم في </w:t>
      </w:r>
    </w:p>
    <w:p>
      <w:pPr>
        <w:pStyle w:val="BookText"/>
        <w:rPr/>
      </w:pPr>
      <w:r>
        <w:rPr>
          <w:rFonts w:ascii="Amiri" w:hAnsi="Amiri" w:eastAsia="Amiri" w:cs="Amiri"/>
          <w:color w:val="111111"/>
          <w:sz w:val="28"/>
          <w:sz w:val="28"/>
          <w:szCs w:val="28"/>
          <w:rtl w:val="true"/>
          <w:lang w:bidi="ar-SA"/>
        </w:rPr>
        <w:t xml:space="preserve">الفقه للمحقق على الاطلاق الشيخ أبي القاسم نجم الدين جعفر بن الحسن بن محي بن الحسن بن سعيد الهذلي الحلي طاب ثراه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النجف منه نسخة بخط السيد محمد بن مطرف الحسيني تلميذ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قرأه عليه ويرويه عنه وفرغ من نسخها في حياة المصنف يوم الخميس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السيد محمد بن مطرف بخطه أنه قرأها تلميذه عليه في يوم الخميس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ووصف التلميذ بالسيد الأجل الأوحد العالم الفاضل الحسيب النسيب السيد رضي الدين أبو عبد الله 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الذرقني</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الداودي العلوي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ابن مطرف بأنه يرويه عن شيخه أبي القاسم جعفر بن سعيد المؤلف للمختصر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ذكرت ايدك الله بالتوفيق وارشدك لإصابة التحقيق</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والنسخة في النجف منضمة مع شرائع 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استنسخ السيد محمد بن هاشم الهندي النجفي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خط السيد محمد بن مطرف المذكور ونقل صورة ما كتبه السيد محمد بن مطرف على ظهر نسخته التي رأيتها عند الشيخ محمد السماوي وقد نقلت عن تلك النسخة صورة خط محمد بن مطرف في ترجمته في الأنوار الساطعة في المائة السابعة</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 العلامة الطهراني ترجمة محمد بن مطرف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تلاميذ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أبي 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المترجم له نسخة من مختصر المراسم لأستاذه المحقق ثم قرأه عليه وفراغه من الكتابة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قرأه على صاحب الترجمة تلميذه محمد بن الحسن الزرقني في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صاحب الترجمة له إجازة في ذلك التأريخ وهذه صورة 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مختصر سلار بن عبدالعزيز الديلمي قدس الله روحه الولد العزيز الأجل الأوحد العالم الفاضل رضي الدين أبو عبد الله محمد بن الحسن بن علي بن محمد الزرقني الداوودي العلوي الحسيني أحسن الله تسديده وأجزل من كل عارفة فضله ومزيده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مرضية وشرحت له من فقه الكتاب ما خطر ببالي في الحال من الخلاف الحاصل في المسألة بين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وبيّنت له ذلك حسب الجهد والطاقة فأخذه واعيا وفهمه ضابطاً فليروِ ذلك عني عن الشيخ الفاضل المعظم الفقيه مفتي الفرق قدوة العلماء نجم الدين أبي القاسم جعفر بن الحسن بن سعيد الحلي قدّس الله روحه ونوّر ضريحه عن شيخه محمد بن إدريس عن عربي بن مسافر عن إلياس بن هشام الحائري عن أبي علي عن مصنفه رضي الله عنهم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الفقير إلى الله تعالى محمد بن مطرف الحسيني</w:t>
      </w:r>
      <w:r>
        <w:rPr>
          <w:rFonts w:eastAsia="IRNazanin" w:cs="IRNazanin"/>
          <w:color w:val="111111"/>
          <w:sz w:val="28"/>
          <w:szCs w:val="28"/>
          <w:rtl w:val="true"/>
          <w:lang w:bidi="fa-IR"/>
        </w:rPr>
        <w:t>)</w:t>
      </w:r>
      <w:r>
        <w:rPr>
          <w:rStyle w:val="FootnoteAnchor"/>
          <w:rtl w:val="true"/>
        </w:rPr>
        <w:footnoteReference w:id="785"/>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بخطه أيضاً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وأذنت له أيضاً أن يروي عني كتاب الأصل عن الشيخ محمد بن أبي غر عن شيخه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مشايخه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مطرف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783" w:name="pg9067_80078"/>
    </w:p>
    <w:p>
      <w:pPr>
        <w:pStyle w:val="BookText"/>
        <w:rPr/>
      </w:pPr>
      <w:bookmarkEnd w:id="783"/>
      <w:r>
        <w:rPr>
          <w:rFonts w:ascii="Amiri" w:hAnsi="Amiri" w:eastAsia="Amiri" w:cs="Amiri"/>
          <w:color w:val="111111"/>
          <w:sz w:val="28"/>
          <w:sz w:val="28"/>
          <w:szCs w:val="28"/>
          <w:rtl w:val="true"/>
          <w:lang w:bidi="ar-SA"/>
        </w:rPr>
        <w:t>وكتب مختصر هذه الإجازة في آخر الكتاب تأريخها يوم الخميس رابع عشر جمادى الآخرة سنة خمس وتسعين وستمائة وكتب محمد بن مطرف</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النسخة اشتراها سيدنا الحسن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بقّال ببغداد كان يضع على أوراقه التمر واللبن وغيرها من الحوائج</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واستنسخ عنها محمد الهندي بالنجف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الهندي موجودة عند الشيخ محمد السماوي</w:t>
      </w:r>
      <w:r>
        <w:rPr>
          <w:rStyle w:val="FootnoteAnchor"/>
          <w:rtl w:val="true"/>
        </w:rPr>
        <w:footnoteReference w:id="790"/>
      </w:r>
      <w:r>
        <w:rPr>
          <w:rFonts w:ascii="IRNazanin" w:hAnsi="IRNazanin" w:eastAsia="IRNazanin"/>
          <w:color w:val="111111"/>
          <w:sz w:val="28"/>
          <w:sz w:val="28"/>
          <w:szCs w:val="28"/>
          <w:rtl w:val="true"/>
          <w:lang w:bidi="fa-IR"/>
        </w:rPr>
        <w:t>بالنجف</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انتهى كلام شيخنا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نقلناه بطوله</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2465460_2870459653"/>
      <w:bookmarkStart w:id="785" w:name="_Toc302"/>
      <w:bookmarkEnd w:id="784"/>
      <w:r>
        <w:rPr/>
        <w:t>2</w:t>
      </w:r>
      <w:r>
        <w:rPr>
          <w:rtl w:val="true"/>
        </w:rPr>
        <w:t xml:space="preserve">- </w:t>
      </w:r>
      <w:r>
        <w:rPr>
          <w:rtl w:val="true"/>
        </w:rPr>
        <w:t>عملنا في التحقيق</w:t>
      </w:r>
      <w:bookmarkEnd w:id="785"/>
    </w:p>
    <w:p>
      <w:pPr>
        <w:pStyle w:val="BookText"/>
        <w:rPr/>
      </w:pPr>
      <w:r>
        <w:rPr>
          <w:rFonts w:ascii="Amiri" w:hAnsi="Amiri" w:eastAsia="Amiri" w:cs="Amiri"/>
          <w:color w:val="111111"/>
          <w:sz w:val="28"/>
          <w:sz w:val="28"/>
          <w:szCs w:val="28"/>
          <w:rtl w:val="true"/>
          <w:lang w:bidi="ar-SA"/>
        </w:rPr>
        <w:t>كان منهجنا بالتحقيق إتباع الخطوات الآتية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توفرت لدینا نسخة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قمنا بمقابلتهما مع نسخة الأصل </w:t>
      </w:r>
    </w:p>
    <w:p>
      <w:pPr>
        <w:pStyle w:val="BookText"/>
        <w:rPr/>
      </w:pPr>
      <w:r>
        <w:rPr>
          <w:rFonts w:ascii="Amiri" w:hAnsi="Amiri" w:eastAsia="Amiri" w:cs="Amiri"/>
          <w:color w:val="111111"/>
          <w:sz w:val="28"/>
          <w:sz w:val="28"/>
          <w:szCs w:val="28"/>
          <w:rtl w:val="true"/>
          <w:lang w:bidi="ar-SA"/>
        </w:rPr>
        <w:t>المعتمدة، وأشرنا في الهوامش إلى ما بينهما من الفرق، ورمزنا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قمنا بتخريج كلمات العلماء الذين نقلوا عن الرسالة، وكان تركيزنا منصباً على من صرّح باقتنائه للرسالة، أو يظهر ذلك منه لانفراده بالنقل عنها، وتحاشينا النقل عمّن يعتقد أن الفقه المنسوب للإمام الرضا هو من تأليف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احتملنا في حقه ذلك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المشكلة محدودة التأثير لأنها برزت بعد عصرالمجلسيين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قمنا بإكمال التلف الحاصل في نسخة الأصل من كتب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كالفقيه والمقنع، والعلامة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ونجل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كفقه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حالات الاضطرار لجأنا للفقه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للتشابه الكبير بين الكتابين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ينقل فيها الصدوق عن رسالة أبيه لم نجد داعيا لنقل كلمات العلماء الآخرين؛ لأنهم في الغالب عيال على الصدوق في النقل، إلا إذا رأينا مناسبة تقتضي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نسخة الأصل تنتهي بصلاة الجمعة، ولكون الرسالة لم تهمل أي باب من الأبواب الفقهية، فلابد لإكمال العمل من استدراك بقية الأبواب الفقهية، وجمع ما تبقى من فتاوى علي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سیکون عملنا علی قسمیین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التی عثرنا علیها من الرسالة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المقاطع المستخرجة من المصادر الأخری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بتخريج الآيات، وشرح الكلمات اللغوية المبهمة، وراعينا في القواميس اللغوية قيمتها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قمنا بتخريج الروايات على وفق المصادر الأصلية كالكتب الأربعة وغيرها وكنا بين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تخريج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نُخرّج كل ما موجود في المخطوطة بناءً على أنها مضامين روائية صيغت بصياغة 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لا نُخرّج أي شيء، فرأينا من المناسب أن نُخرّج ما هو صريح في كونه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اذا قال المصنف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كالصريح مثل بعض الأدعية والأذكار وما شاكلها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نتصرف بنسخة الأصل قدر الإمكان إلا ما دعت إليه الضرورة، وقد نوّهنا لكل تصرفٍ مع ذكر مبرراته، وقمنا بعمل فهرس تفصيلي للمواضيع واستغنينا به عن إدراج عناوين ثانوية في ضمن العناوين الرئيسية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نبهنا بوضع علامة النجمة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وجود فتاوى وصفت بالشاذة أو عدم وجود قائل بها إلا الشيخ علي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تابعه فيها ولده الصدوق أو اتفقت مع 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بعض الفتاوى إلى علي بن بابويه تناسب الأبواب الفقهية الموجودة في المخطوطة، ولكننا لم نجدها في نسختنا فمثلاً نسب المحقق في المعتبر</w:t>
      </w:r>
      <w:r>
        <w:rPr>
          <w:rStyle w:val="FootnoteAnchor"/>
          <w:rtl w:val="true"/>
        </w:rPr>
        <w:footnoteReference w:id="793"/>
      </w:r>
      <w:r>
        <w:rPr>
          <w:rFonts w:ascii="Amiri" w:hAnsi="Amiri" w:eastAsia="Amiri" w:cs="Amiri"/>
          <w:color w:val="111111"/>
          <w:sz w:val="28"/>
          <w:sz w:val="28"/>
          <w:szCs w:val="28"/>
          <w:rtl w:val="true"/>
          <w:lang w:bidi="ar-SA"/>
        </w:rPr>
        <w:t>والشهيد في الذكرى</w:t>
      </w:r>
      <w:r>
        <w:rPr>
          <w:rStyle w:val="FootnoteAnchor"/>
          <w:rtl w:val="true"/>
        </w:rPr>
        <w:footnoteReference w:id="794"/>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بأن الحبلى ترى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ﻫذه الفتوى في باب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لا يعتبر ذلك إشكالا على نسختنا حاولنا تفسير هذا الأمر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ذلك احتمالات عدة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الفتاوى ذُكرت في غير هذه الأبواب لمناسبة تقتضيها ولمّا كانت نسختنا غير مكتملة الأبواب لم نعثر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لدى المحقق والشهيد نسخة أخرى من الرسالة فيها تلك الزيادات ونسختنا تخلو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بن بابويه كتب فقهية عدّة غير الرسالة فلعلها من بعض تلك الكتب، ويؤيده أنهم نسبوا تلك الفتاوى إلى علي بن بابويه وليس للرسالة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المحقق نقل الفتوى عن ابن بابويه وحصل تحريف فأصبحت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الشهيد في ذلك، وهذا الاشتباه له نظائر عديدة نبهنا عليها في الهامش في محالها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احتمالات أُُخر أعرضنا عن ذكرها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دعوانا أن 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13" o:detectmouseclick="t"/>
                <v:stroke color="#3465a4" joinstyle="round" endcap="flat"/>
                <w10:wrap type="none"/>
              </v:shape>
            </w:pict>
          </mc:Fallback>
        </mc:AlternateConten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العنوان من نسخة الأصل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16" o:detectmouseclick="t"/>
                <v:stroke color="#3465a4" joinstyle="round" endcap="flat"/>
                <w10:wrap type="none"/>
              </v:shape>
            </w:pict>
          </mc:Fallback>
        </mc:AlternateConten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الأصل </w:t>
      </w:r>
    </w:p>
    <w:p>
      <w:p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19" o:detectmouseclick="t"/>
                <v:stroke color="#3465a4" joinstyle="round" endcap="flat"/>
                <w10:wrap type="none"/>
              </v:shape>
            </w:pict>
          </mc:Fallback>
        </mc:AlternateConten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الاخيرة من نسخة الأصل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22" o:detectmouseclick="t"/>
                <v:stroke color="#3465a4" joinstyle="round" endcap="flat"/>
                <w10:wrap type="none"/>
              </v:shape>
            </w:pict>
          </mc:Fallback>
        </mc:AlternateConten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2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25" o:detectmouseclick="t"/>
                <v:stroke color="#3465a4" joinstyle="round" endcap="flat"/>
                <w10:wrap type="none"/>
              </v:shape>
            </w:pict>
          </mc:Fallback>
        </mc:AlternateConten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9067_80088"/>
      <w:bookmarkStart w:id="787" w:name="pg9067_80088"/>
      <w:bookmarkEnd w:id="787"/>
    </w:p>
    <w:p>
      <w:pPr>
        <w:pStyle w:val="Heading3"/>
        <w:numPr>
          <w:ilvl w:val="2"/>
          <w:numId w:val="1"/>
        </w:numPr>
        <w:rPr/>
      </w:pPr>
      <w:bookmarkStart w:id="788" w:name="pg9067_80088"/>
      <w:bookmarkStart w:id="789" w:name="__RefHeading___Toc2465462_2870459653"/>
      <w:bookmarkStart w:id="790" w:name="_Toc303"/>
      <w:bookmarkEnd w:id="788"/>
      <w:bookmarkEnd w:id="789"/>
      <w:r>
        <w:rPr>
          <w:rtl w:val="true"/>
        </w:rPr>
        <w:t>متن الرسالة</w:t>
      </w:r>
      <w:bookmarkEnd w:id="79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1" w:name="__RefHeading___Toc2465464_2870459653"/>
      <w:bookmarkStart w:id="792" w:name="_Toc304"/>
      <w:bookmarkEnd w:id="791"/>
      <w:r>
        <w:rPr>
          <w:rtl w:val="true"/>
        </w:rPr>
        <w:t>اشارة</w:t>
      </w:r>
      <w:bookmarkEnd w:id="79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وبه نستعين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أنطق بحمد الله بدءاً وعوداً، وأصلي على محمد وآله أولاً وآخراً، وأشكر الله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أشكره على النعمة فيك، وأقابل آثاره بالخشوع والاعتراف، وأوصيك بما أوصى به إبراهيم بنيه ويعقوب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Style w:val="FootnoteAnchor"/>
          <w:rtl w:val="true"/>
        </w:rPr>
        <w:footnoteReference w:id="796"/>
      </w:r>
      <w:r>
        <w:rPr>
          <w:rFonts w:ascii="Amiri" w:hAnsi="Amiri" w:eastAsia="Amiri" w:cs="Amiri"/>
          <w:color w:val="111111"/>
          <w:sz w:val="28"/>
          <w:sz w:val="28"/>
          <w:szCs w:val="28"/>
          <w:rtl w:val="true"/>
          <w:lang w:bidi="ar-SA"/>
        </w:rPr>
        <w:t xml:space="preserve">إِنَّ اللهَ اصْطَفَى لَكُمُ الدِّينَ فَلَا تَمُوتُنَّ إِلَّا وَأَنتُم مُّسْلِمُونَ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وأحثك على طاعة الله التي هي عصمة كل مستمسك بها، وملاذ</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ملتج إليها، وأخلد لك من آثار دين الله، وحكم نبيه وأوصيائه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خلَّده </w:t>
      </w:r>
      <w:r>
        <w:rPr>
          <w:rStyle w:val="FootnoteAnchor"/>
          <w:rtl w:val="true"/>
        </w:rPr>
        <w:footnoteReference w:id="798"/>
      </w:r>
      <w:r>
        <w:rPr>
          <w:rFonts w:ascii="Amiri" w:hAnsi="Amiri" w:eastAsia="Amiri" w:cs="Amiri"/>
          <w:color w:val="111111"/>
          <w:sz w:val="28"/>
          <w:sz w:val="28"/>
          <w:szCs w:val="28"/>
          <w:rtl w:val="true"/>
          <w:lang w:bidi="ar-SA"/>
        </w:rPr>
        <w:t>لي صالح سلفي عن أئمة الهدى، مفوضاً أمري فيك إلى الله جل وعز</w:t>
      </w:r>
      <w:r>
        <w:rPr>
          <w:rStyle w:val="FootnoteAnchor"/>
          <w:rtl w:val="true"/>
        </w:rPr>
        <w:footnoteReference w:id="799"/>
      </w:r>
      <w:r>
        <w:rPr>
          <w:rFonts w:ascii="Amiri" w:hAnsi="Amiri" w:eastAsia="Amiri" w:cs="Amiri"/>
          <w:color w:val="111111"/>
          <w:sz w:val="28"/>
          <w:sz w:val="28"/>
          <w:szCs w:val="28"/>
          <w:rtl w:val="true"/>
          <w:lang w:bidi="ar-SA"/>
        </w:rPr>
        <w:t xml:space="preserve">، ومتوكلاً في حياطتك عليه، ومعتصماً في توفيقك وتسديدك به، ومتضرعاً في بقائك إليه، اسأله الأخذ بك على أحسن منهاج وأوضح طريق، الله </w:t>
      </w:r>
      <w:r>
        <w:rPr>
          <w:rStyle w:val="FootnoteAnchor"/>
          <w:rtl w:val="true"/>
        </w:rPr>
        <w:footnoteReference w:id="800"/>
      </w:r>
      <w:r>
        <w:rPr>
          <w:rFonts w:ascii="Amiri" w:hAnsi="Amiri" w:eastAsia="Amiri" w:cs="Amiri"/>
          <w:color w:val="111111"/>
          <w:sz w:val="28"/>
          <w:sz w:val="28"/>
          <w:szCs w:val="28"/>
          <w:rtl w:val="true"/>
          <w:lang w:bidi="ar-SA"/>
        </w:rPr>
        <w:t xml:space="preserve">حسبي في ذلك وفي </w:t>
      </w:r>
      <w:r>
        <w:rPr>
          <w:rStyle w:val="FootnoteAnchor"/>
          <w:rtl w:val="true"/>
        </w:rPr>
        <w:footnoteReference w:id="801"/>
      </w:r>
      <w:r>
        <w:rPr>
          <w:rFonts w:ascii="Amiri" w:hAnsi="Amiri" w:eastAsia="Amiri" w:cs="Amiri"/>
          <w:color w:val="111111"/>
          <w:sz w:val="28"/>
          <w:sz w:val="28"/>
          <w:szCs w:val="28"/>
          <w:rtl w:val="true"/>
          <w:lang w:bidi="ar-SA"/>
        </w:rPr>
        <w:t>أموري كلها، وكفى بالله حسيباً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وأحبب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وطاعة أوليائه بما أذاه إلى صادق القرآن والأثر، من حلاوة مثوبة الله وحسن ما وعد أهل طاعته أهنا </w:t>
      </w:r>
      <w:r>
        <w:rPr>
          <w:rStyle w:val="FootnoteAnchor"/>
          <w:rtl w:val="true"/>
        </w:rPr>
        <w:footnoteReference w:id="802"/>
      </w:r>
      <w:r>
        <w:rPr>
          <w:rFonts w:ascii="Amiri" w:hAnsi="Amiri" w:eastAsia="Amiri" w:cs="Amiri"/>
          <w:color w:val="111111"/>
          <w:sz w:val="28"/>
          <w:sz w:val="28"/>
          <w:szCs w:val="28"/>
          <w:rtl w:val="true"/>
          <w:lang w:bidi="ar-SA"/>
        </w:rPr>
        <w:t xml:space="preserve">من النعم ودوام الخلود، مؤدياً </w:t>
      </w:r>
      <w:r>
        <w:rPr>
          <w:rStyle w:val="FootnoteAnchor"/>
          <w:rtl w:val="true"/>
        </w:rPr>
        <w:footnoteReference w:id="803"/>
      </w:r>
      <w:r>
        <w:rPr>
          <w:rFonts w:ascii="Amiri" w:hAnsi="Amiri" w:eastAsia="Amiri" w:cs="Amiri"/>
          <w:color w:val="111111"/>
          <w:sz w:val="28"/>
          <w:sz w:val="28"/>
          <w:szCs w:val="28"/>
          <w:rtl w:val="true"/>
          <w:lang w:bidi="ar-SA"/>
        </w:rPr>
        <w:t xml:space="preserve">إليك عن نفسي </w:t>
      </w:r>
      <w:r>
        <w:rPr>
          <w:rStyle w:val="FootnoteAnchor"/>
          <w:rtl w:val="true"/>
        </w:rPr>
        <w:footnoteReference w:id="804"/>
      </w:r>
      <w:r>
        <w:rPr>
          <w:rFonts w:ascii="Amiri" w:hAnsi="Amiri" w:eastAsia="Amiri" w:cs="Amiri"/>
          <w:color w:val="111111"/>
          <w:sz w:val="28"/>
          <w:sz w:val="28"/>
          <w:szCs w:val="28"/>
          <w:rtl w:val="true"/>
          <w:lang w:bidi="ar-SA"/>
        </w:rPr>
        <w:t xml:space="preserve">ما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805"/>
      </w:r>
      <w:r>
        <w:rPr>
          <w:rFonts w:ascii="Amiri" w:hAnsi="Amiri" w:eastAsia="Amiri" w:cs="Amiri"/>
          <w:color w:val="111111"/>
          <w:sz w:val="28"/>
          <w:sz w:val="28"/>
          <w:szCs w:val="28"/>
          <w:rtl w:val="true"/>
          <w:lang w:bidi="ar-SA"/>
        </w:rPr>
        <w:t>من بيان</w:t>
      </w:r>
      <w:r>
        <w:rPr>
          <w:rStyle w:val="FootnoteAnchor"/>
          <w:rtl w:val="true"/>
        </w:rPr>
        <w:footnoteReference w:id="806"/>
      </w:r>
      <w:r>
        <w:rPr>
          <w:rFonts w:ascii="Amiri" w:hAnsi="Amiri" w:eastAsia="Amiri" w:cs="Amiri"/>
          <w:color w:val="111111"/>
          <w:sz w:val="28"/>
          <w:sz w:val="28"/>
          <w:szCs w:val="28"/>
          <w:rtl w:val="true"/>
          <w:lang w:bidi="ar-SA"/>
        </w:rPr>
        <w:t xml:space="preserve">ما حفظته، ومجانباً ما أخبرني </w:t>
      </w:r>
      <w:r>
        <w:rPr>
          <w:rStyle w:val="FootnoteAnchor"/>
          <w:rtl w:val="true"/>
        </w:rPr>
        <w:footnoteReference w:id="807"/>
      </w:r>
      <w:r>
        <w:rPr>
          <w:rFonts w:ascii="Amiri" w:hAnsi="Amiri" w:eastAsia="Amiri" w:cs="Amiri"/>
          <w:color w:val="111111"/>
          <w:sz w:val="28"/>
          <w:sz w:val="28"/>
          <w:szCs w:val="28"/>
          <w:rtl w:val="true"/>
          <w:lang w:bidi="ar-SA"/>
        </w:rPr>
        <w:t>صالح السلف في حميد الأثر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ازداد في العلم هدى فلم يزدد في البيان رشداً لم يزدد من الله عز وجل إلا بعداً</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اقتناء دين الله عزّ وجلّ، مستعيذاً بالله لي ولك من البعد منه، متضرعاً إليه عزّ وجلّ في القربى والزلفي </w:t>
      </w:r>
      <w:r>
        <w:rPr>
          <w:rStyle w:val="FootnoteAnchor"/>
          <w:rtl w:val="true"/>
        </w:rPr>
        <w:footnoteReference w:id="809"/>
      </w:r>
      <w:r>
        <w:rPr>
          <w:rFonts w:ascii="Amiri" w:hAnsi="Amiri" w:eastAsia="Amiri" w:cs="Amiri"/>
          <w:color w:val="111111"/>
          <w:sz w:val="28"/>
          <w:sz w:val="28"/>
          <w:szCs w:val="28"/>
          <w:rtl w:val="true"/>
          <w:lang w:bidi="ar-SA"/>
        </w:rPr>
        <w:t xml:space="preserve">إليه، وأمرك أن تؤثر من العلوم ملاذ للدين والدنيا، وعصمة في الآخرة والأولى، ومرجئة الفضل في المآثر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البدوى </w:t>
      </w:r>
      <w:r>
        <w:rPr>
          <w:rStyle w:val="FootnoteAnchor"/>
          <w:rtl w:val="true"/>
        </w:rPr>
        <w:footnoteReference w:id="810"/>
      </w:r>
      <w:r>
        <w:rPr>
          <w:rFonts w:ascii="IRNazanin" w:hAnsi="IRNazanin" w:eastAsia="IRNazanin"/>
          <w:color w:val="111111"/>
          <w:sz w:val="28"/>
          <w:sz w:val="28"/>
          <w:szCs w:val="28"/>
          <w:rtl w:val="true"/>
          <w:lang w:bidi="fa-IR"/>
        </w:rPr>
        <w:t xml:space="preserve">والعقبى،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دينه القيم، وحدود طاعته من الصلاة والزكاة </w:t>
      </w:r>
    </w:p>
    <w:p>
      <w:pPr>
        <w:pStyle w:val="BookText"/>
        <w:rPr/>
      </w:pPr>
      <w:r>
        <w:rPr>
          <w:rFonts w:ascii="Amiri" w:hAnsi="Amiri" w:eastAsia="Amiri" w:cs="Amiri"/>
          <w:color w:val="111111"/>
          <w:sz w:val="28"/>
          <w:sz w:val="28"/>
          <w:szCs w:val="28"/>
          <w:rtl w:val="true"/>
          <w:lang w:bidi="ar-SA"/>
        </w:rPr>
        <w:t xml:space="preserve">والصوم والحج وآداب النكاح وغيرها، والهداية إلى الطريقة التي جعلها الله عزّ وجل بسبب </w:t>
      </w:r>
      <w:r>
        <w:rPr>
          <w:rStyle w:val="FootnoteAnchor"/>
          <w:rtl w:val="true"/>
        </w:rPr>
        <w:footnoteReference w:id="812"/>
      </w:r>
      <w:r>
        <w:rPr>
          <w:rFonts w:ascii="Amiri" w:hAnsi="Amiri" w:eastAsia="Amiri" w:cs="Amiri"/>
          <w:color w:val="111111"/>
          <w:sz w:val="28"/>
          <w:sz w:val="28"/>
          <w:szCs w:val="28"/>
          <w:rtl w:val="true"/>
          <w:lang w:bidi="ar-SA"/>
        </w:rPr>
        <w:t>هذه الأحوال، فخذها عني راغباً، وتمسك بها راشداً، وعها حافظاً، فقد أديتها إليك عن أئمة الهدى مؤثراً ما يجب استعماله، وحاذفاً من الاسناد ما يثقل حمله، ويكثر بالتقصاص من الكتاب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عرفني الله فيك الصالحات، ورزقني منك حسن الخلافة، ونفعني بك ديناً ودنيا، وأعانك وأعانني على ما أنويه فيك ورزقني الشكر للنعمة بك وعلى كل نعمة عندي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فريضة، وأحق شريعة، وأفتتح لك سبيلها بما يفتتح من الوضوء، وافتتح الوضوء بما يفتتح منه</w:t>
      </w:r>
      <w:r>
        <w:rPr>
          <w:rFonts w:eastAsia="Amiri" w:cs="Amiri" w:ascii="Amiri" w:hAnsi="Amiri"/>
          <w:color w:val="111111"/>
          <w:sz w:val="28"/>
          <w:szCs w:val="28"/>
          <w:rtl w:val="true"/>
          <w:lang w:bidi="ar-SA"/>
        </w:rPr>
        <w:t xml:space="preserve">: </w:t>
      </w:r>
      <w:bookmarkStart w:id="793" w:name="pg9067_80093"/>
    </w:p>
    <w:p>
      <w:pPr>
        <w:pStyle w:val="Heading4"/>
        <w:numPr>
          <w:ilvl w:val="3"/>
          <w:numId w:val="1"/>
        </w:numPr>
        <w:rPr/>
      </w:pPr>
      <w:bookmarkStart w:id="794" w:name="__RefHeading___Toc2465466_2870459653"/>
      <w:bookmarkStart w:id="795" w:name="_Toc305"/>
      <w:bookmarkEnd w:id="793"/>
      <w:bookmarkEnd w:id="794"/>
      <w:r>
        <w:rPr>
          <w:rtl w:val="true"/>
        </w:rPr>
        <w:t>باب دخول الخلاء</w:t>
      </w:r>
      <w:bookmarkEnd w:id="795"/>
    </w:p>
    <w:p>
      <w:pPr>
        <w:pStyle w:val="BookText"/>
        <w:rPr/>
      </w:pPr>
      <w:r>
        <w:rPr>
          <w:rFonts w:ascii="Amiri" w:hAnsi="Amiri" w:eastAsia="Amiri" w:cs="Amiri"/>
          <w:color w:val="111111"/>
          <w:sz w:val="28"/>
          <w:sz w:val="28"/>
          <w:szCs w:val="28"/>
          <w:rtl w:val="true"/>
          <w:lang w:bidi="ar-SA"/>
        </w:rPr>
        <w:t>إذا أردتَ دخول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رجلك اليُسرى قبل اليُمنى</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بالله من الرِّجْسِ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المُخْبثِ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الرَّجيم</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واتق التغويط على شطوط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والطّرق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الأشجار المثمرة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تطمّح ببولك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 في جُحرة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ماءٍ 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بأن تبول في ماءٍ جارٍ</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تمتنع مِن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على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سَمِعتَ الآذان فقل كما يقول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تمتنع مِن الدّعاء والتَّحميد مِن أجل أنك على الخلاء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أماط عنّي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وهنّأني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وعافاني مِن البلوى</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 بإصبعك مِن عِندِ المقعدة إلى الأُنثيين ثلاث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وانتر ثلاث مرّات ذَكَرَكَ</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صببت الماء على يديك للاستنجاء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يجعله نَجساً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وصُبَّ على إحليلك من الماء مثلي</w:t>
      </w:r>
      <w:r>
        <w:rPr>
          <w:rStyle w:val="FootnoteAnchor"/>
          <w:rtl w:val="true"/>
        </w:rPr>
        <w:footnoteReference w:id="819"/>
      </w:r>
      <w:r>
        <w:rPr>
          <w:rFonts w:ascii="Amiri" w:hAnsi="Amiri" w:eastAsia="Amiri" w:cs="Amiri"/>
          <w:color w:val="111111"/>
          <w:sz w:val="28"/>
          <w:sz w:val="28"/>
          <w:szCs w:val="28"/>
          <w:rtl w:val="true"/>
          <w:lang w:bidi="ar-SA"/>
        </w:rPr>
        <w:t>ما عليه مِن البول تَصبّه مرَّتين</w:t>
      </w:r>
      <w:r>
        <w:rPr>
          <w:rStyle w:val="FootnoteAnchor"/>
          <w:rtl w:val="true"/>
        </w:rPr>
        <w:footnoteReference w:id="820"/>
      </w:r>
      <w:r>
        <w:rPr>
          <w:rFonts w:ascii="Amiri" w:hAnsi="Amiri" w:eastAsia="Amiri" w:cs="Amiri"/>
          <w:color w:val="111111"/>
          <w:sz w:val="28"/>
          <w:sz w:val="28"/>
          <w:szCs w:val="28"/>
          <w:rtl w:val="true"/>
          <w:lang w:bidi="ar-SA"/>
        </w:rPr>
        <w:t>، هذا أدنى ما يُجزي</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استنجِ</w:t>
      </w:r>
      <w:r>
        <w:rPr>
          <w:rStyle w:val="FootnoteAnchor"/>
          <w:rtl w:val="true"/>
        </w:rPr>
        <w:footnoteReference w:id="822"/>
      </w:r>
      <w:r>
        <w:rPr>
          <w:rFonts w:ascii="Amiri" w:hAnsi="Amiri" w:eastAsia="Amiri" w:cs="Amiri"/>
          <w:color w:val="111111"/>
          <w:sz w:val="28"/>
          <w:sz w:val="28"/>
          <w:szCs w:val="28"/>
          <w:rtl w:val="true"/>
          <w:lang w:bidi="ar-SA"/>
        </w:rPr>
        <w:t>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وإغسل حتى ينقى ما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انتضَح على ثيابك أو على يديك مِن الماء الذي تستنجي به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تَرشش مِن يديك منه في الإناء أو انصبَّ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منه</w:t>
      </w:r>
      <w:r>
        <w:rPr>
          <w:rStyle w:val="FootnoteAnchor"/>
          <w:rtl w:val="true"/>
        </w:rPr>
        <w:footnoteReference w:id="823"/>
      </w:r>
      <w:r>
        <w:rPr>
          <w:rFonts w:ascii="Amiri" w:hAnsi="Amiri" w:eastAsia="Amiri" w:cs="Amiri"/>
          <w:color w:val="111111"/>
          <w:sz w:val="28"/>
          <w:sz w:val="28"/>
          <w:szCs w:val="28"/>
          <w:rtl w:val="true"/>
          <w:lang w:bidi="ar-SA"/>
        </w:rPr>
        <w:t>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عليك خاتم عليه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فحوّله مِن يدك اليُسرى إذا أردتَ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الخروج مِن المخرج فاخرج رجلك اليمنى قبل اليسرى</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خرجت فامسح يدك على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عرَّفني لذته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وأبقى قوته في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عنّي أذاه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796" w:name="pg9067_80096"/>
    </w:p>
    <w:p>
      <w:pPr>
        <w:pStyle w:val="Heading4"/>
        <w:numPr>
          <w:ilvl w:val="3"/>
          <w:numId w:val="1"/>
        </w:numPr>
        <w:rPr/>
      </w:pPr>
      <w:bookmarkStart w:id="797" w:name="__RefHeading___Toc2465468_2870459653"/>
      <w:bookmarkStart w:id="798" w:name="_Toc306"/>
      <w:bookmarkEnd w:id="796"/>
      <w:bookmarkEnd w:id="797"/>
      <w:r>
        <w:rPr>
          <w:rtl w:val="true"/>
        </w:rPr>
        <w:t>باب الوضوء</w:t>
      </w:r>
      <w:bookmarkEnd w:id="798"/>
    </w:p>
    <w:p>
      <w:pPr>
        <w:pStyle w:val="BookText"/>
        <w:rPr/>
      </w:pPr>
      <w:r>
        <w:rPr>
          <w:rFonts w:ascii="Amiri" w:hAnsi="Amiri" w:eastAsia="Amiri" w:cs="Amiri"/>
          <w:color w:val="111111"/>
          <w:sz w:val="28"/>
          <w:sz w:val="28"/>
          <w:szCs w:val="28"/>
          <w:rtl w:val="true"/>
          <w:lang w:bidi="ar-SA"/>
        </w:rPr>
        <w:t>فإذا أردت الوضوء، فاغسل يديك إذا</w:t>
      </w:r>
      <w:r>
        <w:rPr>
          <w:rStyle w:val="FootnoteAnchor"/>
          <w:rtl w:val="true"/>
        </w:rPr>
        <w:footnoteReference w:id="826"/>
      </w:r>
      <w:r>
        <w:rPr>
          <w:rFonts w:ascii="Amiri" w:hAnsi="Amiri" w:eastAsia="Amiri" w:cs="Amiri"/>
          <w:color w:val="111111"/>
          <w:sz w:val="28"/>
          <w:sz w:val="28"/>
          <w:szCs w:val="28"/>
          <w:rtl w:val="true"/>
          <w:lang w:bidi="ar-SA"/>
        </w:rPr>
        <w:t xml:space="preserve">كنت جنباً ثلاث مرات، وإن تغوطت فمرتين، وإن كان وضوؤك من النوم فمرَّة قَبلَ أنْ تُدخلها </w:t>
      </w:r>
      <w:r>
        <w:rPr>
          <w:rStyle w:val="FootnoteAnchor"/>
          <w:rtl w:val="true"/>
        </w:rPr>
        <w:footnoteReference w:id="827"/>
      </w:r>
      <w:r>
        <w:rPr>
          <w:rFonts w:ascii="Amiri" w:hAnsi="Amiri" w:eastAsia="Amiri" w:cs="Amiri"/>
          <w:color w:val="111111"/>
          <w:sz w:val="28"/>
          <w:sz w:val="28"/>
          <w:szCs w:val="28"/>
          <w:rtl w:val="true"/>
          <w:lang w:bidi="ar-SA"/>
        </w:rPr>
        <w:t xml:space="preserve">الإناء، وإن لم يكن فيهما </w:t>
      </w:r>
      <w:r>
        <w:rPr>
          <w:rStyle w:val="FootnoteAnchor"/>
          <w:rtl w:val="true"/>
        </w:rPr>
        <w:footnoteReference w:id="828"/>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وضوؤك من النوم، ونسيت فأدخلت يدك الماء</w:t>
      </w:r>
      <w:r>
        <w:rPr>
          <w:rStyle w:val="FootnoteAnchor"/>
          <w:rtl w:val="true"/>
        </w:rPr>
        <w:footnoteReference w:id="829"/>
      </w:r>
      <w:r>
        <w:rPr>
          <w:rFonts w:ascii="IRNazanin" w:hAnsi="IRNazanin" w:eastAsia="IRNazanin"/>
          <w:color w:val="111111"/>
          <w:sz w:val="28"/>
          <w:sz w:val="28"/>
          <w:szCs w:val="28"/>
          <w:rtl w:val="true"/>
          <w:lang w:bidi="fa-IR"/>
        </w:rPr>
        <w:t xml:space="preserve">قبل أن تغسلها، قصب </w:t>
      </w:r>
      <w:r>
        <w:rPr>
          <w:rStyle w:val="FootnoteAnchor"/>
          <w:rtl w:val="true"/>
        </w:rPr>
        <w:footnoteReference w:id="830"/>
      </w:r>
      <w:r>
        <w:rPr>
          <w:rFonts w:ascii="Amiri" w:hAnsi="Amiri" w:eastAsia="Amiri" w:cs="Amiri"/>
          <w:color w:val="111111"/>
          <w:sz w:val="28"/>
          <w:sz w:val="28"/>
          <w:szCs w:val="28"/>
          <w:rtl w:val="true"/>
          <w:lang w:bidi="ar-SA"/>
        </w:rPr>
        <w:t xml:space="preserve">ذلك الماء ولا تستعمله، وإن أدخلتها </w:t>
      </w:r>
      <w:r>
        <w:rPr>
          <w:rStyle w:val="FootnoteAnchor"/>
          <w:rtl w:val="true"/>
        </w:rPr>
        <w:footnoteReference w:id="831"/>
      </w:r>
      <w:r>
        <w:rPr>
          <w:rFonts w:ascii="Amiri" w:hAnsi="Amiri" w:eastAsia="Amiri" w:cs="Amiri"/>
          <w:color w:val="111111"/>
          <w:sz w:val="28"/>
          <w:sz w:val="28"/>
          <w:szCs w:val="28"/>
          <w:rtl w:val="true"/>
          <w:lang w:bidi="ar-SA"/>
        </w:rPr>
        <w:t xml:space="preserve">في الماء من حدث البول، أو الغائط، من قبل أن تغسلها ناسياً فلا بأس به، إلا أن يكون في يديك </w:t>
      </w:r>
      <w:r>
        <w:rPr>
          <w:rStyle w:val="FootnoteAnchor"/>
          <w:rtl w:val="true"/>
        </w:rPr>
        <w:footnoteReference w:id="832"/>
      </w:r>
      <w:r>
        <w:rPr>
          <w:rFonts w:ascii="Amiri" w:hAnsi="Amiri" w:eastAsia="Amiri" w:cs="Amiri"/>
          <w:color w:val="111111"/>
          <w:sz w:val="28"/>
          <w:sz w:val="28"/>
          <w:szCs w:val="28"/>
          <w:rtl w:val="true"/>
          <w:lang w:bidi="ar-SA"/>
        </w:rPr>
        <w:t>فَذَر يُنجس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تستعن بغيرك ليصب الماء عليك، فيكون قد شاركك في وضونك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اغرف بكفك اليمنى من الإناء </w:t>
      </w:r>
      <w:r>
        <w:rPr>
          <w:rStyle w:val="FootnoteAnchor"/>
          <w:rtl w:val="true"/>
        </w:rPr>
        <w:footnoteReference w:id="833"/>
      </w:r>
      <w:r>
        <w:rPr>
          <w:rFonts w:ascii="IRNazanin" w:hAnsi="IRNazanin" w:eastAsia="IRNazanin"/>
          <w:color w:val="111111"/>
          <w:sz w:val="28"/>
          <w:sz w:val="28"/>
          <w:szCs w:val="28"/>
          <w:rtl w:val="true"/>
          <w:lang w:bidi="fa-IR"/>
        </w:rPr>
        <w:t xml:space="preserve">ملئها </w:t>
      </w:r>
      <w:r>
        <w:rPr>
          <w:rStyle w:val="FootnoteAnchor"/>
          <w:rtl w:val="true"/>
        </w:rPr>
        <w:footnoteReference w:id="834"/>
      </w:r>
      <w:r>
        <w:rPr>
          <w:rFonts w:ascii="IRNazanin" w:hAnsi="IRNazanin" w:eastAsia="IRNazanin"/>
          <w:color w:val="111111"/>
          <w:sz w:val="28"/>
          <w:sz w:val="28"/>
          <w:szCs w:val="28"/>
          <w:rtl w:val="true"/>
          <w:lang w:bidi="fa-IR"/>
        </w:rPr>
        <w:t>، وقل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أشهد أن لا إله إلا الله وحده لا شريك له، وأشهد أن محمداً عبده ورسوله، اللهم صل على محمد وآل محمد، واجعلني من يحب الخيرات، ويعمل بها، </w:t>
      </w:r>
    </w:p>
    <w:p>
      <w:pPr>
        <w:pStyle w:val="BookText"/>
        <w:rPr/>
      </w:pPr>
      <w:r>
        <w:rPr>
          <w:rFonts w:ascii="Amiri" w:hAnsi="Amiri" w:eastAsia="Amiri" w:cs="Amiri"/>
          <w:color w:val="111111"/>
          <w:sz w:val="28"/>
          <w:sz w:val="28"/>
          <w:szCs w:val="28"/>
          <w:rtl w:val="true"/>
          <w:lang w:bidi="ar-SA"/>
        </w:rPr>
        <w:t xml:space="preserve">ويُسارع إليها، أعوذ بك من سَفعَات </w:t>
      </w:r>
      <w:r>
        <w:rPr>
          <w:rStyle w:val="FootnoteAnchor"/>
          <w:rtl w:val="true"/>
        </w:rPr>
        <w:footnoteReference w:id="835"/>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واضرب بها وجهك صيفاً كان أم شتاء؛ فإنه إن كان شتاء فزعت فلم تجد برداً، وإن كان صيفاً ذهب </w:t>
      </w:r>
      <w:r>
        <w:rPr>
          <w:rStyle w:val="FootnoteAnchor"/>
          <w:rtl w:val="true"/>
        </w:rPr>
        <w:footnoteReference w:id="837"/>
      </w:r>
      <w:r>
        <w:rPr>
          <w:rFonts w:ascii="Amiri" w:hAnsi="Amiri" w:eastAsia="Amiri" w:cs="Amiri"/>
          <w:color w:val="111111"/>
          <w:sz w:val="28"/>
          <w:sz w:val="28"/>
          <w:szCs w:val="28"/>
          <w:rtl w:val="true"/>
          <w:lang w:bidi="ar-SA"/>
        </w:rPr>
        <w:t xml:space="preserve">عنك النعاس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وابدأ بالجبهة، ثم امرر يدك على وجهك من الجانبين جميعاً مرة واحدة، من قصاص الشعر إلى أطراف لحيتك </w:t>
      </w:r>
      <w:r>
        <w:rPr>
          <w:rStyle w:val="FootnoteAnchor"/>
          <w:rtl w:val="true"/>
        </w:rPr>
        <w:footnoteReference w:id="839"/>
      </w:r>
      <w:r>
        <w:rPr>
          <w:rFonts w:ascii="Amiri" w:hAnsi="Amiri" w:eastAsia="Amiri" w:cs="Amiri"/>
          <w:color w:val="111111"/>
          <w:sz w:val="28"/>
          <w:sz w:val="28"/>
          <w:szCs w:val="28"/>
          <w:rtl w:val="true"/>
          <w:lang w:bidi="ar-SA"/>
        </w:rPr>
        <w:t xml:space="preserve">فما دارت عليه الوسطى والإبهام </w:t>
      </w:r>
      <w:r>
        <w:rPr>
          <w:rStyle w:val="FootnoteAnchor"/>
          <w:rtl w:val="true"/>
        </w:rPr>
        <w:footnoteReference w:id="840"/>
      </w:r>
      <w:r>
        <w:rPr>
          <w:rFonts w:ascii="Amiri" w:hAnsi="Amiri" w:eastAsia="Amiri" w:cs="Amiri"/>
          <w:color w:val="111111"/>
          <w:sz w:val="28"/>
          <w:sz w:val="28"/>
          <w:szCs w:val="28"/>
          <w:rtl w:val="true"/>
          <w:lang w:bidi="ar-SA"/>
        </w:rPr>
        <w:t>فهو الوجه، وما كان خارجاً عن هذا الحد فليس من الوجه،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وآله، وبيض وجهي يوم تسود فيه الوجوه، ولا تسود وجهي يوم تبيض </w:t>
      </w:r>
      <w:r>
        <w:rPr>
          <w:rStyle w:val="FootnoteAnchor"/>
          <w:rtl w:val="true"/>
        </w:rPr>
        <w:footnoteReference w:id="841"/>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Style w:val="FootnoteAnchor"/>
          <w:rtl w:val="true"/>
        </w:rPr>
        <w:footnoteReference w:id="842"/>
      </w:r>
      <w:r>
        <w:rPr>
          <w:rFonts w:ascii="Amiri" w:hAnsi="Amiri" w:eastAsia="Amiri" w:cs="Amiri"/>
          <w:color w:val="111111"/>
          <w:sz w:val="28"/>
          <w:sz w:val="28"/>
          <w:szCs w:val="28"/>
          <w:rtl w:val="true"/>
          <w:lang w:bidi="ar-SA"/>
        </w:rPr>
        <w:t>ثم اغرف كفاً بيمينك، وصبّه على كفّك اليسرى، وضعه على مرفقك اليمنى، وامرر عليه كفك اليسرى من المرفق إلى أطراف الأصابع، وقل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اعطني كتابي بيميني، والخلد في الجنان بيساري</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اغرف كفاً بيمينك، وضعه على مرفقك الأيسر، وامرر عليه كفك</w:t>
      </w:r>
      <w:r>
        <w:rPr>
          <w:rStyle w:val="FootnoteAnchor"/>
          <w:rtl w:val="true"/>
        </w:rPr>
        <w:footnoteReference w:id="844"/>
      </w:r>
      <w:r>
        <w:rPr>
          <w:rFonts w:ascii="IRNazanin" w:hAnsi="IRNazanin" w:eastAsia="IRNazanin"/>
          <w:color w:val="111111"/>
          <w:sz w:val="28"/>
          <w:sz w:val="28"/>
          <w:szCs w:val="28"/>
          <w:rtl w:val="true"/>
          <w:lang w:bidi="fa-IR"/>
        </w:rPr>
        <w:t xml:space="preserve">من المرفق إلى أطراف الأصابع </w:t>
      </w:r>
      <w:r>
        <w:rPr>
          <w:rStyle w:val="FootnoteAnchor"/>
          <w:rtl w:val="true"/>
        </w:rPr>
        <w:footnoteReference w:id="845"/>
      </w:r>
      <w:r>
        <w:rPr>
          <w:rFonts w:ascii="IRNazanin" w:hAnsi="IRNazanin" w:eastAsia="IRNazanin"/>
          <w:color w:val="111111"/>
          <w:sz w:val="28"/>
          <w:sz w:val="28"/>
          <w:szCs w:val="28"/>
          <w:rtl w:val="true"/>
          <w:lang w:bidi="fa-IR"/>
        </w:rPr>
        <w:t>،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تعطني كتابي بيساري، ولا تجعلها مغلولة إلى عنقي، وأعوذ بك من مقطعات النار</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وإياك أن تردَّ الشعر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وامسح مقدم رأسك مع الشعر إلى قصاص الشعر،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وبركاتك</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وامسح بما بقي من بلة يمينك ظهر قدمك اليمنى، وببلة يسارك ظهر قدمك اليسرى، وتضع كفيك على أطراف أصابع رجليك وتمدهما </w:t>
      </w:r>
      <w:r>
        <w:rPr>
          <w:rStyle w:val="FootnoteAnchor"/>
          <w:rtl w:val="true"/>
        </w:rPr>
        <w:footnoteReference w:id="849"/>
      </w:r>
      <w:r>
        <w:rPr>
          <w:rFonts w:ascii="Amiri" w:hAnsi="Amiri" w:eastAsia="Amiri" w:cs="Amiri"/>
          <w:color w:val="111111"/>
          <w:sz w:val="28"/>
          <w:sz w:val="28"/>
          <w:szCs w:val="28"/>
          <w:rtl w:val="true"/>
          <w:lang w:bidi="ar-SA"/>
        </w:rPr>
        <w:t xml:space="preserve">إلى الكعبين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وابدأ بالرجل اليمنى في المسح قبل اليُسرى </w:t>
      </w:r>
      <w:r>
        <w:rPr>
          <w:rStyle w:val="FootnoteAnchor"/>
          <w:rtl w:val="true"/>
        </w:rPr>
        <w:footnoteReference w:id="851"/>
      </w:r>
      <w:r>
        <w:rPr>
          <w:rFonts w:ascii="IRNazanin" w:hAnsi="IRNazanin" w:eastAsia="IRNazanin"/>
          <w:color w:val="111111"/>
          <w:sz w:val="28"/>
          <w:sz w:val="28"/>
          <w:szCs w:val="28"/>
          <w:rtl w:val="true"/>
          <w:lang w:bidi="fa-IR"/>
        </w:rPr>
        <w:t>،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 قدمي على الصراط المستقيم يوم تزول</w:t>
      </w:r>
      <w:r>
        <w:rPr>
          <w:rStyle w:val="FootnoteAnchor"/>
          <w:rtl w:val="true"/>
        </w:rPr>
        <w:footnoteReference w:id="852"/>
      </w:r>
      <w:r>
        <w:rPr>
          <w:rFonts w:ascii="IRNazanin" w:hAnsi="IRNazanin" w:eastAsia="IRNazanin"/>
          <w:color w:val="111111"/>
          <w:sz w:val="28"/>
          <w:sz w:val="28"/>
          <w:szCs w:val="28"/>
          <w:rtl w:val="true"/>
          <w:lang w:bidi="fa-IR"/>
        </w:rPr>
        <w:t>الأقدام</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الماء كثيراً فلا بد من ثلاثة أكف ملاء من ماء، كفّ للوجه، وكفان للذراعين، فإن لم تقدر إلا على مقدار كف واحد فرقته ثلاث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عليك نعل حذو فامسح يدك عليها، ولا تدخل يدك تحت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وضوئك،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توضأت المرأة ألقت قناعها عن موضع مسح رأسها في صلاة الغداة والمغرب، وتمسح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ويجزيها في سائر الصلوات أن تُدخل إصبعها فتمسح على رأسها من غير أن تُلقي عنها قناعها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بدأت بغسل يمينك قبل وجهك فاغسل وجهك، ثم أعد على اليمين، فإن بدأت بغسل يسارك قبل يمينك فأعد على يمينك ثم أعد على يسارك، وإن مسحت على رجليك قبل رأسك فامسح على رأسك ثم أعد المسح على رجليك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شككت في شيء من وضوئك وأنت قاعد على حال الوضوء فأعد، وإن عن مكانك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 شيء من وضوتك، فلا تلتفت إلى الشك إلا أن</w:t>
      </w:r>
    </w:p>
    <w:p>
      <w:pPr>
        <w:pStyle w:val="BookText"/>
        <w:rPr/>
      </w:pPr>
      <w:r>
        <w:rPr>
          <w:rFonts w:ascii="Amiri" w:hAnsi="Amiri" w:eastAsia="Amiri" w:cs="Amiri"/>
          <w:color w:val="111111"/>
          <w:sz w:val="28"/>
          <w:sz w:val="28"/>
          <w:szCs w:val="28"/>
          <w:rtl w:val="true"/>
          <w:lang w:bidi="ar-SA"/>
        </w:rPr>
        <w:t>قمت تستيقن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نسيت مسح رأسك، فامسح عليه وعلى رجليك من بلة وضوئك، وإن لم يكن بقي شيء في يديك من بلة وضوئك فخذ ما بقي منه في لحيتك وامسح به رأسك ورجليك، فإن لم يكن لك لحية فخذ من حاجبيك وأشفار عينيك وامسح به رأسك ورجليك، وإن لم يبق من بلة وضوئك شيء أعدت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تمضمضت واستنشقت فليكن ذلك ثلاثاً ثلاثاً، ولا بأس بأن لا تتمضمض ولا تستنشق؛ لأن الوضوء المفروض عليك هو ما وصفته لك، والمضمضة والاستنشاق سُنَّة، لا سُنَّة الوضوء؛ لأنَّ الوضوء فريضة كله، ولكنها من الحنيفية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مِلَّةَ إِبْرَاهِيمَ حَنِيفًا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وهي عشر سنن</w:t>
      </w:r>
      <w:r>
        <w:rPr>
          <w:rStyle w:val="FootnoteAnchor"/>
          <w:rtl w:val="true"/>
        </w:rPr>
        <w:footnoteReference w:id="857"/>
      </w:r>
      <w:r>
        <w:rPr>
          <w:rFonts w:ascii="Amiri" w:hAnsi="Amiri" w:eastAsia="Amiri" w:cs="Amiri"/>
          <w:color w:val="111111"/>
          <w:sz w:val="28"/>
          <w:sz w:val="28"/>
          <w:szCs w:val="28"/>
          <w:rtl w:val="true"/>
          <w:lang w:bidi="ar-SA"/>
        </w:rPr>
        <w:t>، خمس في الرأس، وخمس في البدن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التي في الرأس فالمضمضة، والاستنشاق، والسواك، وقص الشارب، والفرق، </w:t>
      </w:r>
    </w:p>
    <w:p>
      <w:pPr>
        <w:pStyle w:val="BookText"/>
        <w:rPr/>
      </w:pPr>
      <w:r>
        <w:rPr>
          <w:rFonts w:ascii="Amiri" w:hAnsi="Amiri" w:eastAsia="Amiri" w:cs="Amiri"/>
          <w:color w:val="111111"/>
          <w:sz w:val="28"/>
          <w:sz w:val="28"/>
          <w:szCs w:val="28"/>
          <w:rtl w:val="true"/>
          <w:lang w:bidi="ar-SA"/>
        </w:rPr>
        <w:t>أعني لمن طول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وإياك أن تدع الفرق إن كان لك شعر طويل؛ فقد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يفرق شعره فرقه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يوم القيامة بمنشار من نار</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التي في الجسد فالاستنجاء، والختان، وحلق العانة، وقص الأظافير، ونتف الإبطين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وجدت بلة على طرف إحليلك، أو في ثوبك بعد وضوئك، وقد عَمِلْتَ ما وصفته لك من مسح أسفل أنثييك، ونتر إحليلك ثلاثاً فلا تلتفت إلى شيء منه، ولا تنقض له الوضوء، ولا تغسل منه ثوبك؛ فإنَّ ذلك من الحبائل </w:t>
      </w:r>
      <w:r>
        <w:rPr>
          <w:rStyle w:val="FootnoteAnchor"/>
          <w:rtl w:val="true"/>
        </w:rPr>
        <w:footnoteReference w:id="860"/>
      </w:r>
      <w:r>
        <w:rPr>
          <w:rFonts w:ascii="Amiri" w:hAnsi="Amiri" w:eastAsia="Amiri" w:cs="Amiri"/>
          <w:color w:val="111111"/>
          <w:sz w:val="28"/>
          <w:sz w:val="28"/>
          <w:szCs w:val="28"/>
          <w:rtl w:val="true"/>
          <w:lang w:bidi="ar-SA"/>
        </w:rPr>
        <w:t>والبواسير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تغسل ثوبك، ولا إحليلك من مذي ولا وذي؛ فإنها بمنزلة البصاق والمخاط، ولا تغسل ثوبك إلا مما يجب عليك في خروجه إعادة الصلاة والوضوء، ولا يجب عليك إعادة الوضوء إلا من بول، أو مني، أو غائط، أو ريح تشتها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شككت في ريح أنها خرجت منك أو لم تخرج، فلا تنقض الوضوء من أجلها، </w:t>
      </w:r>
    </w:p>
    <w:p>
      <w:pPr>
        <w:pStyle w:val="BookText"/>
        <w:rPr/>
      </w:pPr>
      <w:r>
        <w:rPr>
          <w:rFonts w:ascii="Amiri" w:hAnsi="Amiri" w:eastAsia="Amiri" w:cs="Amiri"/>
          <w:color w:val="111111"/>
          <w:sz w:val="28"/>
          <w:sz w:val="28"/>
          <w:szCs w:val="28"/>
          <w:rtl w:val="true"/>
          <w:lang w:bidi="ar-SA"/>
        </w:rPr>
        <w:t>إلا أن تسمع صوتها، أو تجد ريحها، فإن استيقنت أنها خرجت منك فأعد الوضوء، سمعت صوتها أو لم تسمع، شممت ريحها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شككت في الوضوء، وكنت على يقين من الحدث فتوضأ</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شككت في الحدث، وكنت على يقين من الوضوء، فلا ينقض اليقين بالشك، إلا أن تستيقن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على يقين من الوضوء والحدث، ولا تدري أيهما سبق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تبعض الوضوء، وتابع بينه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ابدأ بالوجه، ثم اليدين ثم امسح بالرأس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فرغت من بعض وضوتك، وانقطع بك الماء من قبل أن تُبمَّه، فأُتيت بالماء فأتمم </w:t>
      </w:r>
      <w:r>
        <w:rPr>
          <w:rStyle w:val="FootnoteAnchor"/>
          <w:rtl w:val="true"/>
        </w:rPr>
        <w:footnoteReference w:id="863"/>
      </w:r>
      <w:r>
        <w:rPr>
          <w:rFonts w:ascii="Amiri" w:hAnsi="Amiri" w:eastAsia="Amiri" w:cs="Amiri"/>
          <w:color w:val="111111"/>
          <w:sz w:val="28"/>
          <w:sz w:val="28"/>
          <w:szCs w:val="28"/>
          <w:rtl w:val="true"/>
          <w:lang w:bidi="ar-SA"/>
        </w:rPr>
        <w:t xml:space="preserve">وضوءك إذا كان ما غسلته رطباً، وإن كان قد جفّ فأعد الوضوء </w:t>
      </w:r>
      <w:r>
        <w:rPr>
          <w:rStyle w:val="FootnoteAnchor"/>
          <w:rtl w:val="true"/>
        </w:rPr>
        <w:footnoteReference w:id="864"/>
      </w:r>
      <w:r>
        <w:rPr>
          <w:rFonts w:ascii="Amiri" w:hAnsi="Amiri" w:eastAsia="Amiri" w:cs="Amiri"/>
          <w:color w:val="111111"/>
          <w:sz w:val="28"/>
          <w:sz w:val="28"/>
          <w:szCs w:val="28"/>
          <w:rtl w:val="true"/>
          <w:lang w:bidi="ar-SA"/>
        </w:rPr>
        <w:t xml:space="preserve">، وإن جف بعض وضوئك قبل أن يتم </w:t>
      </w:r>
      <w:r>
        <w:rPr>
          <w:rStyle w:val="FootnoteAnchor"/>
          <w:rtl w:val="true"/>
        </w:rPr>
        <w:footnoteReference w:id="865"/>
      </w:r>
      <w:r>
        <w:rPr>
          <w:rFonts w:ascii="Amiri" w:hAnsi="Amiri" w:eastAsia="Amiri" w:cs="Amiri"/>
          <w:color w:val="111111"/>
          <w:sz w:val="28"/>
          <w:sz w:val="28"/>
          <w:szCs w:val="28"/>
          <w:rtl w:val="true"/>
          <w:lang w:bidi="ar-SA"/>
        </w:rPr>
        <w:t>الوضوء من غير أن ينقطع عنك الماء، فاغسل ما بقي، جف وضوؤك أو لم يجف</w:t>
      </w:r>
      <w:r>
        <w:rPr>
          <w:rStyle w:val="FootnoteAnchor"/>
          <w:rtl w:val="true"/>
        </w:rPr>
        <w:footnoteReference w:id="866"/>
      </w:r>
      <w:r>
        <w:rPr>
          <w:rStyle w:val="FootnoteAnchor"/>
          <w:rtl w:val="true"/>
        </w:rPr>
        <w:footnoteReference w:id="867"/>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كان في يدك خاتم فَدوّره في وضوئك، وإن علمت أن الماء لا يدخل تحته ولا تمسح على عمامة، ولا على قلنسوة، ولا تمسح على خفيك، ولا على جوربك إلا من عدة تتقيه، أو ثلج تخاف منه </w:t>
      </w:r>
      <w:r>
        <w:rPr>
          <w:rStyle w:val="FootnoteAnchor"/>
          <w:rtl w:val="true"/>
        </w:rPr>
        <w:footnoteReference w:id="869"/>
      </w:r>
      <w:r>
        <w:rPr>
          <w:rFonts w:ascii="Amiri" w:hAnsi="Amiri" w:eastAsia="Amiri" w:cs="Amiri"/>
          <w:color w:val="111111"/>
          <w:sz w:val="28"/>
          <w:sz w:val="28"/>
          <w:szCs w:val="28"/>
          <w:rtl w:val="true"/>
          <w:lang w:bidi="ar-SA"/>
        </w:rPr>
        <w:t>على رجلك، تقيم الخفين مقام الجابر فتمسح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خلاف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تقيَّة في شرب المسكر والمسح على الخفين</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وضوؤك من القيء، والقلس </w:t>
      </w:r>
      <w:r>
        <w:rPr>
          <w:rStyle w:val="FootnoteAnchor"/>
          <w:rtl w:val="true"/>
        </w:rPr>
        <w:footnoteReference w:id="871"/>
      </w:r>
      <w:r>
        <w:rPr>
          <w:rFonts w:ascii="Amiri" w:hAnsi="Amiri" w:eastAsia="Amiri" w:cs="Amiri"/>
          <w:color w:val="111111"/>
          <w:sz w:val="28"/>
          <w:sz w:val="28"/>
          <w:szCs w:val="28"/>
          <w:rtl w:val="true"/>
          <w:lang w:bidi="ar-SA"/>
        </w:rPr>
        <w:t>، والرعاف، والحجامة، والدماميل، والجروح، والقروح</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احتقنت وحملت شيافة </w:t>
      </w:r>
      <w:r>
        <w:rPr>
          <w:rStyle w:val="FootnoteAnchor"/>
          <w:rtl w:val="true"/>
        </w:rPr>
        <w:footnoteReference w:id="872"/>
      </w:r>
      <w:r>
        <w:rPr>
          <w:rFonts w:ascii="Amiri" w:hAnsi="Amiri" w:eastAsia="Amiri" w:cs="Amiri"/>
          <w:color w:val="111111"/>
          <w:sz w:val="28"/>
          <w:sz w:val="28"/>
          <w:szCs w:val="28"/>
          <w:rtl w:val="true"/>
          <w:lang w:bidi="ar-SA"/>
        </w:rPr>
        <w:t>، فليس عليك إعادة الوضوء، فإن خرج منك ما احتقنت به، أو الشيافة وكانت مختلطة بالثفل</w:t>
      </w:r>
      <w:r>
        <w:rPr>
          <w:rStyle w:val="FootnoteAnchor"/>
          <w:rtl w:val="true"/>
        </w:rPr>
        <w:footnoteReference w:id="873"/>
      </w:r>
      <w:r>
        <w:rPr>
          <w:rFonts w:ascii="Amiri" w:hAnsi="Amiri" w:eastAsia="Amiri" w:cs="Amiri"/>
          <w:color w:val="111111"/>
          <w:sz w:val="28"/>
          <w:sz w:val="28"/>
          <w:szCs w:val="28"/>
          <w:rtl w:val="true"/>
          <w:lang w:bidi="ar-SA"/>
        </w:rPr>
        <w:t>فعليك الاستنجاء والوضوء، وإن لم يكن فيها ثفل فلا استنجاء عليك ولا وضوء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w:t>
      </w:r>
      <w:r>
        <w:rPr>
          <w:rStyle w:val="FootnoteAnchor"/>
          <w:rtl w:val="true"/>
        </w:rPr>
        <w:footnoteReference w:id="874"/>
      </w:r>
      <w:r>
        <w:rPr>
          <w:rFonts w:ascii="Amiri" w:hAnsi="Amiri" w:eastAsia="Amiri" w:cs="Amiri"/>
          <w:color w:val="111111"/>
          <w:sz w:val="28"/>
          <w:sz w:val="28"/>
          <w:szCs w:val="28"/>
          <w:rtl w:val="true"/>
          <w:lang w:bidi="ar-SA"/>
        </w:rPr>
        <w:t xml:space="preserve">خرج منك الحب الذي يُشبه حَبّ القرع </w:t>
      </w:r>
      <w:r>
        <w:rPr>
          <w:rStyle w:val="FootnoteAnchor"/>
          <w:rtl w:val="true"/>
        </w:rPr>
        <w:footnoteReference w:id="875"/>
      </w:r>
      <w:r>
        <w:rPr>
          <w:rFonts w:ascii="Amiri" w:hAnsi="Amiri" w:eastAsia="Amiri" w:cs="Amiri"/>
          <w:color w:val="111111"/>
          <w:sz w:val="28"/>
          <w:sz w:val="28"/>
          <w:szCs w:val="28"/>
          <w:rtl w:val="true"/>
          <w:lang w:bidi="ar-SA"/>
        </w:rPr>
        <w:t>وكان فيه ثفل فاستنج وتوضأ، وإن لم يكن فيه ثفل فلا وضوء عليك ولا 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خَرَج مِن قبلك ودبرك من دم، وقيح، ومذي، و وذي،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غير ذلك، فلا وضوء عليك ولا استنجاء، إلا أن يخرج منك بول، أو غائط، أو ريح، أو مني</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بك في المواضع التي يجب عليها الوضوء قرحة، أو جراحة، أو دماميل، ولم يؤذك حَلّها </w:t>
      </w:r>
      <w:r>
        <w:rPr>
          <w:rStyle w:val="FootnoteAnchor"/>
          <w:rtl w:val="true"/>
        </w:rPr>
        <w:footnoteReference w:id="878"/>
      </w:r>
      <w:r>
        <w:rPr>
          <w:rFonts w:ascii="Amiri" w:hAnsi="Amiri" w:eastAsia="Amiri" w:cs="Amiri"/>
          <w:color w:val="111111"/>
          <w:sz w:val="28"/>
          <w:sz w:val="28"/>
          <w:szCs w:val="28"/>
          <w:rtl w:val="true"/>
          <w:lang w:bidi="ar-SA"/>
        </w:rPr>
        <w:t>فحلّها واغسلها، وإن أضر بك حلها فامسح يدك على الجبائر والقروح، ولا تحلها، ولا تعبث بجراحتك، وقد روي عن أبي عبد الله في الجبائر،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حولها</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أن يُصلّى بوضوء واحد صلوات الليل والنهار كلها ما لم يُحدث</w:t>
      </w:r>
      <w:r>
        <w:rPr>
          <w:rFonts w:eastAsia="Amiri" w:cs="Amiri" w:ascii="Amiri" w:hAnsi="Amiri"/>
          <w:color w:val="111111"/>
          <w:sz w:val="28"/>
          <w:szCs w:val="28"/>
          <w:rtl w:val="true"/>
          <w:lang w:bidi="ar-SA"/>
        </w:rPr>
        <w:t xml:space="preserve">. </w:t>
      </w:r>
      <w:bookmarkStart w:id="799" w:name="pg9067_80105"/>
    </w:p>
    <w:p>
      <w:pPr>
        <w:pStyle w:val="Heading4"/>
        <w:numPr>
          <w:ilvl w:val="3"/>
          <w:numId w:val="1"/>
        </w:numPr>
        <w:rPr/>
      </w:pPr>
      <w:bookmarkStart w:id="800" w:name="__RefHeading___Toc2465470_2870459653"/>
      <w:bookmarkStart w:id="801" w:name="_Toc307"/>
      <w:bookmarkEnd w:id="799"/>
      <w:bookmarkEnd w:id="800"/>
      <w:r>
        <w:rPr>
          <w:rtl w:val="true"/>
        </w:rPr>
        <w:t>باب التيمم</w:t>
      </w:r>
      <w:bookmarkEnd w:id="801"/>
    </w:p>
    <w:p>
      <w:pPr>
        <w:pStyle w:val="BookText"/>
        <w:rPr/>
      </w:pPr>
      <w:r>
        <w:rPr>
          <w:rFonts w:ascii="Amiri" w:hAnsi="Amiri" w:eastAsia="Amiri" w:cs="Amiri"/>
          <w:color w:val="111111"/>
          <w:sz w:val="28"/>
          <w:sz w:val="28"/>
          <w:szCs w:val="28"/>
          <w:rtl w:val="true"/>
          <w:lang w:bidi="ar-SA"/>
        </w:rPr>
        <w:t xml:space="preserve">وإذا لم تجد الماء فتيمم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والصعيد الموضع المرتفع،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ينحدر عنه الماء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ذلك فاضرب بيديك على الأرض مرة واحدة </w:t>
      </w:r>
      <w:r>
        <w:rPr>
          <w:rStyle w:val="FootnoteAnchor"/>
          <w:rtl w:val="true"/>
        </w:rPr>
        <w:footnoteReference w:id="882"/>
      </w:r>
      <w:r>
        <w:rPr>
          <w:rFonts w:ascii="Amiri" w:hAnsi="Amiri" w:eastAsia="Amiri" w:cs="Amiri"/>
          <w:color w:val="111111"/>
          <w:sz w:val="28"/>
          <w:sz w:val="28"/>
          <w:szCs w:val="28"/>
          <w:rtl w:val="true"/>
          <w:lang w:bidi="ar-SA"/>
        </w:rPr>
        <w:t>وانفضهما وامسح بهما وجهك</w:t>
      </w:r>
      <w:r>
        <w:rPr>
          <w:rStyle w:val="FootnoteAnchor"/>
          <w:rtl w:val="true"/>
        </w:rPr>
        <w:footnoteReference w:id="883"/>
      </w:r>
      <w:r>
        <w:rPr>
          <w:rFonts w:ascii="Amiri" w:hAnsi="Amiri" w:eastAsia="Amiri" w:cs="Amiri"/>
          <w:color w:val="111111"/>
          <w:sz w:val="28"/>
          <w:sz w:val="28"/>
          <w:szCs w:val="28"/>
          <w:rtl w:val="true"/>
          <w:lang w:bidi="ar-SA"/>
        </w:rPr>
        <w:t xml:space="preserve">ثم اضرب بيديك </w:t>
      </w:r>
      <w:r>
        <w:rPr>
          <w:rStyle w:val="FootnoteAnchor"/>
          <w:rtl w:val="true"/>
        </w:rPr>
        <w:footnoteReference w:id="884"/>
      </w:r>
      <w:r>
        <w:rPr>
          <w:rFonts w:ascii="Amiri" w:hAnsi="Amiri" w:eastAsia="Amiri" w:cs="Amiri"/>
          <w:color w:val="111111"/>
          <w:sz w:val="28"/>
          <w:sz w:val="28"/>
          <w:szCs w:val="28"/>
          <w:rtl w:val="true"/>
          <w:lang w:bidi="ar-SA"/>
        </w:rPr>
        <w:t>الأرض فامسح بهما يديك</w:t>
      </w:r>
      <w:r>
        <w:rPr>
          <w:rStyle w:val="FootnoteAnchor"/>
          <w:rtl w:val="true"/>
        </w:rPr>
        <w:footnoteReference w:id="885"/>
      </w:r>
      <w:r>
        <w:rPr>
          <w:rFonts w:ascii="IRNazanin" w:hAnsi="IRNazanin" w:eastAsia="IRNazanin"/>
          <w:color w:val="111111"/>
          <w:sz w:val="28"/>
          <w:sz w:val="28"/>
          <w:szCs w:val="28"/>
          <w:rtl w:val="true"/>
          <w:lang w:bidi="fa-IR"/>
        </w:rPr>
        <w:t xml:space="preserve">من المرفق إلى الأصابع </w:t>
      </w:r>
      <w:r>
        <w:rPr>
          <w:rStyle w:val="FootnoteAnchor"/>
          <w:rtl w:val="true"/>
        </w:rPr>
        <w:footnoteReference w:id="886"/>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888"/>
      </w:r>
      <w:r>
        <w:rPr>
          <w:rFonts w:ascii="Amiri" w:hAnsi="Amiri" w:eastAsia="Amiri" w:cs="Amiri"/>
          <w:color w:val="111111"/>
          <w:sz w:val="28"/>
          <w:sz w:val="28"/>
          <w:szCs w:val="28"/>
          <w:rtl w:val="true"/>
          <w:lang w:bidi="ar-SA"/>
        </w:rPr>
        <w:t xml:space="preserve">انه يمسح الرجل جبينه، وحاجبيه، ويمسح على ظهر كفّيه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بأن تصلي بتيمم واحد صلوات الليل والنهار كلها، ما لم تُحدث حدثاً، أو تصيب ماء، فإن وجدت ماءً ولم تتوضأ، ولم تقدر عليه بعد ذلك، فعليك أن تعيد التيمم؛ لأنك نقضته بالنظر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تيممت وأصبت الماء فتوضأ ما لم تدخل في صلاتك، وإذا كبرت في صلاتك تكبيرة الافتتاح وأتيت بالماء فلا تقطع الصَّلاة </w:t>
      </w:r>
      <w:r>
        <w:rPr>
          <w:rStyle w:val="FootnoteAnchor"/>
          <w:rtl w:val="true"/>
        </w:rPr>
        <w:footnoteReference w:id="890"/>
      </w:r>
      <w:r>
        <w:rPr>
          <w:rFonts w:ascii="Amiri" w:hAnsi="Amiri" w:eastAsia="Amiri" w:cs="Amiri"/>
          <w:color w:val="111111"/>
          <w:sz w:val="28"/>
          <w:sz w:val="28"/>
          <w:szCs w:val="28"/>
          <w:rtl w:val="true"/>
          <w:lang w:bidi="ar-SA"/>
        </w:rPr>
        <w:t>، ولا تنقض تيممك، وامض في صلاتك، فإذا سلمت توضأت لصلاة أخرى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صليت ركعة من صلاتك وأحدثت، رجعت عن صلاتك وتوضأت، وبنيت على صلاتك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802" w:name="pg9067_80107"/>
    </w:p>
    <w:p>
      <w:pPr>
        <w:pStyle w:val="Heading4"/>
        <w:numPr>
          <w:ilvl w:val="3"/>
          <w:numId w:val="1"/>
        </w:numPr>
        <w:rPr/>
      </w:pPr>
      <w:bookmarkStart w:id="803" w:name="__RefHeading___Toc2465472_2870459653"/>
      <w:bookmarkStart w:id="804" w:name="_Toc308"/>
      <w:bookmarkEnd w:id="802"/>
      <w:bookmarkEnd w:id="803"/>
      <w:r>
        <w:rPr>
          <w:rtl w:val="true"/>
        </w:rPr>
        <w:t>باب الأواني والأواعي</w:t>
      </w:r>
      <w:bookmarkEnd w:id="804"/>
    </w:p>
    <w:p>
      <w:pPr>
        <w:pStyle w:val="BookText"/>
        <w:rPr/>
      </w:pPr>
      <w:r>
        <w:rPr>
          <w:rFonts w:ascii="Amiri" w:hAnsi="Amiri" w:eastAsia="Amiri" w:cs="Amiri"/>
          <w:color w:val="111111"/>
          <w:sz w:val="28"/>
          <w:sz w:val="28"/>
          <w:szCs w:val="28"/>
          <w:rtl w:val="true"/>
          <w:lang w:bidi="ar-SA"/>
        </w:rPr>
        <w:t>اعلم يا بني أن ماء البحر طهور كلّه، وكلّ ماء طهور، ما لم يقع فيه شيء 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ما وجدت ماءً ولم تعلم فيه نجاسة فتوضأ منه واشرب، وإن وجدت فيه ما يُنجسه فلا تتوضأ منه ولا تشرب منه </w:t>
      </w:r>
      <w:r>
        <w:rPr>
          <w:rStyle w:val="FootnoteAnchor"/>
          <w:rtl w:val="true"/>
        </w:rPr>
        <w:footnoteReference w:id="892"/>
      </w:r>
      <w:r>
        <w:rPr>
          <w:rFonts w:ascii="Amiri" w:hAnsi="Amiri" w:eastAsia="Amiri" w:cs="Amiri"/>
          <w:color w:val="111111"/>
          <w:sz w:val="28"/>
          <w:sz w:val="28"/>
          <w:szCs w:val="28"/>
          <w:rtl w:val="true"/>
          <w:lang w:bidi="ar-SA"/>
        </w:rPr>
        <w:t xml:space="preserve">إلا في حال الاضطرار فتشرب منه ولا تتوضأ، وتيمم إلا أن يكون الماء كُراً فلا بأس بأن تتوضأ منه وتشرب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وقع فيه شيء أو لم يقع فيه ما لم يتغيّر ربح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تغير فلا تشربه ولا</w:t>
      </w:r>
    </w:p>
    <w:p>
      <w:pPr>
        <w:pStyle w:val="BookText"/>
        <w:rPr/>
      </w:pPr>
      <w:r>
        <w:rPr>
          <w:rFonts w:ascii="IRNazanin" w:hAnsi="IRNazanin" w:eastAsia="IRNazanin"/>
          <w:color w:val="111111"/>
          <w:sz w:val="28"/>
          <w:sz w:val="28"/>
          <w:szCs w:val="28"/>
          <w:rtl w:val="true"/>
          <w:lang w:bidi="fa-IR"/>
        </w:rPr>
        <w:t>تتوضأ منه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ثلاثة أشبار طولاً، في عرض ثلاثة أشبار، في عمق ثلاثة أشبار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شَرِبَ من الماء دابة، أو حمار، أو بغل، أو شاة، أو بقرة فلا بأس باستعماله، والوضوء منه، ما لم يقع فيه كلب أو 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وقع فيه وزغ، أهرق ذلك الماء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وقع فيه كلب</w:t>
      </w:r>
      <w:r>
        <w:rPr>
          <w:rStyle w:val="FootnoteAnchor"/>
          <w:rtl w:val="true"/>
        </w:rPr>
        <w:footnoteReference w:id="896"/>
      </w:r>
      <w:r>
        <w:rPr>
          <w:rFonts w:ascii="Amiri" w:hAnsi="Amiri" w:eastAsia="Amiri" w:cs="Amiri"/>
          <w:color w:val="111111"/>
          <w:sz w:val="28"/>
          <w:sz w:val="28"/>
          <w:szCs w:val="28"/>
          <w:rtl w:val="true"/>
          <w:lang w:bidi="ar-SA"/>
        </w:rPr>
        <w:t xml:space="preserve">أو شرب منه أهريق ذلك الماء، وغسل الإناء ثلاث مرات </w:t>
      </w:r>
      <w:r>
        <w:rPr>
          <w:rStyle w:val="FootnoteAnchor"/>
          <w:rtl w:val="true"/>
        </w:rPr>
        <w:footnoteReference w:id="897"/>
      </w:r>
      <w:r>
        <w:rPr>
          <w:rFonts w:ascii="Amiri" w:hAnsi="Amiri" w:eastAsia="Amiri" w:cs="Amiri"/>
          <w:color w:val="111111"/>
          <w:sz w:val="28"/>
          <w:sz w:val="28"/>
          <w:szCs w:val="28"/>
          <w:rtl w:val="true"/>
          <w:lang w:bidi="ar-SA"/>
        </w:rPr>
        <w:t xml:space="preserve">، مرة بالتراب، ومرتين بالماء، ثم يجفف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وقع فيه فأرة، أو حية اهريق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دخلت فيه حية وخرجت منه، صُبَّ من ذلك الماء ثلاثة أكف، واستعمل الباقي، وقليله وكثيره بمنزلة واحدة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وقعت فيه عقرب أو شيء من الخنافس، وبنات وردان، والجراد، وما</w:t>
      </w:r>
      <w:r>
        <w:rPr>
          <w:rStyle w:val="FootnoteAnchor"/>
          <w:rtl w:val="true"/>
        </w:rPr>
        <w:footnoteReference w:id="899"/>
      </w:r>
      <w:r>
        <w:rPr>
          <w:rFonts w:ascii="Amiri" w:hAnsi="Amiri" w:eastAsia="Amiri" w:cs="Amiri"/>
          <w:color w:val="111111"/>
          <w:sz w:val="28"/>
          <w:sz w:val="28"/>
          <w:szCs w:val="28"/>
          <w:rtl w:val="true"/>
          <w:lang w:bidi="ar-SA"/>
        </w:rPr>
        <w:t>ليس له دم فلا بأس باستعماله والوضوء منه</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مات فيه أو لم يمت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معك إناء ان وقع في أحدهما ما</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ينجس الماء</w:t>
      </w:r>
      <w:r>
        <w:rPr>
          <w:rStyle w:val="FootnoteAnchor"/>
          <w:rtl w:val="true"/>
        </w:rPr>
        <w:footnoteReference w:id="903"/>
      </w:r>
      <w:r>
        <w:rPr>
          <w:rFonts w:ascii="Amiri" w:hAnsi="Amiri" w:eastAsia="Amiri" w:cs="Amiri"/>
          <w:color w:val="111111"/>
          <w:sz w:val="28"/>
          <w:sz w:val="28"/>
          <w:szCs w:val="28"/>
          <w:rtl w:val="true"/>
          <w:lang w:bidi="ar-SA"/>
        </w:rPr>
        <w:t>ولم تعلم في أيهما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 فاهرقهما جميعاً وتيمم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805" w:name="pg9067_80110"/>
    </w:p>
    <w:p>
      <w:pPr>
        <w:pStyle w:val="Heading4"/>
        <w:numPr>
          <w:ilvl w:val="3"/>
          <w:numId w:val="1"/>
        </w:numPr>
        <w:rPr/>
      </w:pPr>
      <w:bookmarkStart w:id="806" w:name="__RefHeading___Toc2465474_2870459653"/>
      <w:bookmarkStart w:id="807" w:name="_Toc309"/>
      <w:bookmarkEnd w:id="805"/>
      <w:bookmarkEnd w:id="806"/>
      <w:r>
        <w:rPr>
          <w:rtl w:val="true"/>
        </w:rPr>
        <w:t xml:space="preserve">باب ما يقع في البئر من الناس والبهائم والطيور والبول </w:t>
      </w:r>
      <w:r>
        <w:rPr>
          <w:rtl w:val="true"/>
        </w:rPr>
        <w:t>[</w:t>
      </w:r>
      <w:r>
        <w:rPr>
          <w:rtl w:val="true"/>
        </w:rPr>
        <w:t>وغير ذلك</w:t>
      </w:r>
      <w:r>
        <w:rPr>
          <w:rtl w:val="true"/>
        </w:rPr>
        <w:t>]</w:t>
      </w:r>
      <w:bookmarkEnd w:id="807"/>
    </w:p>
    <w:p>
      <w:pPr>
        <w:pStyle w:val="BookText"/>
        <w:rPr/>
      </w:pPr>
      <w:r>
        <w:rPr>
          <w:rFonts w:ascii="Amiri" w:hAnsi="Amiri" w:eastAsia="Amiri" w:cs="Amiri"/>
          <w:color w:val="111111"/>
          <w:sz w:val="28"/>
          <w:sz w:val="28"/>
          <w:szCs w:val="28"/>
          <w:rtl w:val="true"/>
          <w:lang w:bidi="ar-SA"/>
        </w:rPr>
        <w:t>باب ما يقع في البئر من الناس والبهائم والطيور</w:t>
      </w:r>
      <w:r>
        <w:rPr>
          <w:rStyle w:val="FootnoteAnchor"/>
          <w:rtl w:val="true"/>
        </w:rPr>
        <w:footnoteReference w:id="907"/>
      </w:r>
      <w:r>
        <w:rPr>
          <w:rFonts w:ascii="Amiri" w:hAnsi="Amiri" w:eastAsia="Amiri" w:cs="Amiri"/>
          <w:color w:val="111111"/>
          <w:sz w:val="28"/>
          <w:sz w:val="28"/>
          <w:szCs w:val="28"/>
          <w:rtl w:val="true"/>
          <w:lang w:bidi="ar-SA"/>
        </w:rPr>
        <w:t xml:space="preserve">والبول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البئر طهور، ما لم ينجسه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يقع فيه</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وأكبر </w:t>
      </w:r>
      <w:r>
        <w:rPr>
          <w:rStyle w:val="FootnoteAnchor"/>
          <w:rtl w:val="true"/>
        </w:rPr>
        <w:footnoteReference w:id="910"/>
      </w:r>
      <w:r>
        <w:rPr>
          <w:rFonts w:ascii="Amiri" w:hAnsi="Amiri" w:eastAsia="Amiri" w:cs="Amiri"/>
          <w:color w:val="111111"/>
          <w:sz w:val="28"/>
          <w:sz w:val="28"/>
          <w:szCs w:val="28"/>
          <w:rtl w:val="true"/>
          <w:lang w:bidi="ar-SA"/>
        </w:rPr>
        <w:t>ما يقع فيه الإنسان فيموت فانزح منها سبعين</w:t>
      </w:r>
      <w:r>
        <w:rPr>
          <w:rStyle w:val="FootnoteAnchor"/>
          <w:rtl w:val="true"/>
        </w:rPr>
        <w:footnoteReference w:id="911"/>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 وأصغر ما يقع فيه الصعوة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3"/>
      </w:r>
      <w:r>
        <w:rPr>
          <w:rFonts w:ascii="IRNazanin" w:hAnsi="IRNazanin" w:eastAsia="IRNazanin"/>
          <w:color w:val="111111"/>
          <w:sz w:val="28"/>
          <w:sz w:val="28"/>
          <w:szCs w:val="28"/>
          <w:rtl w:val="true"/>
          <w:lang w:bidi="fa-IR"/>
        </w:rPr>
        <w:t>فتموت، فانزح منه دلواً واحداً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بين الإنسلان والصعوة على قدر</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ما يقع فيها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وقع</w:t>
      </w:r>
      <w:r>
        <w:rPr>
          <w:rFonts w:eastAsia="IRNazanin" w:cs="IRNazanin"/>
          <w:color w:val="111111"/>
          <w:sz w:val="28"/>
          <w:szCs w:val="28"/>
          <w:rtl w:val="true"/>
          <w:lang w:bidi="fa-IR"/>
        </w:rPr>
        <w:t>]</w:t>
      </w:r>
      <w:r>
        <w:rPr>
          <w:rStyle w:val="FootnoteAnchor"/>
          <w:rtl w:val="true"/>
        </w:rPr>
        <w:footnoteReference w:id="916"/>
      </w:r>
      <w:r>
        <w:rPr>
          <w:rFonts w:ascii="Amiri" w:hAnsi="Amiri" w:eastAsia="Amiri" w:cs="Amiri"/>
          <w:color w:val="111111"/>
          <w:sz w:val="28"/>
          <w:sz w:val="28"/>
          <w:szCs w:val="28"/>
          <w:rtl w:val="true"/>
          <w:lang w:bidi="ar-SA"/>
        </w:rPr>
        <w:t>فيها كلب أو سنور، فانزح منها ثلاثين دلواً إلى أربعين دلوا</w:t>
      </w:r>
      <w:r>
        <w:rPr>
          <w:rFonts w:eastAsia="Amiri" w:cs="Amiri" w:ascii="Amiri" w:hAnsi="Amiri"/>
          <w:color w:val="111111"/>
          <w:sz w:val="28"/>
          <w:szCs w:val="28"/>
          <w:rtl w:val="true"/>
          <w:lang w:bidi="ar-SA"/>
        </w:rPr>
        <w:t xml:space="preserve">] </w:t>
      </w:r>
      <w:r>
        <w:rPr>
          <w:rStyle w:val="FootnoteAnchor"/>
          <w:rtl w:val="true"/>
        </w:rPr>
        <w:footnoteReference w:id="917"/>
      </w:r>
      <w:r>
        <w:rPr>
          <w:rStyle w:val="FootnoteAnchor"/>
          <w:rtl w:val="true"/>
        </w:rPr>
        <w:footnoteReference w:id="918"/>
      </w:r>
      <w:r>
        <w:rPr>
          <w:rFonts w:ascii="Amiri" w:hAnsi="Amiri" w:eastAsia="Amiri" w:cs="Amiri"/>
          <w:color w:val="111111"/>
          <w:sz w:val="28"/>
          <w:sz w:val="28"/>
          <w:szCs w:val="28"/>
          <w:rtl w:val="true"/>
          <w:lang w:bidi="ar-SA"/>
        </w:rPr>
        <w:t xml:space="preserve">، وقد روي سبعة دلاء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وقع فيها حمار، فانزح منها كُراً من ماء</w:t>
      </w:r>
      <w:r>
        <w:rPr>
          <w:rStyle w:val="FootnoteAnchor"/>
          <w:rtl w:val="true"/>
        </w:rPr>
        <w:footnoteReference w:id="920"/>
      </w:r>
      <w:r>
        <w:rPr>
          <w:rFonts w:ascii="Amiri" w:hAnsi="Amiri" w:eastAsia="Amiri" w:cs="Amiri"/>
          <w:color w:val="111111"/>
          <w:sz w:val="28"/>
          <w:sz w:val="28"/>
          <w:szCs w:val="28"/>
          <w:rtl w:val="true"/>
          <w:lang w:bidi="ar-SA"/>
        </w:rPr>
        <w:t>، وإن وقع فيها دجاجة، أو حمامة فانزح منها سبعة دلاء فإن وقع فيها فأرة فانزح منها دلواً واحداً</w:t>
      </w:r>
      <w:r>
        <w:rPr>
          <w:rStyle w:val="FootnoteAnchor"/>
          <w:rtl w:val="true"/>
        </w:rPr>
        <w:footnoteReference w:id="921"/>
      </w:r>
      <w:r>
        <w:rPr>
          <w:rFonts w:ascii="Amiri" w:hAnsi="Amiri" w:eastAsia="Amiri" w:cs="Amiri"/>
          <w:color w:val="111111"/>
          <w:sz w:val="28"/>
          <w:sz w:val="28"/>
          <w:szCs w:val="28"/>
          <w:rtl w:val="true"/>
          <w:lang w:bidi="ar-SA"/>
        </w:rPr>
        <w:t xml:space="preserve">، وأكثر ما رُوي في الفأرة إذا تفسخت سبعة دلاء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وصفناه في ماء البئر ما لم يتغير الماء، فإن تغير الماء وجب أن يُنزح الماء كله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الماء كثيراً وصعب نزحه، فالواجب أن يتكارى عليه أربعة رجال يستقون منها على التراوح </w:t>
      </w:r>
      <w:r>
        <w:rPr>
          <w:rStyle w:val="FootnoteAnchor"/>
          <w:rtl w:val="true"/>
        </w:rPr>
        <w:footnoteReference w:id="924"/>
      </w:r>
      <w:r>
        <w:rPr>
          <w:rFonts w:ascii="Amiri" w:hAnsi="Amiri" w:eastAsia="Amiri" w:cs="Amiri"/>
          <w:color w:val="111111"/>
          <w:sz w:val="28"/>
          <w:sz w:val="28"/>
          <w:szCs w:val="28"/>
          <w:rtl w:val="true"/>
          <w:lang w:bidi="ar-SA"/>
        </w:rPr>
        <w:t xml:space="preserve">من الغدوة إلى الليل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توضأت منه </w:t>
      </w:r>
      <w:r>
        <w:rPr>
          <w:rStyle w:val="FootnoteAnchor"/>
          <w:rtl w:val="true"/>
        </w:rPr>
        <w:footnoteReference w:id="926"/>
      </w:r>
      <w:r>
        <w:rPr>
          <w:rFonts w:ascii="IRNazanin" w:hAnsi="IRNazanin" w:eastAsia="IRNazanin"/>
          <w:color w:val="111111"/>
          <w:sz w:val="28"/>
          <w:sz w:val="28"/>
          <w:szCs w:val="28"/>
          <w:rtl w:val="true"/>
          <w:lang w:bidi="fa-IR"/>
        </w:rPr>
        <w:t xml:space="preserve">و </w:t>
      </w:r>
      <w:r>
        <w:rPr>
          <w:rStyle w:val="FootnoteAnchor"/>
          <w:rtl w:val="true"/>
        </w:rPr>
        <w:footnoteReference w:id="927"/>
      </w:r>
      <w:r>
        <w:rPr>
          <w:rFonts w:ascii="Amiri" w:hAnsi="Amiri" w:eastAsia="Amiri" w:cs="Amiri"/>
          <w:color w:val="111111"/>
          <w:sz w:val="28"/>
          <w:sz w:val="28"/>
          <w:szCs w:val="28"/>
          <w:rtl w:val="true"/>
          <w:lang w:bidi="ar-SA"/>
        </w:rPr>
        <w:t xml:space="preserve">اغتسلت أو غسلت ثوبك، فعليك إعادة الوضوء، والغسل، والصلاة، وغسل الثوب </w:t>
      </w:r>
      <w:r>
        <w:rPr>
          <w:rStyle w:val="FootnoteAnchor"/>
          <w:rtl w:val="true"/>
        </w:rPr>
        <w:footnoteReference w:id="928"/>
      </w:r>
      <w:r>
        <w:rPr>
          <w:rFonts w:ascii="Amiri" w:hAnsi="Amiri" w:eastAsia="Amiri" w:cs="Amiri"/>
          <w:color w:val="111111"/>
          <w:sz w:val="28"/>
          <w:sz w:val="28"/>
          <w:szCs w:val="28"/>
          <w:rtl w:val="true"/>
          <w:lang w:bidi="ar-SA"/>
        </w:rPr>
        <w:t xml:space="preserve">، وكلّ 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فيها ذلك الماء غسل</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وقعت فيها حية، أو عقرب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1"/>
      </w:r>
      <w:r>
        <w:rPr>
          <w:rFonts w:ascii="Amiri" w:hAnsi="Amiri" w:eastAsia="Amiri" w:cs="Amiri"/>
          <w:color w:val="111111"/>
          <w:sz w:val="28"/>
          <w:sz w:val="28"/>
          <w:szCs w:val="28"/>
          <w:rtl w:val="true"/>
          <w:lang w:bidi="ar-SA"/>
        </w:rPr>
        <w:t xml:space="preserve">أو خنافس، أو 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 فاستق منها للحية سبع دلاء، وليس عليك</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فيما سواها شيء</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 فيها بعير، أو صُب فيها خمر، فان</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قطر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قطرات من دم فانزح منها دلاء</w:t>
      </w:r>
      <w:r>
        <w:rPr>
          <w:rFonts w:eastAsia="Amiri" w:cs="Amiri" w:ascii="Amiri" w:hAnsi="Amiri"/>
          <w:color w:val="111111"/>
          <w:sz w:val="28"/>
          <w:szCs w:val="28"/>
          <w:rtl w:val="true"/>
          <w:lang w:bidi="ar-SA"/>
        </w:rPr>
        <w:t>]</w:t>
      </w:r>
      <w:r>
        <w:rPr>
          <w:rStyle w:val="FootnoteAnchor"/>
          <w:rtl w:val="true"/>
        </w:rPr>
        <w:footnoteReference w:id="935"/>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w:t>
      </w:r>
      <w:r>
        <w:rPr>
          <w:rFonts w:eastAsia="IRNazanin" w:cs="IRNazanin"/>
          <w:color w:val="111111"/>
          <w:sz w:val="28"/>
          <w:szCs w:val="28"/>
          <w:rtl w:val="true"/>
          <w:lang w:bidi="fa-IR"/>
        </w:rPr>
        <w:t>]</w:t>
      </w:r>
      <w:r>
        <w:rPr>
          <w:rStyle w:val="FootnoteAnchor"/>
          <w:rtl w:val="true"/>
        </w:rPr>
        <w:footnoteReference w:id="937"/>
      </w:r>
      <w:r>
        <w:rPr>
          <w:rFonts w:ascii="Amiri" w:hAnsi="Amiri" w:eastAsia="Amiri" w:cs="Amiri"/>
          <w:color w:val="111111"/>
          <w:sz w:val="28"/>
          <w:sz w:val="28"/>
          <w:szCs w:val="28"/>
          <w:rtl w:val="true"/>
          <w:lang w:bidi="ar-SA"/>
        </w:rPr>
        <w:t xml:space="preserve">ن بال فيها رجل فاستق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دلوا</w:t>
      </w:r>
      <w:r>
        <w:rPr>
          <w:rFonts w:eastAsia="Amiri" w:cs="Amiri" w:ascii="Amiri" w:hAnsi="Amiri"/>
          <w:color w:val="111111"/>
          <w:sz w:val="28"/>
          <w:szCs w:val="28"/>
          <w:rtl w:val="true"/>
          <w:lang w:bidi="ar-SA"/>
        </w:rPr>
        <w:t xml:space="preserve">] </w:t>
      </w:r>
      <w:r>
        <w:rPr>
          <w:rStyle w:val="FootnoteAnchor"/>
          <w:rtl w:val="true"/>
        </w:rPr>
        <w:footnoteReference w:id="938"/>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بال الصبي وق</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أكل الطعام، فاستق منها ثلاث دلاء</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رضيعاً فاستق</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منها دلواً واحداً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وقعت 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 منها عشرة دلاء</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فإن ذابت فاستق منها أربعين دلوا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أصاب ثوبك بول فاغسله في ماء جار مرَّة، وإن غسلته في ماء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فمرتين ثم اعصره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بول الغلام الرّضيع </w:t>
      </w:r>
      <w:r>
        <w:rPr>
          <w:rStyle w:val="FootnoteAnchor"/>
          <w:rtl w:val="true"/>
        </w:rPr>
        <w:footnoteReference w:id="947"/>
      </w:r>
      <w:r>
        <w:rPr>
          <w:rFonts w:ascii="Amiri" w:hAnsi="Amiri" w:eastAsia="Amiri" w:cs="Amiri"/>
          <w:color w:val="111111"/>
          <w:sz w:val="28"/>
          <w:sz w:val="28"/>
          <w:szCs w:val="28"/>
          <w:rtl w:val="true"/>
          <w:lang w:bidi="ar-SA"/>
        </w:rPr>
        <w:t xml:space="preserve">فصُبَّ عليه الماء صباً، وإن كان قد أكل طعاماً فاغسله، والغلام والجارية فيه سواء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لبن الجارية يُغسل </w:t>
      </w:r>
      <w:r>
        <w:rPr>
          <w:rStyle w:val="FootnoteAnchor"/>
          <w:rtl w:val="true"/>
        </w:rPr>
        <w:footnoteReference w:id="949"/>
      </w:r>
      <w:r>
        <w:rPr>
          <w:rFonts w:ascii="Amiri" w:hAnsi="Amiri" w:eastAsia="Amiri" w:cs="Amiri"/>
          <w:color w:val="111111"/>
          <w:sz w:val="28"/>
          <w:sz w:val="28"/>
          <w:szCs w:val="28"/>
          <w:rtl w:val="true"/>
          <w:lang w:bidi="ar-SA"/>
        </w:rPr>
        <w:t xml:space="preserve">منه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وبولها؛ لأن لبن الجارية يخرج من مثانة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ولبن الغلام لا يُغسل منه الثوب قبل أن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وبوله ؛ لأن لبن الغلام يخرج من المنكبين والعضدين</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أصاب ثوبك دم فلا بأس بالصَّلاة فيه، ما لم يكن مقداره مقدار الدرهم الوافي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 في ما يكون وزنه در هماً وثلثاً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Style w:val="FootnoteAnchor"/>
          <w:rtl w:val="true"/>
        </w:rPr>
        <w:footnoteReference w:id="954"/>
      </w:r>
      <w:r>
        <w:rPr>
          <w:rFonts w:ascii="Amiri" w:hAnsi="Amiri" w:eastAsia="Amiri" w:cs="Amiri"/>
          <w:color w:val="111111"/>
          <w:sz w:val="28"/>
          <w:sz w:val="28"/>
          <w:szCs w:val="28"/>
          <w:rtl w:val="true"/>
          <w:lang w:bidi="ar-SA"/>
        </w:rPr>
        <w:t>كان دون الدرهم الوافي فلا</w:t>
      </w:r>
      <w:r>
        <w:rPr>
          <w:rStyle w:val="FootnoteAnchor"/>
          <w:rtl w:val="true"/>
        </w:rPr>
        <w:footnoteReference w:id="955"/>
      </w:r>
      <w:r>
        <w:rPr>
          <w:rFonts w:ascii="Amiri" w:hAnsi="Amiri" w:eastAsia="Amiri" w:cs="Amiri"/>
          <w:color w:val="111111"/>
          <w:sz w:val="28"/>
          <w:sz w:val="28"/>
          <w:szCs w:val="28"/>
          <w:rtl w:val="true"/>
          <w:lang w:bidi="ar-SA"/>
        </w:rPr>
        <w:t>يجب عليك غسله ولا بأس في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الدم دون حمصة فلا بأس بأن لا تغسله</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 إلا أن يكون دم الحيض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 ثوبك منه، ومن البول، والمني، قل</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أم كثر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وأعد منه صلاتك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به أم لم تعلم، وقد روي في المني إذا لم تعلم</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xml:space="preserve">به من قبل أن تصلي فيه فلا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961"/>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بدم السمك في الثوب</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أن يُصلَّى فيه، قليلاً كان أو كثيراً</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قلنسوتك وعمامتك </w:t>
      </w:r>
      <w:r>
        <w:rPr>
          <w:rStyle w:val="FootnoteAnchor"/>
          <w:rtl w:val="true"/>
        </w:rPr>
        <w:footnoteReference w:id="964"/>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التكة والجورب والخف مني، أو بول،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أو غائط، فلا بأس بالصلاة</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xml:space="preserve">فيه، وذلك أنَّ الصَّلاة لا تتم في شيء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Style w:val="FootnoteAnchor"/>
          <w:rtl w:val="true"/>
        </w:rPr>
        <w:footnoteReference w:id="967"/>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808" w:name="pg9067_80117"/>
    </w:p>
    <w:p>
      <w:pPr>
        <w:pStyle w:val="Heading4"/>
        <w:numPr>
          <w:ilvl w:val="3"/>
          <w:numId w:val="1"/>
        </w:numPr>
        <w:rPr/>
      </w:pPr>
      <w:bookmarkStart w:id="809" w:name="__RefHeading___Toc2465476_2870459653"/>
      <w:bookmarkStart w:id="810" w:name="_Toc310"/>
      <w:bookmarkEnd w:id="808"/>
      <w:bookmarkEnd w:id="809"/>
      <w:r>
        <w:rPr>
          <w:rtl w:val="true"/>
        </w:rPr>
        <w:t>باب غسل الجنابة وغيرها</w:t>
      </w:r>
      <w:bookmarkEnd w:id="810"/>
    </w:p>
    <w:p>
      <w:pPr>
        <w:pStyle w:val="BookText"/>
        <w:rPr/>
      </w:pPr>
      <w:r>
        <w:rPr>
          <w:rFonts w:ascii="Amiri" w:hAnsi="Amiri" w:eastAsia="Amiri" w:cs="Amiri"/>
          <w:color w:val="111111"/>
          <w:sz w:val="28"/>
          <w:sz w:val="28"/>
          <w:szCs w:val="28"/>
          <w:rtl w:val="true"/>
          <w:lang w:bidi="ar-SA"/>
        </w:rPr>
        <w:t>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كلّه سُنَّة، ما خلا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يجزيك الغسل من الجنابة عن الوضوء </w:t>
      </w:r>
      <w:r>
        <w:rPr>
          <w:rStyle w:val="FootnoteAnchor"/>
          <w:rtl w:val="true"/>
        </w:rPr>
        <w:footnoteReference w:id="969"/>
      </w:r>
      <w:r>
        <w:rPr>
          <w:rFonts w:ascii="Amiri" w:hAnsi="Amiri" w:eastAsia="Amiri" w:cs="Amiri"/>
          <w:color w:val="111111"/>
          <w:sz w:val="28"/>
          <w:sz w:val="28"/>
          <w:szCs w:val="28"/>
          <w:rtl w:val="true"/>
          <w:lang w:bidi="ar-SA"/>
        </w:rPr>
        <w:t>لأنها فرضان اجتمعا، فأكبرهما يُجزي عن أصغرهما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غسلت </w:t>
      </w:r>
      <w:r>
        <w:rPr>
          <w:rStyle w:val="FootnoteAnchor"/>
          <w:rtl w:val="true"/>
        </w:rPr>
        <w:footnoteReference w:id="970"/>
      </w:r>
      <w:r>
        <w:rPr>
          <w:rFonts w:ascii="Amiri" w:hAnsi="Amiri" w:eastAsia="Amiri" w:cs="Amiri"/>
          <w:color w:val="111111"/>
          <w:sz w:val="28"/>
          <w:sz w:val="28"/>
          <w:szCs w:val="28"/>
          <w:rtl w:val="true"/>
          <w:lang w:bidi="ar-SA"/>
        </w:rPr>
        <w:t xml:space="preserve">لغير جنابة فابدأ بالوضوء، ثم اغتسل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أشرنا إليه، ونقل مضمونه في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يُجزيك الغسل عن الوضوء؛ لأنَّ الغسل سُنَّة والوضوء فريضة، فلا تجزي سُنَّة عن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الغسل من الجنابة فاجتهد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تبول ليخرج ما بقي في إحليلك من المني، ثم اغسل يديك ثلاثاً مِن قَبل أن تُدخلها الإناء وإن لم يصبها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قذر، فإن أدخلتها الإناء وبهما قذر فاهرق ذلك الماء، فإن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يكن بها قدر فليس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أصاب جسدك مني فاغسله عن بدنك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استنج واغسل وأنق فرجك، ثم ضع على رأسك ثلاث أكف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ماء، وميز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بأناملك حتى يبلغ الماء إلى أصل الشعر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72"/>
      </w:r>
      <w:r>
        <w:rPr>
          <w:rFonts w:ascii="Amiri" w:hAnsi="Amiri" w:eastAsia="Amiri" w:cs="Amiri"/>
          <w:color w:val="111111"/>
          <w:sz w:val="28"/>
          <w:sz w:val="28"/>
          <w:szCs w:val="28"/>
          <w:rtl w:val="true"/>
          <w:lang w:bidi="ar-SA"/>
        </w:rPr>
        <w:t xml:space="preserve">تناول الإناء بيدك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وصبه على رأسك وبدنك مرتين، وامرر يدك</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على بدنك كله، وخلل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اذنيك باصبعيك، وكل ما أصابه الماء فقد</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w:t>
      </w:r>
      <w:r>
        <w:rPr>
          <w:rStyle w:val="FootnoteAnchor"/>
          <w:rtl w:val="true"/>
        </w:rPr>
        <w:footnoteReference w:id="975"/>
      </w:r>
      <w:r>
        <w:rPr>
          <w:rFonts w:ascii="Amiri" w:hAnsi="Amiri" w:eastAsia="Amiri" w:cs="Amiri"/>
          <w:color w:val="111111"/>
          <w:sz w:val="28"/>
          <w:sz w:val="28"/>
          <w:szCs w:val="28"/>
          <w:rtl w:val="true"/>
          <w:lang w:bidi="ar-SA"/>
        </w:rPr>
        <w:t xml:space="preserve">أن لا تبقي شعرَة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رأسك ولحيتك، إلا ويا </w:t>
      </w:r>
      <w:r>
        <w:rPr>
          <w:rStyle w:val="FootnoteAnchor"/>
          <w:rtl w:val="true"/>
        </w:rPr>
        <w:footnoteReference w:id="976"/>
      </w:r>
      <w:r>
        <w:rPr>
          <w:rFonts w:ascii="IRNazanin" w:hAnsi="IRNazanin" w:eastAsia="IRNazanin"/>
          <w:color w:val="111111"/>
          <w:sz w:val="28"/>
          <w:sz w:val="28"/>
          <w:szCs w:val="28"/>
          <w:rtl w:val="true"/>
          <w:lang w:bidi="fa-IR"/>
        </w:rPr>
        <w:t xml:space="preserve">مدخل الماء تحتها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 وعلمت أن الماء قد جرى</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 xml:space="preserve">تحت رجليك فلا تغسلها، وإن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فاغسلها</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عرقت</w:t>
      </w:r>
      <w:r>
        <w:rPr>
          <w:rFonts w:eastAsia="IRNazanin" w:cs="IRNazanin"/>
          <w:color w:val="111111"/>
          <w:sz w:val="28"/>
          <w:szCs w:val="28"/>
          <w:rtl w:val="true"/>
          <w:lang w:bidi="fa-IR"/>
        </w:rPr>
        <w:t>]</w:t>
      </w:r>
      <w:r>
        <w:rPr>
          <w:rStyle w:val="FootnoteAnchor"/>
          <w:rtl w:val="true"/>
        </w:rPr>
        <w:footnoteReference w:id="980"/>
      </w:r>
      <w:r>
        <w:rPr>
          <w:rFonts w:ascii="Amiri" w:hAnsi="Amiri" w:eastAsia="Amiri" w:cs="Amiri"/>
          <w:color w:val="111111"/>
          <w:sz w:val="28"/>
          <w:sz w:val="28"/>
          <w:szCs w:val="28"/>
          <w:rtl w:val="true"/>
          <w:lang w:bidi="ar-SA"/>
        </w:rPr>
        <w:t xml:space="preserve">في ثوبك وأنت جنب وكانت الجنابة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فحلال</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الصلاة فيه، وإن كانت من حرام فحرام الصلاة فيه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اغتسلت في حفرة، وجرى الماء تحت رجليك فلا تغسلها، وإن كانت 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جلاك</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مستنقعتين في الماء فاغسلهما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التمضمض والاستنشاق فافعل، وليس ذلك بواجب؛ لأنَّ الغسل على ما ظهر لا على 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أنك 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تأكل أو تشرب قبل الغسل، لم يجز لك إلا أن تغسل يديك وتتمضمض وتستنشق </w:t>
      </w:r>
      <w:r>
        <w:rPr>
          <w:rStyle w:val="FootnoteAnchor"/>
          <w:rtl w:val="true"/>
        </w:rPr>
        <w:footnoteReference w:id="985"/>
      </w:r>
      <w:r>
        <w:rPr>
          <w:rFonts w:ascii="Amiri" w:hAnsi="Amiri" w:eastAsia="Amiri" w:cs="Amiri"/>
          <w:color w:val="111111"/>
          <w:sz w:val="28"/>
          <w:sz w:val="28"/>
          <w:szCs w:val="28"/>
          <w:rtl w:val="true"/>
          <w:lang w:bidi="ar-SA"/>
        </w:rPr>
        <w:t xml:space="preserve">، فإنك إن أكلت أو شربت قبل ذلك خيف عليك البرص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عليك خاتم فحوله عند الغسل، وإن كان عليك دملج </w:t>
      </w:r>
      <w:r>
        <w:rPr>
          <w:rStyle w:val="FootnoteAnchor"/>
          <w:rtl w:val="true"/>
        </w:rPr>
        <w:footnoteReference w:id="987"/>
      </w:r>
      <w:r>
        <w:rPr>
          <w:rFonts w:ascii="Amiri" w:hAnsi="Amiri" w:eastAsia="Amiri" w:cs="Amiri"/>
          <w:color w:val="111111"/>
          <w:sz w:val="28"/>
          <w:sz w:val="28"/>
          <w:szCs w:val="28"/>
          <w:rtl w:val="true"/>
          <w:lang w:bidi="ar-SA"/>
        </w:rPr>
        <w:t>وعلمت أن الماء لا يدخل تحته فانزعه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تنام وأنت جنب بعد أن تتوضأ وضوء الصَّلاة، وإن أجنبت في يوم أو في ليلة مراراً أجزاك غسل واحد، إلا أن تكون جنباً بعد الغسل أو تحتلم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احتلمت فلا تجامع حتى تغتسل من الاحتلام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بذكر الله ل والقرآن وأنت جنب إلا العزائم التي تسجد فيها،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لقمان</w:t>
      </w:r>
      <w:r>
        <w:rPr>
          <w:rStyle w:val="FootnoteAnchor"/>
          <w:rtl w:val="true"/>
        </w:rPr>
        <w:footnoteReference w:id="988"/>
      </w:r>
      <w:r>
        <w:rPr>
          <w:rFonts w:ascii="Amiri" w:hAnsi="Amiri" w:eastAsia="Amiri" w:cs="Amiri"/>
          <w:color w:val="111111"/>
          <w:sz w:val="28"/>
          <w:sz w:val="28"/>
          <w:szCs w:val="28"/>
          <w:rtl w:val="true"/>
          <w:lang w:bidi="ar-SA"/>
        </w:rPr>
        <w:t>، وحم السجدة، والنجم، وسورة اقرأ باسم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تمس القرآن إن كنت جنباً أو على غير وضوء، ومس الورق</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خرج من إحليلك بعد الغسل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بلت قبل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990"/>
      </w:r>
      <w:r>
        <w:rPr>
          <w:rFonts w:ascii="Amiri" w:hAnsi="Amiri" w:eastAsia="Amiri" w:cs="Amiri"/>
          <w:color w:val="111111"/>
          <w:sz w:val="28"/>
          <w:sz w:val="28"/>
          <w:szCs w:val="28"/>
          <w:rtl w:val="true"/>
          <w:lang w:bidi="ar-SA"/>
        </w:rPr>
        <w:t>لم تكن بلت قبل الغسل فأعد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بتبعيض الغسل، تغسل يديك وفرجك ورأسك، وتؤخر غسل جسدك إلى وقت الصلاة، ثم تغسل جسدك إذا أردت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أحدثث حدثاً من بول، أو غائط، أو ريح بعدما غسلت رأسك من قبل أن تغسل جسدك فأعد الغسل من أوله </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والذكرى </w:t>
      </w:r>
      <w:r>
        <w:rPr>
          <w:rFonts w:eastAsia="IRNazanin" w:cs="IRNazanin"/>
          <w:color w:val="111111"/>
          <w:sz w:val="28"/>
          <w:szCs w:val="28"/>
          <w:rtl w:val="true"/>
          <w:lang w:bidi="fa-IR"/>
        </w:rPr>
        <w:t>(</w:t>
      </w:r>
      <w:r>
        <w:rPr>
          <w:rFonts w:eastAsia="IRNazanin" w:cs="IRNazanin"/>
          <w:color w:val="111111"/>
          <w:sz w:val="28"/>
          <w:szCs w:val="28"/>
          <w:lang w:bidi="fa-IR"/>
        </w:rPr>
        <w:t>248/2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ورسائل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ابني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بدأت بغسل جسدك قبل الرأس فأعد الغسل على جسدك </w:t>
      </w:r>
      <w:r>
        <w:rPr>
          <w:rStyle w:val="FootnoteAnchor"/>
          <w:rtl w:val="true"/>
        </w:rPr>
        <w:footnoteReference w:id="992"/>
      </w:r>
      <w:r>
        <w:rPr>
          <w:rFonts w:ascii="Amiri" w:hAnsi="Amiri" w:eastAsia="Amiri" w:cs="Amiri"/>
          <w:color w:val="111111"/>
          <w:sz w:val="28"/>
          <w:sz w:val="28"/>
          <w:szCs w:val="28"/>
          <w:rtl w:val="true"/>
          <w:lang w:bidi="ar-SA"/>
        </w:rPr>
        <w:t xml:space="preserve">بعد غسل رأسك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يدخل الجنب المسجد، ولا الحائض إلا مجتازين</w:t>
      </w:r>
      <w:r>
        <w:rPr>
          <w:rStyle w:val="FootnoteAnchor"/>
          <w:rtl w:val="true"/>
        </w:rPr>
        <w:footnoteReference w:id="994"/>
      </w:r>
      <w:r>
        <w:rPr>
          <w:rFonts w:ascii="Amiri" w:hAnsi="Amiri" w:eastAsia="Amiri" w:cs="Amiri"/>
          <w:color w:val="111111"/>
          <w:sz w:val="28"/>
          <w:sz w:val="28"/>
          <w:szCs w:val="28"/>
          <w:rtl w:val="true"/>
          <w:lang w:bidi="ar-SA"/>
        </w:rPr>
        <w:t xml:space="preserve">، ولهما أن يأخذا منه، وليس </w:t>
      </w:r>
    </w:p>
    <w:p>
      <w:pPr>
        <w:pStyle w:val="BookText"/>
        <w:rPr/>
      </w:pPr>
      <w:r>
        <w:rPr>
          <w:rFonts w:ascii="Amiri" w:hAnsi="Amiri" w:eastAsia="Amiri" w:cs="Amiri"/>
          <w:color w:val="111111"/>
          <w:sz w:val="28"/>
          <w:sz w:val="28"/>
          <w:szCs w:val="28"/>
          <w:rtl w:val="true"/>
          <w:lang w:bidi="ar-SA"/>
        </w:rPr>
        <w:t xml:space="preserve">لهما أن يضعا فيه شيئاً </w:t>
      </w:r>
      <w:r>
        <w:rPr>
          <w:rStyle w:val="FootnoteAnchor"/>
          <w:rtl w:val="true"/>
        </w:rPr>
        <w:footnoteReference w:id="995"/>
      </w:r>
      <w:r>
        <w:rPr>
          <w:rFonts w:ascii="Amiri" w:hAnsi="Amiri" w:eastAsia="Amiri" w:cs="Amiri"/>
          <w:color w:val="111111"/>
          <w:sz w:val="28"/>
          <w:sz w:val="28"/>
          <w:szCs w:val="28"/>
          <w:rtl w:val="true"/>
          <w:lang w:bidi="ar-SA"/>
        </w:rPr>
        <w:t xml:space="preserve">لأنَّ ما فيه لا يقدران على أخذه من غيره، وهما قادران على وضع ما معهما في غيره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احتلمت في مسجد من المساجد فاخرج منه واغتسل، إلا أن يكون احتلامك في المسجد الحرام أو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فإنك اذا احتلمت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هذين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تيممت وخرجت ولم تمش فيهما إلا متيماً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اغتسلت من ماء في وهدة</w:t>
      </w:r>
      <w:r>
        <w:rPr>
          <w:rStyle w:val="FootnoteAnchor"/>
          <w:rtl w:val="true"/>
        </w:rPr>
        <w:footnoteReference w:id="998"/>
      </w:r>
      <w:r>
        <w:rPr>
          <w:rFonts w:ascii="Amiri" w:hAnsi="Amiri" w:eastAsia="Amiri" w:cs="Amiri"/>
          <w:color w:val="111111"/>
          <w:sz w:val="28"/>
          <w:sz w:val="28"/>
          <w:szCs w:val="28"/>
          <w:rtl w:val="true"/>
          <w:lang w:bidi="ar-SA"/>
        </w:rPr>
        <w:t xml:space="preserve">، وخشيت أن يرجع ما ينصب عنك إلى المكان الذي تغتسل فيه أخذت كفاً وصببته عن يمينك، وكفاً عن يسارك، وكفاً خلفك، وكفاً أمامك واغتسلت منه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الرسالة، ونقل مضمونه في الدرر النجفية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والحدائق الناضرة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اغتسلت من ماء الحمام ولم يكن معك ما تغرف به ويداك قذرتان، فاضرب يدك في الماء، وقل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وَمَا جَعَلَ عَلَيْكُمْ فِي الدِّينِ مِنْ حَرَجِ</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اجتمع مسلم مع ذمّي في الحمام اغتسل المسلم من الحوض قبل الذمي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وماء الحمام سبيله سبيل الجاري إذا كانت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والتمشط في الحمام؛ فإنَّه يُورث وباء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والسواك في الحمام؛ فإنَّه يُورث وباء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تغسل رأسك بالطين؛ فإنه يسمج الوجه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أن تدلك رأسك ووجهك بمتزر؛ فإنَّه يُذهب بنور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تدلك تحت قدميك بالخزف؛ فإنه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تغسل</w:t>
      </w:r>
      <w:r>
        <w:rPr>
          <w:rStyle w:val="FootnoteAnchor"/>
          <w:rtl w:val="true"/>
        </w:rPr>
        <w:footnoteReference w:id="1002"/>
      </w:r>
      <w:r>
        <w:rPr>
          <w:rFonts w:ascii="Amiri" w:hAnsi="Amiri" w:eastAsia="Amiri" w:cs="Amiri"/>
          <w:color w:val="111111"/>
          <w:sz w:val="28"/>
          <w:sz w:val="28"/>
          <w:szCs w:val="28"/>
          <w:rtl w:val="true"/>
          <w:lang w:bidi="ar-SA"/>
        </w:rPr>
        <w:t xml:space="preserve">بغسالة </w:t>
      </w:r>
      <w:r>
        <w:rPr>
          <w:rStyle w:val="FootnoteAnchor"/>
          <w:rtl w:val="true"/>
        </w:rPr>
        <w:footnoteReference w:id="1003"/>
      </w:r>
      <w:r>
        <w:rPr>
          <w:rFonts w:ascii="IRNazanin" w:hAnsi="IRNazanin" w:eastAsia="IRNazanin"/>
          <w:color w:val="111111"/>
          <w:sz w:val="28"/>
          <w:sz w:val="28"/>
          <w:szCs w:val="28"/>
          <w:rtl w:val="true"/>
          <w:lang w:bidi="fa-IR"/>
        </w:rPr>
        <w:t xml:space="preserve">الحمام </w:t>
      </w:r>
      <w:r>
        <w:rPr>
          <w:rStyle w:val="FootnoteAnchor"/>
          <w:rtl w:val="true"/>
        </w:rPr>
        <w:footnoteReference w:id="1004"/>
      </w:r>
      <w:r>
        <w:rPr>
          <w:rFonts w:ascii="Amiri" w:hAnsi="Amiri" w:eastAsia="Amiri" w:cs="Amiri"/>
          <w:color w:val="111111"/>
          <w:sz w:val="28"/>
          <w:sz w:val="28"/>
          <w:szCs w:val="28"/>
          <w:rtl w:val="true"/>
          <w:lang w:bidi="ar-SA"/>
        </w:rPr>
        <w:t>فإنه تجتمع فيه</w:t>
      </w:r>
      <w:r>
        <w:rPr>
          <w:rStyle w:val="FootnoteAnchor"/>
          <w:rtl w:val="true"/>
        </w:rPr>
        <w:footnoteReference w:id="1005"/>
      </w:r>
      <w:r>
        <w:rPr>
          <w:rFonts w:ascii="Amiri" w:hAnsi="Amiri" w:eastAsia="Amiri" w:cs="Amiri"/>
          <w:color w:val="111111"/>
          <w:sz w:val="28"/>
          <w:sz w:val="28"/>
          <w:szCs w:val="28"/>
          <w:rtl w:val="true"/>
          <w:lang w:bidi="ar-SA"/>
        </w:rPr>
        <w:t>غسالة اليهودي</w:t>
      </w:r>
      <w:r>
        <w:rPr>
          <w:rStyle w:val="FootnoteAnchor"/>
          <w:rtl w:val="true"/>
        </w:rPr>
        <w:footnoteReference w:id="1006"/>
      </w:r>
      <w:r>
        <w:rPr>
          <w:rFonts w:ascii="IRNazanin" w:hAnsi="IRNazanin" w:eastAsia="IRNazanin"/>
          <w:color w:val="111111"/>
          <w:sz w:val="28"/>
          <w:sz w:val="28"/>
          <w:szCs w:val="28"/>
          <w:rtl w:val="true"/>
          <w:lang w:bidi="fa-IR"/>
        </w:rPr>
        <w:t>والمجوسي والنصراني والمبغض لآل محمد علیهم السلام له وهو شرهم</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أن تضطجع في الحمام؛ فإنه يذيب شحم الكليتين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الاستلقاء فيه على القفا؛ فإنَّه يورث الدبيلة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بقراءة القرآن في الحمام ما لم تردّ به الصوت إذا كان عليك مئزر</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أنْ تدخله بغير 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الإيمان أنْ لا يدخله الإنسان إلاَّ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 فرجك مِن أنْ ينظر إليه الرَّجل</w:t>
      </w:r>
      <w:r>
        <w:rPr>
          <w:rFonts w:eastAsia="Amiri" w:cs="Amiri" w:ascii="Amiri" w:hAnsi="Amiri"/>
          <w:color w:val="111111"/>
          <w:sz w:val="28"/>
          <w:szCs w:val="28"/>
          <w:rtl w:val="true"/>
          <w:lang w:bidi="ar-SA"/>
        </w:rPr>
        <w:t xml:space="preserve">. </w:t>
      </w:r>
      <w:bookmarkStart w:id="811" w:name="pg9067_80124"/>
    </w:p>
    <w:p>
      <w:pPr>
        <w:pStyle w:val="Heading4"/>
        <w:numPr>
          <w:ilvl w:val="3"/>
          <w:numId w:val="1"/>
        </w:numPr>
        <w:rPr/>
      </w:pPr>
      <w:bookmarkStart w:id="812" w:name="__RefHeading___Toc2465478_2870459653"/>
      <w:bookmarkStart w:id="813" w:name="_Toc311"/>
      <w:bookmarkEnd w:id="811"/>
      <w:bookmarkEnd w:id="812"/>
      <w:r>
        <w:rPr>
          <w:rtl w:val="true"/>
        </w:rPr>
        <w:t>باب دم الحيض والاستحاضة ودم القرحة والعذرة</w:t>
      </w:r>
      <w:bookmarkEnd w:id="813"/>
    </w:p>
    <w:p>
      <w:pPr>
        <w:pStyle w:val="BookText"/>
        <w:rPr/>
      </w:pPr>
      <w:r>
        <w:rPr>
          <w:rFonts w:ascii="Amiri" w:hAnsi="Amiri" w:eastAsia="Amiri" w:cs="Amiri"/>
          <w:color w:val="111111"/>
          <w:sz w:val="28"/>
          <w:sz w:val="28"/>
          <w:szCs w:val="28"/>
          <w:rtl w:val="true"/>
          <w:lang w:bidi="ar-SA"/>
        </w:rPr>
        <w:t xml:space="preserve">اعلم يا بني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 أيام الحيض ثلاثة </w:t>
      </w:r>
      <w:r>
        <w:rPr>
          <w:rStyle w:val="FootnoteAnchor"/>
          <w:rtl w:val="true"/>
        </w:rPr>
        <w:footnoteReference w:id="1010"/>
      </w:r>
      <w:r>
        <w:rPr>
          <w:rFonts w:ascii="Amiri" w:hAnsi="Amiri" w:eastAsia="Amiri" w:cs="Amiri"/>
          <w:color w:val="111111"/>
          <w:sz w:val="28"/>
          <w:sz w:val="28"/>
          <w:szCs w:val="28"/>
          <w:rtl w:val="true"/>
          <w:lang w:bidi="ar-SA"/>
        </w:rPr>
        <w:t xml:space="preserve">وأكثره عشرة </w:t>
      </w:r>
      <w:r>
        <w:rPr>
          <w:rStyle w:val="FootnoteAnchor"/>
          <w:rtl w:val="true"/>
        </w:rPr>
        <w:footnoteReference w:id="1011"/>
      </w:r>
      <w:r>
        <w:rPr>
          <w:rFonts w:ascii="Amiri" w:hAnsi="Amiri" w:eastAsia="Amiri" w:cs="Amiri"/>
          <w:color w:val="111111"/>
          <w:sz w:val="28"/>
          <w:sz w:val="28"/>
          <w:szCs w:val="28"/>
          <w:rtl w:val="true"/>
          <w:lang w:bidi="ar-SA"/>
        </w:rPr>
        <w:t>، فإن رأت المرأة الدم ثلاثة أيام وما زاد إلى عشرة أيام 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أن تترك الصلاة، ولا تدخل المسجد إلا أن تكون مجتازة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عليها عند حضور كل صلاة أن تتوضأ وضوء الصلاة وتجلس مستقبلة القبلة وتذكر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بمقدار صلاتها كل يوم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رأت الدم يوماً أو يومين فليس ذلك من الحيض، ما لم تر الدم ثلاثة أيام متواليات </w:t>
      </w:r>
      <w:r>
        <w:rPr>
          <w:rStyle w:val="FootnoteAnchor"/>
          <w:rtl w:val="true"/>
        </w:rPr>
        <w:footnoteReference w:id="1013"/>
      </w:r>
      <w:r>
        <w:rPr>
          <w:rFonts w:ascii="Amiri" w:hAnsi="Amiri" w:eastAsia="Amiri" w:cs="Amiri"/>
          <w:color w:val="111111"/>
          <w:sz w:val="28"/>
          <w:sz w:val="28"/>
          <w:szCs w:val="28"/>
          <w:rtl w:val="true"/>
          <w:lang w:bidi="ar-SA"/>
        </w:rPr>
        <w:t>وعليها أن تقضي الصلاة التي تركتها في اليوم واليومين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رأت </w:t>
      </w:r>
      <w:r>
        <w:rPr>
          <w:rStyle w:val="FootnoteAnchor"/>
          <w:rtl w:val="true"/>
        </w:rPr>
        <w:footnoteReference w:id="1014"/>
      </w:r>
      <w:r>
        <w:rPr>
          <w:rFonts w:ascii="Amiri" w:hAnsi="Amiri" w:eastAsia="Amiri" w:cs="Amiri"/>
          <w:color w:val="111111"/>
          <w:sz w:val="28"/>
          <w:sz w:val="28"/>
          <w:szCs w:val="28"/>
          <w:rtl w:val="true"/>
          <w:lang w:bidi="ar-SA"/>
        </w:rPr>
        <w:t xml:space="preserve">الدم أكثر من عشرة أيام فلتقعد عن الصلاة عشرة أيام، وتغتسل يوم الحادي عشر </w:t>
      </w:r>
      <w:r>
        <w:rPr>
          <w:rStyle w:val="FootnoteAnchor"/>
          <w:rtl w:val="true"/>
        </w:rPr>
        <w:footnoteReference w:id="1015"/>
      </w:r>
      <w:r>
        <w:rPr>
          <w:rFonts w:ascii="Amiri" w:hAnsi="Amiri" w:eastAsia="Amiri" w:cs="Amiri"/>
          <w:color w:val="111111"/>
          <w:sz w:val="28"/>
          <w:sz w:val="28"/>
          <w:szCs w:val="28"/>
          <w:rtl w:val="true"/>
          <w:lang w:bidi="ar-SA"/>
        </w:rPr>
        <w:t xml:space="preserve">و تحتشي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لم يثقب الدم الكرسف، صلَّت صلاتها، كل صلاة بوضوء</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ثقب الدم الكرسف ولم يسل، صلت صلاة الليل وصلاة الغداة بغسل وسائر الصلوات بوضوء</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ثقب </w:t>
      </w:r>
      <w:r>
        <w:rPr>
          <w:rStyle w:val="FootnoteAnchor"/>
          <w:rtl w:val="true"/>
        </w:rPr>
        <w:footnoteReference w:id="1018"/>
      </w:r>
      <w:r>
        <w:rPr>
          <w:rFonts w:ascii="Amiri" w:hAnsi="Amiri" w:eastAsia="Amiri" w:cs="Amiri"/>
          <w:color w:val="111111"/>
          <w:sz w:val="28"/>
          <w:sz w:val="28"/>
          <w:szCs w:val="28"/>
          <w:rtl w:val="true"/>
          <w:lang w:bidi="ar-SA"/>
        </w:rPr>
        <w:t xml:space="preserve">الدم الكرسف وسال صلّت صلاة الليل وصلاة الغداة بغسل، والظهر والعصر بغسل، تؤخر الظهر قليلاً وتعجّل العصر، وتصلي المغرب والعشاء الآخر </w:t>
      </w:r>
      <w:r>
        <w:rPr>
          <w:rStyle w:val="FootnoteAnchor"/>
          <w:rtl w:val="true"/>
        </w:rPr>
        <w:footnoteReference w:id="1019"/>
      </w:r>
      <w:r>
        <w:rPr>
          <w:rFonts w:ascii="IRNazanin" w:hAnsi="IRNazanin" w:eastAsia="IRNazanin"/>
          <w:color w:val="111111"/>
          <w:sz w:val="28"/>
          <w:sz w:val="28"/>
          <w:szCs w:val="28"/>
          <w:rtl w:val="true"/>
          <w:lang w:bidi="fa-IR"/>
        </w:rPr>
        <w:t>بغسل واحد</w:t>
      </w:r>
      <w:r>
        <w:rPr>
          <w:rStyle w:val="FootnoteAnchor"/>
          <w:rtl w:val="true"/>
        </w:rPr>
        <w:footnoteReference w:id="1020"/>
      </w:r>
      <w:r>
        <w:rPr>
          <w:rFonts w:ascii="IRNazanin" w:hAnsi="IRNazanin" w:eastAsia="IRNazanin"/>
          <w:color w:val="111111"/>
          <w:sz w:val="28"/>
          <w:sz w:val="28"/>
          <w:szCs w:val="28"/>
          <w:rtl w:val="true"/>
          <w:lang w:bidi="fa-IR"/>
        </w:rPr>
        <w:t xml:space="preserve">، وتؤخر </w:t>
      </w:r>
      <w:r>
        <w:rPr>
          <w:rStyle w:val="FootnoteAnchor"/>
          <w:rtl w:val="true"/>
        </w:rPr>
        <w:footnoteReference w:id="1021"/>
      </w:r>
      <w:r>
        <w:rPr>
          <w:rFonts w:ascii="Amiri" w:hAnsi="Amiri" w:eastAsia="Amiri" w:cs="Amiri"/>
          <w:color w:val="111111"/>
          <w:sz w:val="28"/>
          <w:sz w:val="28"/>
          <w:szCs w:val="28"/>
          <w:rtl w:val="true"/>
          <w:lang w:bidi="ar-SA"/>
        </w:rPr>
        <w:t>المغرب قليلاً وتعجل العشاء الآخر إلى أيام حيضها، فإذا دخلت في أيام حيضها تركت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اغتسلت على ما وصفت لك </w:t>
      </w:r>
      <w:r>
        <w:rPr>
          <w:rStyle w:val="FootnoteAnchor"/>
          <w:rtl w:val="true"/>
        </w:rPr>
        <w:footnoteReference w:id="1022"/>
      </w:r>
      <w:r>
        <w:rPr>
          <w:rFonts w:ascii="Amiri" w:hAnsi="Amiri" w:eastAsia="Amiri" w:cs="Amiri"/>
          <w:color w:val="111111"/>
          <w:sz w:val="28"/>
          <w:sz w:val="28"/>
          <w:szCs w:val="28"/>
          <w:rtl w:val="true"/>
          <w:lang w:bidi="ar-SA"/>
        </w:rPr>
        <w:t xml:space="preserve">حل لزوجها أن يأتيها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وأقل الطهر عشرة أيام، وأكثره لا حد له والحائض تغتسل بتسعة أرطال من الماء بالرطل المدني</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وإن </w:t>
      </w:r>
      <w:r>
        <w:rPr>
          <w:rStyle w:val="FootnoteAnchor"/>
          <w:rtl w:val="true"/>
        </w:rPr>
        <w:footnoteReference w:id="1025"/>
      </w:r>
      <w:r>
        <w:rPr>
          <w:rFonts w:ascii="Amiri" w:hAnsi="Amiri" w:eastAsia="Amiri" w:cs="Amiri"/>
          <w:color w:val="111111"/>
          <w:sz w:val="28"/>
          <w:sz w:val="28"/>
          <w:szCs w:val="28"/>
          <w:rtl w:val="true"/>
          <w:lang w:bidi="ar-SA"/>
        </w:rPr>
        <w:t>رأت المرأة الصفرة في أيام الحيض فهو حيض، وإن رأت في أيام الطهر فهو طهر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أرادت الحائض </w:t>
      </w:r>
      <w:r>
        <w:rPr>
          <w:rStyle w:val="FootnoteAnchor"/>
          <w:rtl w:val="true"/>
        </w:rPr>
        <w:footnoteReference w:id="1027"/>
      </w:r>
      <w:r>
        <w:rPr>
          <w:rFonts w:ascii="Amiri" w:hAnsi="Amiri" w:eastAsia="Amiri" w:cs="Amiri"/>
          <w:color w:val="111111"/>
          <w:sz w:val="28"/>
          <w:sz w:val="28"/>
          <w:szCs w:val="28"/>
          <w:rtl w:val="true"/>
          <w:lang w:bidi="ar-SA"/>
        </w:rPr>
        <w:t>الغسل من الحيض فعليها أن تستبرى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والاستبراء أن تدخل قطنة، فإن كان هناك دم خرج ولو مثل رأس الذباب، فإن خرج لم تغتسل، وإن لم يخرج اغتسلت وإن أرادت المرأة الغسل من الجنابة وأصابها حيض فلتترك الغسل إلى أن تظهر فإذا طهرت اغتسلت غسلاً واحداً للجنابة والحيض</w:t>
      </w:r>
      <w:r>
        <w:rPr>
          <w:rFonts w:eastAsia="Amiri" w:cs="Amiri" w:ascii="Amiri" w:hAnsi="Amiri"/>
          <w:color w:val="111111"/>
          <w:sz w:val="28"/>
          <w:szCs w:val="28"/>
          <w:rtl w:val="true"/>
          <w:lang w:bidi="ar-SA"/>
        </w:rPr>
        <w:t>)</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رأت الصفرة والشيء</w:t>
      </w:r>
      <w:r>
        <w:rPr>
          <w:rStyle w:val="FootnoteAnchor"/>
          <w:rtl w:val="true"/>
        </w:rPr>
        <w:footnoteReference w:id="1029"/>
      </w:r>
      <w:r>
        <w:rPr>
          <w:rFonts w:ascii="Amiri" w:hAnsi="Amiri" w:eastAsia="Amiri" w:cs="Amiri"/>
          <w:color w:val="111111"/>
          <w:sz w:val="28"/>
          <w:sz w:val="28"/>
          <w:szCs w:val="28"/>
          <w:rtl w:val="true"/>
          <w:lang w:bidi="ar-SA"/>
        </w:rPr>
        <w:t xml:space="preserve">فعليها أن تلصق بطنها بالحائط وترفع رجلها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الكلب إذا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قطنة فإن خرج فيها دم فهي حائض، وإن لم يخرج فليست بحائض</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اشتبه عليها دم الحيض ودم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كان في فرجها 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أن تستلقي على قفاها وتدخل إصبعها، فإن خرج الدم من الجانب الأيمن فهو من القرحة </w:t>
      </w:r>
      <w:r>
        <w:rPr>
          <w:rStyle w:val="FootnoteAnchor"/>
          <w:rtl w:val="true"/>
        </w:rPr>
        <w:footnoteReference w:id="1030"/>
      </w:r>
      <w:r>
        <w:rPr>
          <w:rFonts w:ascii="Amiri" w:hAnsi="Amiri" w:eastAsia="Amiri" w:cs="Amiri"/>
          <w:color w:val="111111"/>
          <w:sz w:val="28"/>
          <w:sz w:val="28"/>
          <w:szCs w:val="28"/>
          <w:rtl w:val="true"/>
          <w:lang w:bidi="ar-SA"/>
        </w:rPr>
        <w:t>، وإن خرج من الجانب الأيسر فهو من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افتضها زوجها ولم يرق دمها ولا تدري دم الحيض هو أم دم العذرة فعليها أن تدخل قطنة، فإن خرجت القطنة مطوقة بالدم فهو من العذرة، وإن خرجت منغمسة فهو من الحيض</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العذرة لا يجوز الشفرين، ودم الحيض حار يخرج بحرارة له </w:t>
      </w:r>
      <w:r>
        <w:rPr>
          <w:rStyle w:val="FootnoteAnchor"/>
          <w:rtl w:val="true"/>
        </w:rPr>
        <w:footnoteReference w:id="1032"/>
      </w:r>
      <w:r>
        <w:rPr>
          <w:rFonts w:ascii="Amiri" w:hAnsi="Amiri" w:eastAsia="Amiri" w:cs="Amiri"/>
          <w:color w:val="111111"/>
          <w:sz w:val="28"/>
          <w:sz w:val="28"/>
          <w:szCs w:val="28"/>
          <w:rtl w:val="true"/>
          <w:lang w:bidi="ar-SA"/>
        </w:rPr>
        <w:t>شديدة، ودم المستحاضة بارد يسيل منها وهي لا تعلم</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814" w:name="pg9067_80128"/>
    </w:p>
    <w:p>
      <w:pPr>
        <w:pStyle w:val="Heading4"/>
        <w:numPr>
          <w:ilvl w:val="3"/>
          <w:numId w:val="1"/>
        </w:numPr>
        <w:rPr/>
      </w:pPr>
      <w:bookmarkStart w:id="815" w:name="__RefHeading___Toc2465480_2870459653"/>
      <w:bookmarkStart w:id="816" w:name="_Toc312"/>
      <w:bookmarkEnd w:id="814"/>
      <w:bookmarkEnd w:id="815"/>
      <w:r>
        <w:rPr>
          <w:rtl w:val="true"/>
        </w:rPr>
        <w:t>باب دم النفاس</w:t>
      </w:r>
      <w:bookmarkEnd w:id="816"/>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المرأة إذا ولدت أن تقعد عن الصلاة عشرة أيام، إلَّا أن ترى الطهر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استمر بها الدم تركت الصلاة عشرة أيام </w:t>
      </w:r>
      <w:r>
        <w:rPr>
          <w:rStyle w:val="FootnoteAnchor"/>
          <w:rtl w:val="true"/>
        </w:rPr>
        <w:footnoteReference w:id="1034"/>
      </w:r>
      <w:r>
        <w:rPr>
          <w:rFonts w:ascii="Amiri" w:hAnsi="Amiri" w:eastAsia="Amiri" w:cs="Amiri"/>
          <w:color w:val="111111"/>
          <w:sz w:val="28"/>
          <w:sz w:val="28"/>
          <w:szCs w:val="28"/>
          <w:rtl w:val="true"/>
          <w:lang w:bidi="ar-SA"/>
        </w:rPr>
        <w:t xml:space="preserve">، فإذا كان اليوم الحادي عشر اغتسلت واحتشت واستذفرت </w:t>
      </w:r>
      <w:r>
        <w:rPr>
          <w:rStyle w:val="FootnoteAnchor"/>
          <w:rtl w:val="true"/>
        </w:rPr>
        <w:footnoteReference w:id="1035"/>
      </w:r>
      <w:r>
        <w:rPr>
          <w:rFonts w:ascii="Amiri" w:hAnsi="Amiri" w:eastAsia="Amiri" w:cs="Amiri"/>
          <w:color w:val="111111"/>
          <w:sz w:val="28"/>
          <w:sz w:val="28"/>
          <w:szCs w:val="28"/>
          <w:rtl w:val="true"/>
          <w:lang w:bidi="ar-SA"/>
        </w:rPr>
        <w:t>وعملت ما تعمل المستحاضة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أنها تقعد ثمانية عشر يوما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817" w:name="pg9067_80129"/>
    </w:p>
    <w:p>
      <w:pPr>
        <w:pStyle w:val="Heading4"/>
        <w:numPr>
          <w:ilvl w:val="3"/>
          <w:numId w:val="1"/>
        </w:numPr>
        <w:rPr/>
      </w:pPr>
      <w:bookmarkStart w:id="818" w:name="__RefHeading___Toc2465482_2870459653"/>
      <w:bookmarkStart w:id="819" w:name="_Toc313"/>
      <w:bookmarkEnd w:id="817"/>
      <w:bookmarkEnd w:id="818"/>
      <w:r>
        <w:rPr>
          <w:rtl w:val="true"/>
        </w:rPr>
        <w:t>باب غسل الميت</w:t>
      </w:r>
      <w:bookmarkEnd w:id="819"/>
    </w:p>
    <w:p>
      <w:pPr>
        <w:pStyle w:val="BookText"/>
        <w:rPr/>
      </w:pPr>
      <w:r>
        <w:rPr>
          <w:rFonts w:ascii="IRNazanin" w:hAnsi="IRNazanin" w:eastAsia="IRNazanin"/>
          <w:color w:val="111111"/>
          <w:sz w:val="28"/>
          <w:sz w:val="28"/>
          <w:szCs w:val="28"/>
          <w:rtl w:val="true"/>
          <w:lang w:bidi="fa-IR"/>
        </w:rPr>
        <w:t xml:space="preserve">وإذا حضرت 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 فلقنه شهادة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والولاية الأمیر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واحداً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أن يلقن كلمات الفرج،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السموات السبع ورب الأرضين السبع وما فيهن وما بينهن ورب العرش العظيم، وسلام على المرسلين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تحضر الحائض ولا الجنب عند التلقين، فإن الملائكة تتأذى بهما، ولا بأس أن يليا غسله ويصليا عليه، ولا ينزلا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حضرا ولم يجدا من ذلك بداً فليخرجا إذا قرب خروج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اشتد عليه نزع روحه فحوّله إلى مصلاه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يصلي فيه أو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تمسه، وإن وجدته يحرك يديه أو رجليه أو رأسه فلا تمنعه من ذلك، كما يفعل جهال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اقطع كفنه، تبدأ بالنمط </w:t>
      </w:r>
      <w:r>
        <w:rPr>
          <w:rStyle w:val="FootnoteAnchor"/>
          <w:rtl w:val="true"/>
        </w:rPr>
        <w:footnoteReference w:id="1038"/>
      </w:r>
      <w:r>
        <w:rPr>
          <w:rStyle w:val="FootnoteAnchor"/>
          <w:rtl w:val="true"/>
        </w:rPr>
        <w:footnoteReference w:id="1039"/>
      </w:r>
      <w:r>
        <w:rPr>
          <w:rFonts w:ascii="Amiri" w:hAnsi="Amiri" w:eastAsia="Amiri" w:cs="Amiri"/>
          <w:color w:val="111111"/>
          <w:sz w:val="28"/>
          <w:sz w:val="28"/>
          <w:szCs w:val="28"/>
          <w:rtl w:val="true"/>
          <w:lang w:bidi="ar-SA"/>
        </w:rPr>
        <w:t xml:space="preserve">فتبسطه، ويبسط عليه الحبرة </w:t>
      </w:r>
      <w:r>
        <w:rPr>
          <w:rStyle w:val="FootnoteAnchor"/>
          <w:rtl w:val="true"/>
        </w:rPr>
        <w:footnoteReference w:id="1040"/>
      </w:r>
      <w:r>
        <w:rPr>
          <w:rFonts w:ascii="Amiri" w:hAnsi="Amiri" w:eastAsia="Amiri" w:cs="Amiri"/>
          <w:color w:val="111111"/>
          <w:sz w:val="28"/>
          <w:sz w:val="28"/>
          <w:szCs w:val="28"/>
          <w:rtl w:val="true"/>
          <w:lang w:bidi="ar-SA"/>
        </w:rPr>
        <w:t xml:space="preserve">، وينثر عليه شيئاً من الذريرة </w:t>
      </w:r>
      <w:r>
        <w:rPr>
          <w:rStyle w:val="FootnoteAnchor"/>
          <w:rtl w:val="true"/>
        </w:rPr>
        <w:footnoteReference w:id="1041"/>
      </w:r>
      <w:r>
        <w:rPr>
          <w:rFonts w:ascii="Amiri" w:hAnsi="Amiri" w:eastAsia="Amiri" w:cs="Amiri"/>
          <w:color w:val="111111"/>
          <w:sz w:val="28"/>
          <w:sz w:val="28"/>
          <w:szCs w:val="28"/>
          <w:rtl w:val="true"/>
          <w:lang w:bidi="ar-SA"/>
        </w:rPr>
        <w:t xml:space="preserve">ويبسط الإزار على الخبرة، وينثر عليه شيئا من الذريرة، ويبسط القميص </w:t>
      </w:r>
    </w:p>
    <w:p>
      <w:pPr>
        <w:pStyle w:val="BookText"/>
        <w:rPr/>
      </w:pPr>
      <w:r>
        <w:rPr>
          <w:rFonts w:ascii="IRNazanin" w:hAnsi="IRNazanin" w:eastAsia="IRNazanin"/>
          <w:color w:val="111111"/>
          <w:sz w:val="28"/>
          <w:sz w:val="28"/>
          <w:szCs w:val="28"/>
          <w:rtl w:val="true"/>
          <w:lang w:bidi="fa-IR"/>
        </w:rPr>
        <w:t xml:space="preserve">على الإزار </w:t>
      </w:r>
      <w:r>
        <w:rPr>
          <w:rStyle w:val="FootnoteAnchor"/>
          <w:rtl w:val="true"/>
        </w:rPr>
        <w:footnoteReference w:id="1042"/>
      </w:r>
      <w:r>
        <w:rPr>
          <w:rFonts w:ascii="Amiri" w:hAnsi="Amiri" w:eastAsia="Amiri" w:cs="Amiri"/>
          <w:color w:val="111111"/>
          <w:sz w:val="28"/>
          <w:sz w:val="28"/>
          <w:szCs w:val="28"/>
          <w:rtl w:val="true"/>
          <w:lang w:bidi="ar-SA"/>
        </w:rPr>
        <w:t xml:space="preserve">وينشر عليه شيئا من الذريرة ويكثر منه ويكتب على قميصه وإزاره والحبرة </w:t>
      </w:r>
      <w:r>
        <w:rPr>
          <w:rStyle w:val="FootnoteAnchor"/>
          <w:rtl w:val="true"/>
        </w:rPr>
        <w:footnoteReference w:id="1043"/>
      </w:r>
      <w:r>
        <w:rPr>
          <w:rFonts w:ascii="Amiri" w:hAnsi="Amiri" w:eastAsia="Amiri" w:cs="Amiri"/>
          <w:color w:val="111111"/>
          <w:sz w:val="28"/>
          <w:sz w:val="28"/>
          <w:szCs w:val="28"/>
          <w:rtl w:val="true"/>
          <w:lang w:bidi="ar-SA"/>
        </w:rPr>
        <w:t xml:space="preserve">والجريدتين </w:t>
      </w:r>
      <w:r>
        <w:rPr>
          <w:rStyle w:val="FootnoteAnchor"/>
          <w:rtl w:val="true"/>
        </w:rPr>
        <w:footnoteReference w:id="1044"/>
      </w:r>
      <w:r>
        <w:rPr>
          <w:rFonts w:ascii="Amiri" w:hAnsi="Amiri" w:eastAsia="Amiri" w:cs="Amiri"/>
          <w:color w:val="111111"/>
          <w:sz w:val="28"/>
          <w:sz w:val="28"/>
          <w:szCs w:val="28"/>
          <w:rtl w:val="true"/>
          <w:lang w:bidi="ar-SA"/>
        </w:rPr>
        <w:t>فلان يشهد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ويلفها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مئزراً وتأخذ جريدتين من النخل خضرا وين رطبتين، طول كل واحدة منها قدر عظم الذراع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فرغت من الكفن، ووضعت الميت على المغتسل مستقبل القبلة، ويغسله أولى الناس به، أو من يأمره الولي بذلك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ويجعل باطن قدميه إلى القبلة، وتنزع قميصه من فوق إلى سرته، وتتركه إلى أن يفرغ من غسله ليستر به عورته، فإن لم يكن عليه قميص ألقيت على عورته ما تسترها وتكين أصابعه برفق، فإن تصعبت تركتها </w:t>
      </w:r>
      <w:r>
        <w:rPr>
          <w:rStyle w:val="FootnoteAnchor"/>
          <w:rtl w:val="true"/>
        </w:rPr>
        <w:footnoteReference w:id="1047"/>
      </w:r>
      <w:r>
        <w:rPr>
          <w:rFonts w:ascii="Amiri" w:hAnsi="Amiri" w:eastAsia="Amiri" w:cs="Amiri"/>
          <w:color w:val="111111"/>
          <w:sz w:val="28"/>
          <w:sz w:val="28"/>
          <w:szCs w:val="28"/>
          <w:rtl w:val="true"/>
          <w:lang w:bidi="ar-SA"/>
        </w:rPr>
        <w:t>، وامسح يدك على بطنه مسحاً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وابدأ بيديه فاغسلها بثلاث حميديات </w:t>
      </w:r>
      <w:r>
        <w:rPr>
          <w:rStyle w:val="FootnoteAnchor"/>
          <w:rtl w:val="true"/>
        </w:rPr>
        <w:footnoteReference w:id="1048"/>
      </w:r>
      <w:r>
        <w:rPr>
          <w:rFonts w:ascii="Amiri" w:hAnsi="Amiri" w:eastAsia="Amiri" w:cs="Amiri"/>
          <w:color w:val="111111"/>
          <w:sz w:val="28"/>
          <w:sz w:val="28"/>
          <w:szCs w:val="28"/>
          <w:rtl w:val="true"/>
          <w:lang w:bidi="ar-SA"/>
        </w:rPr>
        <w:t xml:space="preserve">بماء السدر، ثم تلف على يدك </w:t>
      </w:r>
    </w:p>
    <w:p>
      <w:pPr>
        <w:pStyle w:val="BookText"/>
        <w:rPr/>
      </w:pPr>
      <w:r>
        <w:rPr>
          <w:rFonts w:ascii="Amiri" w:hAnsi="Amiri" w:eastAsia="Amiri" w:cs="Amiri"/>
          <w:color w:val="111111"/>
          <w:sz w:val="28"/>
          <w:sz w:val="28"/>
          <w:szCs w:val="28"/>
          <w:rtl w:val="true"/>
          <w:lang w:bidi="ar-SA"/>
        </w:rPr>
        <w:t xml:space="preserve">اليسرى خرقة تجعل عليها شيئاً من الحرض وهو الاشنان </w:t>
      </w:r>
      <w:r>
        <w:rPr>
          <w:rStyle w:val="FootnoteAnchor"/>
          <w:rtl w:val="true"/>
        </w:rPr>
        <w:footnoteReference w:id="1049"/>
      </w:r>
      <w:r>
        <w:rPr>
          <w:rFonts w:ascii="Amiri" w:hAnsi="Amiri" w:eastAsia="Amiri" w:cs="Amiri"/>
          <w:color w:val="111111"/>
          <w:sz w:val="28"/>
          <w:sz w:val="28"/>
          <w:szCs w:val="28"/>
          <w:rtl w:val="true"/>
          <w:lang w:bidi="ar-SA"/>
        </w:rPr>
        <w:t>، وتدخل يدك تحت الثوب ويصب عليك الماء غيرك من فوق سرته، وتغسل قبله ودبره ولا تقطع الماء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تغسل رأسه ولحيته برغوة السدر وبعده بثلاث حميديات ماء </w:t>
      </w:r>
      <w:r>
        <w:rPr>
          <w:rStyle w:val="FootnoteAnchor"/>
          <w:rtl w:val="true"/>
        </w:rPr>
        <w:footnoteReference w:id="1050"/>
      </w:r>
      <w:r>
        <w:rPr>
          <w:rFonts w:ascii="Amiri" w:hAnsi="Amiri" w:eastAsia="Amiri" w:cs="Amiri"/>
          <w:color w:val="111111"/>
          <w:sz w:val="28"/>
          <w:sz w:val="28"/>
          <w:szCs w:val="28"/>
          <w:rtl w:val="true"/>
          <w:lang w:bidi="ar-SA"/>
        </w:rPr>
        <w:t>ولا تقعده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اقلبه على جنبه الأيسر ليبدو لك الأيمن، ومد يده اليمنى على جنبه الأيمن إلى حيث بلغت، ثم غسله بثلاث حميديات من قرنه إلى قدمه، فإذا بلغت وركه فأكثر </w:t>
      </w:r>
      <w:r>
        <w:rPr>
          <w:rStyle w:val="FootnoteAnchor"/>
          <w:rtl w:val="true"/>
        </w:rPr>
        <w:footnoteReference w:id="1051"/>
      </w:r>
      <w:r>
        <w:rPr>
          <w:rFonts w:ascii="Amiri" w:hAnsi="Amiri" w:eastAsia="Amiri" w:cs="Amiri"/>
          <w:color w:val="111111"/>
          <w:sz w:val="28"/>
          <w:sz w:val="28"/>
          <w:szCs w:val="28"/>
          <w:rtl w:val="true"/>
          <w:lang w:bidi="ar-SA"/>
        </w:rPr>
        <w:t xml:space="preserve">من صب الماء وإياك أن تتركه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اقلبه إلى جانبه الأيمن حتى يبدو لك الأيسر وضع يده اليسرى على جانبه الأيسر </w:t>
      </w:r>
      <w:r>
        <w:rPr>
          <w:rStyle w:val="FootnoteAnchor"/>
          <w:rtl w:val="true"/>
        </w:rPr>
        <w:footnoteReference w:id="1053"/>
      </w:r>
      <w:r>
        <w:rPr>
          <w:rFonts w:ascii="Amiri" w:hAnsi="Amiri" w:eastAsia="Amiri" w:cs="Amiri"/>
          <w:color w:val="111111"/>
          <w:sz w:val="28"/>
          <w:sz w:val="28"/>
          <w:szCs w:val="28"/>
          <w:rtl w:val="true"/>
          <w:lang w:bidi="ar-SA"/>
        </w:rPr>
        <w:t>واغسله بثلاث حميديات من قرنه إلى قدمه ولا تقطع الماء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اقلبه على ظهره وامسح بطنه مسحاً رفيقاً، واغسله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بماء وشيء من جلال الكافور </w:t>
      </w:r>
      <w:r>
        <w:rPr>
          <w:rStyle w:val="FootnoteAnchor"/>
          <w:rtl w:val="true"/>
        </w:rPr>
        <w:footnoteReference w:id="1054"/>
      </w:r>
      <w:r>
        <w:rPr>
          <w:rFonts w:ascii="Amiri" w:hAnsi="Amiri" w:eastAsia="Amiri" w:cs="Amiri"/>
          <w:color w:val="111111"/>
          <w:sz w:val="28"/>
          <w:sz w:val="28"/>
          <w:szCs w:val="28"/>
          <w:rtl w:val="true"/>
          <w:lang w:bidi="ar-SA"/>
        </w:rPr>
        <w:t xml:space="preserve">مثل الغسلة الأولى، ثم خضخض الأواني التي فيها الماء، </w:t>
      </w:r>
    </w:p>
    <w:p>
      <w:pPr>
        <w:pStyle w:val="BookText"/>
        <w:rPr/>
      </w:pPr>
      <w:r>
        <w:rPr>
          <w:rFonts w:ascii="Amiri" w:hAnsi="Amiri" w:eastAsia="Amiri" w:cs="Amiri"/>
          <w:color w:val="111111"/>
          <w:sz w:val="28"/>
          <w:sz w:val="28"/>
          <w:szCs w:val="28"/>
          <w:rtl w:val="true"/>
          <w:lang w:bidi="ar-SA"/>
        </w:rPr>
        <w:t>واغسله الثالثة بماء قراح ولا تمسح بطنه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وأنت تغسله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عفوك عفوك؛ فإنَّ من قال ذلك على الله عنه </w:t>
      </w:r>
      <w:r>
        <w:rPr>
          <w:rStyle w:val="FootnoteAnchor"/>
          <w:rtl w:val="true"/>
        </w:rPr>
        <w:footnoteReference w:id="1055"/>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وعليك بأداء الأمانة فإنه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ميتاً مؤمناً فأدى فيه الأمانة غفر الله 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يؤدي فيه الأمانة؟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يخبر بما يرى</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فرغت من الغسلة الثالثة، فاغسل يديك من المرفق إلى الأصابع، وألق عليه ثوباً تنشف به عنه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تدخل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ينصب على الميت من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كنيف</w:t>
      </w:r>
      <w:r>
        <w:rPr>
          <w:rStyle w:val="FootnoteAnchor"/>
          <w:rtl w:val="true"/>
        </w:rPr>
        <w:footnoteReference w:id="1058"/>
      </w:r>
      <w:r>
        <w:rPr>
          <w:rFonts w:ascii="Amiri" w:hAnsi="Amiri" w:eastAsia="Amiri" w:cs="Amiri"/>
          <w:color w:val="111111"/>
          <w:sz w:val="28"/>
          <w:sz w:val="28"/>
          <w:szCs w:val="28"/>
          <w:rtl w:val="true"/>
          <w:lang w:bidi="ar-SA"/>
        </w:rPr>
        <w:t xml:space="preserve">وليكن ذلك في بلاليع أو حفرة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تقلمن أظافيره، ولا تجز شاربه، ولا شيئاً من شعره، فإن سقط منه شيء من ذلك فاجعله معه في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تسخن له ماءً إلا أن يكون شتاءً بارداً، فتوقي الميت مما توقي منه نفسك، ولايكون الماء حاراً شديد الحرارة، وليكن فاتراً إن شاء الله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اغتسل على ما أبينه لك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ضعه في أكفانه، ثم اجعل جريدتين أحدهما من عند الترقوة تلصقها بجلده، </w:t>
      </w:r>
    </w:p>
    <w:p>
      <w:pPr>
        <w:pStyle w:val="BookText"/>
        <w:rPr/>
      </w:pPr>
      <w:r>
        <w:rPr>
          <w:rFonts w:ascii="Amiri" w:hAnsi="Amiri" w:eastAsia="Amiri" w:cs="Amiri"/>
          <w:color w:val="111111"/>
          <w:sz w:val="28"/>
          <w:sz w:val="28"/>
          <w:szCs w:val="28"/>
          <w:rtl w:val="true"/>
          <w:lang w:bidi="ar-SA"/>
        </w:rPr>
        <w:t xml:space="preserve">ويمد عليها قميصه، والجريدة الأخرى عند وركه ما بين القميص والإزار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لم تقدر على جريدة من نخل فلا بأس أن يكون من غيره </w:t>
      </w:r>
      <w:r>
        <w:rPr>
          <w:rStyle w:val="FootnoteAnchor"/>
          <w:rtl w:val="true"/>
        </w:rPr>
        <w:footnoteReference w:id="1061"/>
      </w:r>
      <w:r>
        <w:rPr>
          <w:rFonts w:ascii="Amiri" w:hAnsi="Amiri" w:eastAsia="Amiri" w:cs="Amiri"/>
          <w:color w:val="111111"/>
          <w:sz w:val="28"/>
          <w:sz w:val="28"/>
          <w:szCs w:val="28"/>
          <w:rtl w:val="true"/>
          <w:lang w:bidi="ar-SA"/>
        </w:rPr>
        <w:t>بعد أن يكون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وتلفه في إزاره وحبرته، وتبدأ بالشق الأيسر فتمده على الأيمن، ثم تمد الأيمن على الأيسر، وإن شئت تجعل الحبرة معه حتى تدخله قبره فتلقيها عليه وتعممه وتحنكه، وإياك أن تعممه عمة الأعرابي </w:t>
      </w:r>
      <w:r>
        <w:rPr>
          <w:rStyle w:val="FootnoteAnchor"/>
          <w:rtl w:val="true"/>
        </w:rPr>
        <w:footnoteReference w:id="1062"/>
      </w:r>
      <w:r>
        <w:rPr>
          <w:rFonts w:ascii="Amiri" w:hAnsi="Amiri" w:eastAsia="Amiri" w:cs="Amiri"/>
          <w:color w:val="111111"/>
          <w:sz w:val="28"/>
          <w:sz w:val="28"/>
          <w:szCs w:val="28"/>
          <w:rtl w:val="true"/>
          <w:lang w:bidi="ar-SA"/>
        </w:rPr>
        <w:t>، وتلقي طرفي العمامة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تلبسه قميصه تأخذ شيئاً من القطن وتجعل عليه ذريرة وتحشو به دبره وتضع من القطن شيئاً على قبله بعد أن تنثر عليه الذريرة، وتضم رجليه جميعاً، وتشد فخذيه إلى وركيه بالمنزر شداً جيداً، لئلا يخرج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تكفينه فحنّطه بوزن ثلاثة عشر درهماً وثلث درهم</w:t>
      </w:r>
      <w:r>
        <w:rPr>
          <w:rStyle w:val="FootnoteAnchor"/>
          <w:rtl w:val="true"/>
        </w:rPr>
        <w:footnoteReference w:id="1063"/>
      </w:r>
      <w:r>
        <w:rPr>
          <w:rFonts w:ascii="Amiri" w:hAnsi="Amiri" w:eastAsia="Amiri" w:cs="Amiri"/>
          <w:color w:val="111111"/>
          <w:sz w:val="28"/>
          <w:sz w:val="28"/>
          <w:szCs w:val="28"/>
          <w:rtl w:val="true"/>
          <w:lang w:bidi="ar-SA"/>
        </w:rPr>
        <w:t>، والحنوط هو الكافور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وتبدأ بجبهته وتمسح مفاصله كلها وإن بقي منه شيء جعلته على صدره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لم تقدر على وزن ثلاثة عشر درهما وثلث كافوراً حنطته بأربعة دراهم، فإن لم تقدر عليه فمثقال لا أقل من ذلك لمن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اجعله على سريره واحمله إلى حفرته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إرفقوا به أو ترحموا عليه، أو تضرب يدك على فخذك عند المصيبة فتحيط أجرك </w:t>
      </w:r>
      <w:r>
        <w:rPr>
          <w:rStyle w:val="FootnoteAnchor"/>
          <w:rtl w:val="true"/>
        </w:rPr>
        <w:footnoteReference w:id="1064"/>
      </w:r>
      <w:r>
        <w:rPr>
          <w:rFonts w:ascii="Amiri" w:hAnsi="Amiri" w:eastAsia="Amiri" w:cs="Amiri"/>
          <w:color w:val="111111"/>
          <w:sz w:val="28"/>
          <w:sz w:val="28"/>
          <w:szCs w:val="28"/>
          <w:rtl w:val="true"/>
          <w:lang w:bidi="ar-SA"/>
        </w:rPr>
        <w:t xml:space="preserve">، ولا تتركه وحده فإن الشيطان يعبث به في جوفه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أن تغسله في فضاء، وإن ستر بستر فهو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حضر قوم مخالفون فاجتهد أن تغسله غسل المؤمنين، واخف الجريدة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خرج منه شيء بعد الغسل فلا تعد غسله، ولكن اغسل ما أصاب الكفن إلى أن تضجعه في لحده فإن خرج منه شيء في لحده لم تغسل الكفن ولكن قرضت من كفنه ما أصابه الشيء الذي خرج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مددت أحد الثوبين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تكفنه في كتان ولا إبريسم ولكن كفنه في قطن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بأن ينظر الرجل إلى امرأته بعد الموت، وتنظر المرأة إلى زوجها، ويُغسل كُلُّ واحدٍ منهما صاحبه إذا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مَسَّ ثوبك ميتاً فاغسل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حضرت جنازة فامش خلفها ولا تمش أمامها؛ فإنّما يؤجر من يتبعها، لا من تبعه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وقد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دخل قبره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 حبائك الجنة، وأوّل حياء من تبعك المغفرة</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الجنازة ولا تتبعكم فإنه من عمل المجوس</w:t>
      </w:r>
      <w:r>
        <w:rPr>
          <w:rFonts w:eastAsia="IRNazanin" w:cs="IRNazanin"/>
          <w:color w:val="111111"/>
          <w:sz w:val="28"/>
          <w:szCs w:val="28"/>
          <w:rtl w:val="true"/>
          <w:lang w:bidi="fa-IR"/>
        </w:rPr>
        <w:t xml:space="preserve">) </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الشيء اتباع الجنازة ما بين جنبي الجنازة، وهو مشي الكرام الكاتبين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تشييع جنازة المؤمن؛ فإنَّ فيه فضلاً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وربع الجنازة؛ فإنّ من ربع جنازة مؤمن حط عنه خمس وعشرون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تربعها، فابدأ بالشق الأيمن فخذه بيمينك، ثم در إلى المؤخر فخذه بيمينك، ثم در الى المؤخر الثاني فتأخذه بيسارك، ثم در إلى المقدم الأيسر فتأخذه بيسارك، تدور على الجنازة دور الرحا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صل </w:t>
      </w:r>
      <w:r>
        <w:rPr>
          <w:rStyle w:val="FootnoteAnchor"/>
          <w:rtl w:val="true"/>
        </w:rPr>
        <w:footnoteReference w:id="1070"/>
      </w:r>
      <w:r>
        <w:rPr>
          <w:rFonts w:ascii="Amiri" w:hAnsi="Amiri" w:eastAsia="Amiri" w:cs="Amiri"/>
          <w:color w:val="111111"/>
          <w:sz w:val="28"/>
          <w:sz w:val="28"/>
          <w:szCs w:val="28"/>
          <w:rtl w:val="true"/>
          <w:lang w:bidi="ar-SA"/>
        </w:rPr>
        <w:t>عليه، وسأبين الصلاة على الجنازة في باب الصلاة إن شاء الله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حملته إلى قبره فلا تفاجئ به القبر؛ فإنَّ للقبر أهوالاً عظيمة، وتعوذ بالله من هول المطلع، ولكن ضعه قرب شفير القبر، واصبر عليه هنيئة، ثم قدمه قليلاً، واصبر </w:t>
      </w:r>
    </w:p>
    <w:p>
      <w:pPr>
        <w:pStyle w:val="BookText"/>
        <w:rPr/>
      </w:pPr>
      <w:r>
        <w:rPr>
          <w:rFonts w:ascii="Amiri" w:hAnsi="Amiri" w:eastAsia="Amiri" w:cs="Amiri"/>
          <w:color w:val="111111"/>
          <w:sz w:val="28"/>
          <w:sz w:val="28"/>
          <w:szCs w:val="28"/>
          <w:rtl w:val="true"/>
          <w:lang w:bidi="ar-SA"/>
        </w:rPr>
        <w:t>عليه هنيئة ليأخذ أهبته، ثم قدمه إلى شفير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w:t>
      </w:r>
      <w:r>
        <w:rPr>
          <w:rStyle w:val="FootnoteAnchor"/>
          <w:rtl w:val="true"/>
        </w:rPr>
        <w:footnoteReference w:id="1071"/>
      </w:r>
      <w:r>
        <w:rPr>
          <w:rFonts w:ascii="Amiri" w:hAnsi="Amiri" w:eastAsia="Amiri" w:cs="Amiri"/>
          <w:color w:val="111111"/>
          <w:sz w:val="28"/>
          <w:sz w:val="28"/>
          <w:szCs w:val="28"/>
          <w:rtl w:val="true"/>
          <w:lang w:bidi="ar-SA"/>
        </w:rPr>
        <w:t>القبر من يأذن له ولي الميت، إن شاء شفعاً وإن شاء وتراً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 إذا نظرت إلى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اجعله </w:t>
      </w:r>
      <w:r>
        <w:rPr>
          <w:rStyle w:val="FootnoteAnchor"/>
          <w:rtl w:val="true"/>
        </w:rPr>
        <w:footnoteReference w:id="1072"/>
      </w:r>
      <w:r>
        <w:rPr>
          <w:rFonts w:ascii="Amiri" w:hAnsi="Amiri" w:eastAsia="Amiri" w:cs="Amiri"/>
          <w:color w:val="111111"/>
          <w:sz w:val="28"/>
          <w:sz w:val="28"/>
          <w:szCs w:val="28"/>
          <w:rtl w:val="true"/>
          <w:lang w:bidi="ar-SA"/>
        </w:rPr>
        <w:t>روضة من رياض الجنة، ولا تجعله حفرة من حفر النار</w:t>
      </w:r>
      <w:r>
        <w:rPr>
          <w:rFonts w:eastAsia="Amiri" w:cs="Amiri" w:ascii="Amiri" w:hAnsi="Amiri"/>
          <w:color w:val="111111"/>
          <w:sz w:val="28"/>
          <w:szCs w:val="28"/>
          <w:rtl w:val="true"/>
          <w:lang w:bidi="ar-SA"/>
        </w:rPr>
        <w:t>)</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القبر فاقرأ أم الكتاب والمعوذتين، وقل هو الله احد، وآية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أنزلناه</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تناولت الميت،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ضعه في الحده على يمينه مستقبل القبلة </w:t>
      </w:r>
      <w:r>
        <w:rPr>
          <w:rStyle w:val="FootnoteAnchor"/>
          <w:rtl w:val="true"/>
        </w:rPr>
        <w:footnoteReference w:id="1076"/>
      </w:r>
      <w:r>
        <w:rPr>
          <w:rFonts w:ascii="Amiri" w:hAnsi="Amiri" w:eastAsia="Amiri" w:cs="Amiri"/>
          <w:color w:val="111111"/>
          <w:sz w:val="28"/>
          <w:sz w:val="28"/>
          <w:szCs w:val="28"/>
          <w:rtl w:val="true"/>
          <w:lang w:bidi="ar-SA"/>
        </w:rPr>
        <w:t>، وحل عقد كفنه، وضع خدّه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جنبيه، وصعد إليك روحه ولقه منك رضوانا</w:t>
      </w:r>
      <w:r>
        <w:rPr>
          <w:rFonts w:eastAsia="Amiri" w:cs="Amiri" w:ascii="Amiri" w:hAnsi="Amiri"/>
          <w:color w:val="111111"/>
          <w:sz w:val="28"/>
          <w:szCs w:val="28"/>
          <w:rtl w:val="true"/>
          <w:lang w:bidi="ar-SA"/>
        </w:rPr>
        <w:t>)</w:t>
      </w:r>
      <w:r>
        <w:rPr>
          <w:rStyle w:val="FootnoteAnchor"/>
          <w:rtl w:val="true"/>
        </w:rPr>
        <w:footnoteReference w:id="1077"/>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تدخل يدك اليمنى تحت منكبه الأيمن، وتضع يدك اليسرى تحت منكبه الأيسر</w:t>
      </w:r>
      <w:r>
        <w:rPr>
          <w:rStyle w:val="FootnoteAnchor"/>
          <w:rtl w:val="true"/>
        </w:rPr>
        <w:footnoteReference w:id="1079"/>
      </w:r>
      <w:r>
        <w:rPr>
          <w:rFonts w:ascii="Amiri" w:hAnsi="Amiri" w:eastAsia="Amiri" w:cs="Amiri"/>
          <w:color w:val="111111"/>
          <w:sz w:val="28"/>
          <w:sz w:val="28"/>
          <w:szCs w:val="28"/>
          <w:rtl w:val="true"/>
          <w:lang w:bidi="ar-SA"/>
        </w:rPr>
        <w:t>، وتحركه تحريكاً شديداً،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فلان بن فلان الله ربك، ومحمد نبيك، والإسلام دينك، وعلي وليك وإمامك، وتسمي الأئمة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أئمتك أئمة هدى أبرار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تعيد عليه التلقين مرة أخرى، فإذا وضعت عليه اللبن،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آنس وحشته وصل،وحدته، اللهم عبدك ابن عبدك ابن أمتك نزل بك وأنت خير منزول به، اللهم إن كان محسناً فزد في إحسانه، وإن كان مسيئاً فتجاوز عنه واغفر له</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امرأة فخذها بالعرض من قبل اللحد، وتأخذ الرجل من قبل رجليه تسله سلا، فإذا أدخلت المرأة القبر، وقف زوجها في موضع يتناول وركها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خرجت من القبر، فقل وأنت تنفض يديك من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احث التراب عليه بظهر كفيك ثلاث مرات </w:t>
      </w:r>
      <w:r>
        <w:rPr>
          <w:rStyle w:val="FootnoteAnchor"/>
          <w:rtl w:val="true"/>
        </w:rPr>
        <w:footnoteReference w:id="1083"/>
      </w:r>
      <w:r>
        <w:rPr>
          <w:rFonts w:ascii="IRNazanin" w:hAnsi="IRNazanin" w:eastAsia="IRNazanin"/>
          <w:color w:val="111111"/>
          <w:sz w:val="28"/>
          <w:sz w:val="28"/>
          <w:szCs w:val="28"/>
          <w:rtl w:val="true"/>
          <w:lang w:bidi="fa-IR"/>
        </w:rPr>
        <w:t>، وقل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إيماناً بك وتصديقاً بكتابك، هذا ما وعد الله ورسوله، وصدق الله ورسوله</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مَنْ فعل ذلك، وقال هذه الكلمات، كتب له بكل ذرة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سُويَ قبره، فصُبَّ على قبره الماء، وتجعل القبر أمامك وأنت مستقبل القبلة، وتبدأ بصب الماء من عند رأسه، وتدور على قبره من أربعة جوانبه، حتى ترجع إلى الرأس من غير أن تقطع الماء عنه، فإن فضل من الماء شيء فصبه على وسط القبر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يدك على القبر وأنت مستقبل القبلة،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غربته، وصل وحدته، وآنس وحشته، وآمن روعته، واسكن إليه من رحمتك رحمة يستغني بها عن رحمة من سواك واحشره يا رب مع من كان يتولاه</w:t>
      </w:r>
      <w:r>
        <w:rPr>
          <w:rFonts w:eastAsia="Amiri" w:cs="Amiri" w:ascii="Amiri" w:hAnsi="Amiri"/>
          <w:color w:val="111111"/>
          <w:sz w:val="28"/>
          <w:szCs w:val="28"/>
          <w:rtl w:val="true"/>
          <w:lang w:bidi="ar-SA"/>
        </w:rPr>
        <w:t>)</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زرت قبره فادع له بهذا الدعاء، وأنت مستقبل القبلة، ويدك على القبر، وتقرأ عند القبر فاتحة الكتاب وإنا أنزلناه في ليلة القدر سبع مرات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 وليه؛ فإنَّه روي 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عزّى حزيناً كسي يوم القيامة في الموقف حلة يحبر </w:t>
      </w:r>
      <w:r>
        <w:rPr>
          <w:rStyle w:val="FootnoteAnchor"/>
          <w:rtl w:val="true"/>
        </w:rPr>
        <w:footnoteReference w:id="1088"/>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يتخلف عند رأسه أولى الناس به بعد انصراف الناس عنه، ويقبض </w:t>
      </w:r>
    </w:p>
    <w:p>
      <w:pPr>
        <w:pStyle w:val="BookText"/>
        <w:rPr/>
      </w:pPr>
      <w:r>
        <w:rPr>
          <w:rFonts w:ascii="Amiri" w:hAnsi="Amiri" w:eastAsia="Amiri" w:cs="Amiri"/>
          <w:color w:val="111111"/>
          <w:sz w:val="28"/>
          <w:sz w:val="28"/>
          <w:szCs w:val="28"/>
          <w:rtl w:val="true"/>
          <w:lang w:bidi="ar-SA"/>
        </w:rPr>
        <w:t xml:space="preserve">على التراب بكفيه، ويلقنه برفيع من صوته؛ فإنه إذا فعل ذلك كفي الميت المسألة في والسنة في أهل الميت أن يتخذ لهم ثلاثة أيام طعاماً؛ لشغلهم </w:t>
      </w:r>
      <w:r>
        <w:rPr>
          <w:rStyle w:val="FootnoteAnchor"/>
          <w:rtl w:val="true"/>
        </w:rPr>
        <w:footnoteReference w:id="1090"/>
      </w:r>
      <w:r>
        <w:rPr>
          <w:rFonts w:ascii="Amiri" w:hAnsi="Amiri" w:eastAsia="Amiri" w:cs="Amiri"/>
          <w:color w:val="111111"/>
          <w:sz w:val="28"/>
          <w:sz w:val="28"/>
          <w:szCs w:val="28"/>
          <w:rtl w:val="true"/>
          <w:lang w:bidi="ar-SA"/>
        </w:rPr>
        <w:t>بالمصيبة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المعزّى يتيماً فامسح يدك على رأسه؛ فقد روي 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مسح يده على رأس يتيم ترحماً له كتب الله بكل شعرة مرت عليها يده حسنة</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وجدته باكياً فسكته بلطف،ورفق فإنّه روي عن العالم 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بكى اليتيم اهتز له العرش، فيقول الله من هذا الذي أبكى عبدي الذي سلبته أبويه في صغره؟ فوعزتي وجلالي وارتفاعي في علو مكاني لا سكته عبد مؤمن إلا أوجبت له الجنة</w:t>
      </w:r>
      <w:r>
        <w:rPr>
          <w:rFonts w:eastAsia="Amiri" w:cs="Amiri" w:ascii="Amiri" w:hAnsi="Amiri"/>
          <w:color w:val="111111"/>
          <w:sz w:val="28"/>
          <w:szCs w:val="28"/>
          <w:rtl w:val="true"/>
          <w:lang w:bidi="ar-SA"/>
        </w:rPr>
        <w:t xml:space="preserve">) </w:t>
      </w:r>
      <w:r>
        <w:rPr>
          <w:rStyle w:val="FootnoteAnchor"/>
          <w:rtl w:val="true"/>
        </w:rPr>
        <w:footnoteReference w:id="1092"/>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أردت أن تغسل ميتاً وأنت جنب، فتوضأ وضوء الصلاة ثمَّ غسله، وإذا أردت الجماع من بعد غسلك الميث من قبل أن تغتسل من غسله، فتوضأ ثم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ميت بين رجال نصارى ونسوة،مسلمات، غسله الرجال النصارى بعدما </w:t>
      </w:r>
    </w:p>
    <w:p>
      <w:pPr>
        <w:pStyle w:val="BookText"/>
        <w:rPr/>
      </w:pPr>
      <w:r>
        <w:rPr>
          <w:rFonts w:ascii="Amiri" w:hAnsi="Amiri" w:eastAsia="Amiri" w:cs="Amiri"/>
          <w:color w:val="111111"/>
          <w:sz w:val="28"/>
          <w:sz w:val="28"/>
          <w:szCs w:val="28"/>
          <w:rtl w:val="true"/>
          <w:lang w:bidi="ar-SA"/>
        </w:rPr>
        <w:t>يتوضؤن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الميت امرأة مسلمة بين رجال مسلمين ونسوة نصرانيات، توضأت نصرانية وغسلتها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الميت مجدوراً أو محروقاً فخشيت أنك إذا مسسته سقط من جلده شيء، فلا تمسه ولكن صبّ عليه الماء صباً، فإن سقط منه شيء فاجمعه معه في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الميت أكيل السبع، فاغسل ما بقي منه، وإن لم يبق منه إلا عظام، جمعتها </w:t>
      </w:r>
      <w:r>
        <w:rPr>
          <w:rStyle w:val="FootnoteAnchor"/>
          <w:rtl w:val="true"/>
        </w:rPr>
        <w:footnoteReference w:id="1095"/>
      </w:r>
      <w:r>
        <w:rPr>
          <w:rFonts w:ascii="Amiri" w:hAnsi="Amiri" w:eastAsia="Amiri" w:cs="Amiri"/>
          <w:color w:val="111111"/>
          <w:sz w:val="28"/>
          <w:sz w:val="28"/>
          <w:szCs w:val="28"/>
          <w:rtl w:val="true"/>
          <w:lang w:bidi="ar-SA"/>
        </w:rPr>
        <w:t xml:space="preserve">، وغسلتها، وصليت عليها، ودفنتها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الميت مصعوقاً أو غريقاً أو مدخناً، صبرت عليه ثلاثة أيام إلَّا أن يتغير قبل ذلك فإن تغير غسلته، وحنطته، وكفته، ودفنته، وصليت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مات في سفينة، فاغسله، وكفنه، وثقل رجليه، وألقه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مسست ميتاً قبل الغسل بحرارته فلا غسل عليك، وإن مسسته بعد ما برد فعليك الغسل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مسست</w:t>
      </w:r>
      <w:r>
        <w:rPr>
          <w:rStyle w:val="FootnoteAnchor"/>
          <w:rtl w:val="true"/>
        </w:rPr>
        <w:footnoteReference w:id="1098"/>
      </w:r>
      <w:r>
        <w:rPr>
          <w:rFonts w:ascii="Amiri" w:hAnsi="Amiri" w:eastAsia="Amiri" w:cs="Amiri"/>
          <w:color w:val="111111"/>
          <w:sz w:val="28"/>
          <w:sz w:val="28"/>
          <w:szCs w:val="28"/>
          <w:rtl w:val="true"/>
          <w:lang w:bidi="ar-SA"/>
        </w:rPr>
        <w:t xml:space="preserve">شيئاً من جسد أكيل السبع فعليك الغسل، إن كان فيها مسسته </w:t>
      </w:r>
    </w:p>
    <w:p>
      <w:pPr>
        <w:pStyle w:val="BookText"/>
        <w:rPr/>
      </w:pPr>
      <w:r>
        <w:rPr>
          <w:rFonts w:ascii="Amiri" w:hAnsi="Amiri" w:eastAsia="Amiri" w:cs="Amiri"/>
          <w:color w:val="111111"/>
          <w:sz w:val="28"/>
          <w:sz w:val="28"/>
          <w:szCs w:val="28"/>
          <w:rtl w:val="true"/>
          <w:lang w:bidi="ar-SA"/>
        </w:rPr>
        <w:t>عظم، وإن لم يكن فيه عظم فلا غسل عليك في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مسست ميتة، فاغسل يدك وليس عليك غسل، وإنما يجب ذلك في الإنسان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الميت محرماً، غسلته، وحنطته، وغطيت وجهه، وعملت به ما يُعمل بالمحل إلَّا أنه لا تقربه كافوراً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الميت قتيل معركة في طاعة الله، لم يُغسل، ودفن بثيابه التي قتل فيها بدمائه، ولا ينزع منه شيء من ثيابه إلا الخف، والفرو، والمنطقة، والقلنسوة، والعمامة، والسراويل، فإن أصاب شيئاً من ثيابه دم، لم تنزع عنه شيئاً </w:t>
      </w:r>
      <w:r>
        <w:rPr>
          <w:rStyle w:val="FootnoteAnchor"/>
          <w:rtl w:val="true"/>
        </w:rPr>
        <w:footnoteReference w:id="1099"/>
      </w:r>
      <w:r>
        <w:rPr>
          <w:rFonts w:ascii="Amiri" w:hAnsi="Amiri" w:eastAsia="Amiri" w:cs="Amiri"/>
          <w:color w:val="111111"/>
          <w:sz w:val="28"/>
          <w:sz w:val="28"/>
          <w:szCs w:val="28"/>
          <w:rtl w:val="true"/>
          <w:lang w:bidi="ar-SA"/>
        </w:rPr>
        <w:t>، ولم يُغسل، إلَّا أن يكون به رمق ثم يموت بعد ذلك، فإن كان به رمق، فاغسله إذا مات بعد ذلك، وتنزع عن ثيابه كلها، ويغسل، ويحنّط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قتيلاً في معصية الله، غُسل كما يُغسل الميت، ويضم رأسه إلى عنقه، ويغسل مع البدن، كما وصفناه في باب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غسله جعل على عنقه قطن، وضم إليه الرأس، وشد مع العنق شدّاً وثيقاً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ماتت امرأة وهي حامل وولدها يتحرك في بطنها، شق بطنها من الجانب الأيسر، وأخرج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الولد في جوفها، ولم يخرج، وهي حية، أدخل إنسان يده في فرجها، وقطع الولد بيده وأخرجه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اغتسلت من غسل الميت فتوضاً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واغتسل كغسلك من جنابتك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نسيت الغسل فذكرته بعد ما صليت، فاغتسل، وأعد صلاتك وصومك</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غسل يوم الجمعة سنة واجبة فلا تدعه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ويجزيك إذا اغتسلت بعد طلوع الفجر، فكلما قرب من الزوال كان أفضل، ويجزيك أن تغتسل لرواحك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وقال في مصابيح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غريب التصحيف ما اتفق الجماعة من الأعاظم في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فرغت منه، قلت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طهرني، وطهر قلبي وأنتِ غسلي، وأجر على لساني محبة منك، اللهم صل على محمد وآل محمد، واجعلني من التوابين، واجعلني من المتطهرين، والحمد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من قال ذلك كان له تطهراً من الجمعة إلى الجمعة</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نسيت الغسل أو فاتك لعلة، فاغتسل بعد العصر أو يوم السبت</w:t>
      </w:r>
      <w:r>
        <w:rPr>
          <w:rStyle w:val="FootnoteAnchor"/>
          <w:rtl w:val="true"/>
        </w:rPr>
        <w:footnoteReference w:id="1105"/>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واغتسل يوم عرفة قبل زوال الشمس </w:t>
      </w:r>
      <w:r>
        <w:rPr>
          <w:rStyle w:val="FootnoteAnchor"/>
          <w:rtl w:val="true"/>
        </w:rPr>
        <w:footnoteReference w:id="1106"/>
      </w:r>
      <w:r>
        <w:rPr>
          <w:rFonts w:ascii="IRNazanin" w:hAnsi="IRNazanin" w:eastAsia="IRNazanin"/>
          <w:color w:val="111111"/>
          <w:sz w:val="28"/>
          <w:sz w:val="28"/>
          <w:szCs w:val="28"/>
          <w:rtl w:val="true"/>
          <w:lang w:bidi="fa-IR"/>
        </w:rPr>
        <w:t>، وتقول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نبين أمره في باب الحج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أسقطت المرأةُ، وكان السقط تاماً، غُسل، وحُنط، وكُفّن، فإن لم يكن تاماً، فلا غسل عليه، ويُدفن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تمامه إذا أتى عليه أربعة أشهر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الميت مرجوما، بدء بغسله، وتحنيطه، وتكفينه، ثم يُرجم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القاتل، إذا أريد قتله قوداً</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الميت مصلوباً أنزل عن الخشبة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صلبه أكثر من ثلاثة أيام</w:t>
      </w:r>
      <w:r>
        <w:rPr>
          <w:rFonts w:eastAsia="Amiri" w:cs="Amiri" w:ascii="Amiri" w:hAnsi="Amiri"/>
          <w:color w:val="111111"/>
          <w:sz w:val="28"/>
          <w:szCs w:val="28"/>
          <w:rtl w:val="true"/>
          <w:lang w:bidi="ar-SA"/>
        </w:rPr>
        <w:t xml:space="preserve">. </w:t>
      </w:r>
      <w:bookmarkStart w:id="820" w:name="pg9067_80145"/>
    </w:p>
    <w:p>
      <w:pPr>
        <w:pStyle w:val="Heading4"/>
        <w:numPr>
          <w:ilvl w:val="3"/>
          <w:numId w:val="1"/>
        </w:numPr>
        <w:rPr/>
      </w:pPr>
      <w:bookmarkStart w:id="821" w:name="__RefHeading___Toc2465484_2870459653"/>
      <w:bookmarkStart w:id="822" w:name="_Toc314"/>
      <w:bookmarkEnd w:id="820"/>
      <w:bookmarkEnd w:id="821"/>
      <w:r>
        <w:rPr>
          <w:rtl w:val="true"/>
        </w:rPr>
        <w:t>باب الصلاة</w:t>
      </w:r>
      <w:bookmarkEnd w:id="822"/>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الفرائض بعد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وأول ما يُحاسب العبد عليها، فإن قبلت قبل ما سواها، وإِن رُدَّتْ رُدَّ ما 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فإياك أن تكسل عنها إذا دخل وقتها، أو تستخف بها، أو يشغلك شيءٌ من غرض الدنيا؛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مني من استخف بصلاته، لا يرد على الحوض، لا والله، وليس منّي من شرب مسكراً، لا يرد على الحوض، لا والله</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أن تقوم إلى الصلاة فلا تأتها متكاسلاً، ولا متناعساً، ولا مستعجلاً، ولكن على سكون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المسجد، فأدخل رجلك اليمني قبل اليسرى،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النبي ورحمة الله وبركاته، اللهم صل على محمد وآل محمد، وافتح لنا باب رحمتك، واجعلنا من عمار مساجدك جل ثناؤك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خرجت من المسجد، فأخرج رجلك اليسرى قبل اليمنى،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وافتح لنا باب فضلك</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الأذان، فارفع به صوتك؛ فإنَّ الله وكل بالأذان ريحاً ترفعه إلى السماء، وإنَّ </w:t>
      </w:r>
      <w:r>
        <w:rPr>
          <w:rStyle w:val="FootnoteAnchor"/>
          <w:rtl w:val="true"/>
        </w:rPr>
        <w:footnoteReference w:id="1111"/>
      </w:r>
      <w:r>
        <w:rPr>
          <w:rFonts w:ascii="IRNazanin" w:hAnsi="IRNazanin" w:eastAsia="IRNazanin"/>
          <w:color w:val="111111"/>
          <w:sz w:val="28"/>
          <w:sz w:val="28"/>
          <w:szCs w:val="28"/>
          <w:rtl w:val="true"/>
          <w:lang w:bidi="fa-IR"/>
        </w:rPr>
        <w:t xml:space="preserve">الملائكة إذا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 الأذان من أهل الأرض،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أصوات أمة محمد بتوحيد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فيستغفرون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يفرغوا من تلك </w:t>
      </w:r>
    </w:p>
    <w:p>
      <w:pPr>
        <w:pStyle w:val="BookText"/>
        <w:rPr/>
      </w:pPr>
      <w:r>
        <w:rPr>
          <w:rFonts w:ascii="Amiri" w:hAnsi="Amiri" w:eastAsia="Amiri" w:cs="Amiri"/>
          <w:color w:val="111111"/>
          <w:sz w:val="28"/>
          <w:sz w:val="28"/>
          <w:szCs w:val="28"/>
          <w:rtl w:val="true"/>
          <w:lang w:bidi="ar-SA"/>
        </w:rPr>
        <w:t xml:space="preserve">الصلاة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ويغفر للمؤذن مد بصره، ومد صوته، ويُصدقه كل رطب ويابس، وله من كل من يصلي معه سهم، وله بكل من يصلي بصوته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بأن تؤذن وأنت على غير وضوء، ومستقبل القبلة ومستدبرها، وذاهباً وجائياً، وقائماً وقاعداً، وتتكلم في آذانك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أقمت فعلى وضوء، ومستقبل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إماماً فلا تؤذن إلا من قيام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زالت الشمس فقد دخل وقت الصلاتين </w:t>
      </w:r>
      <w:r>
        <w:rPr>
          <w:rStyle w:val="FootnoteAnchor"/>
          <w:rtl w:val="true"/>
        </w:rPr>
        <w:footnoteReference w:id="1114"/>
      </w:r>
      <w:r>
        <w:rPr>
          <w:rFonts w:ascii="Amiri" w:hAnsi="Amiri" w:eastAsia="Amiri" w:cs="Amiri"/>
          <w:color w:val="111111"/>
          <w:sz w:val="28"/>
          <w:sz w:val="28"/>
          <w:szCs w:val="28"/>
          <w:rtl w:val="true"/>
          <w:lang w:bidi="ar-SA"/>
        </w:rPr>
        <w:t xml:space="preserve">، إلا أن الظهر قبل العصر، فصل ست ركعات، توجه في الركعة الأولى، وتقرأ فيها الحمد، وقل هو الله أحد، وفي الثانية الحمد، وقل يا أيها الكافرون، وتقرأ </w:t>
      </w:r>
      <w:r>
        <w:rPr>
          <w:rStyle w:val="FootnoteAnchor"/>
          <w:rtl w:val="true"/>
        </w:rPr>
        <w:footnoteReference w:id="1115"/>
      </w:r>
      <w:r>
        <w:rPr>
          <w:rFonts w:ascii="Amiri" w:hAnsi="Amiri" w:eastAsia="Amiri" w:cs="Amiri"/>
          <w:color w:val="111111"/>
          <w:sz w:val="28"/>
          <w:sz w:val="28"/>
          <w:szCs w:val="28"/>
          <w:rtl w:val="true"/>
          <w:lang w:bidi="ar-SA"/>
        </w:rPr>
        <w:t xml:space="preserve">في باقي النوافل ما شئت، وأفضله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تؤذن بعد ست ركعات وتصلي بعد الأذان ركعتين، ثم تقيم</w:t>
      </w:r>
      <w:r>
        <w:rPr>
          <w:rStyle w:val="FootnoteAnchor"/>
          <w:rtl w:val="true"/>
        </w:rPr>
        <w:footnoteReference w:id="1116"/>
      </w:r>
      <w:r>
        <w:rPr>
          <w:rFonts w:ascii="Amiri" w:hAnsi="Amiri" w:eastAsia="Amiri" w:cs="Amiri"/>
          <w:color w:val="111111"/>
          <w:sz w:val="28"/>
          <w:sz w:val="28"/>
          <w:szCs w:val="28"/>
          <w:rtl w:val="true"/>
          <w:lang w:bidi="ar-SA"/>
        </w:rPr>
        <w:t>وتصلي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وليكن الأذان والإقامة موقوفين </w:t>
      </w:r>
      <w:r>
        <w:rPr>
          <w:rStyle w:val="FootnoteAnchor"/>
          <w:rtl w:val="true"/>
        </w:rPr>
        <w:footnoteReference w:id="1117"/>
      </w:r>
      <w:r>
        <w:rPr>
          <w:rFonts w:ascii="Amiri" w:hAnsi="Amiri" w:eastAsia="Amiri" w:cs="Amiri"/>
          <w:color w:val="111111"/>
          <w:sz w:val="28"/>
          <w:sz w:val="28"/>
          <w:szCs w:val="28"/>
          <w:rtl w:val="true"/>
          <w:lang w:bidi="ar-SA"/>
        </w:rPr>
        <w:t>، ويكون بينهما جلسة إلا المغرب، فإنَّه يجزيك بين الأذان والإقامة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سهوت أو نسيت الوقت حتى يمضي من الزوال قدمان، فابدأ بالمكتوبة قبل النافلة، إلا أن تكون قد صليت ركعتين في القدمين، ومضى القدمان قبل أن تتم النافلة فتممها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دخلت في الصلاة، فارفع يديك بالتكبير إلى نحرك، وكبر ثلاثاً،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المبين، لا إله إلا أنت سبحانك وبحمدك، عملت سوءاً وظلمت نفسي فاغفر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 إنه لا يغفر الذنوب إلا أنت</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كبر </w:t>
      </w:r>
      <w:r>
        <w:rPr>
          <w:rStyle w:val="FootnoteAnchor"/>
          <w:rtl w:val="true"/>
        </w:rPr>
        <w:footnoteReference w:id="1120"/>
      </w:r>
      <w:r>
        <w:rPr>
          <w:rFonts w:ascii="Amiri" w:hAnsi="Amiri" w:eastAsia="Amiri" w:cs="Amiri"/>
          <w:color w:val="111111"/>
          <w:sz w:val="28"/>
          <w:sz w:val="28"/>
          <w:szCs w:val="28"/>
          <w:rtl w:val="true"/>
          <w:lang w:bidi="ar-SA"/>
        </w:rPr>
        <w:t>تكبيرتين،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وسعديك والخير بين يديك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21"/>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ركعت، وضعت يديها على فخذيها، ولا تتطأطأ كثيراً؛ لئلا ترتفع عجيزتها، </w:t>
      </w:r>
    </w:p>
    <w:p>
      <w:pPr>
        <w:pStyle w:val="BookText"/>
        <w:rPr/>
      </w:pPr>
      <w:r>
        <w:rPr>
          <w:rFonts w:ascii="Amiri" w:hAnsi="Amiri" w:eastAsia="Amiri" w:cs="Amiri"/>
          <w:color w:val="111111"/>
          <w:sz w:val="28"/>
          <w:sz w:val="28"/>
          <w:szCs w:val="28"/>
          <w:rtl w:val="true"/>
          <w:lang w:bidi="ar-SA"/>
        </w:rPr>
        <w:t xml:space="preserve">وإذا أرادت السجود جلست ثُمَّ سجدت لاطئة بالأرض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أرادت النهوض إلى القيام، رفعت رأسها من السجود، وجلست، ثُمَّ نهضت إلى القيام من غير أن ترتفع عجيزتها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قعدت للتشهد، رفعت رجليها، وضمت فخذيها</w:t>
      </w:r>
      <w:r>
        <w:rPr>
          <w:rFonts w:eastAsia="Amiri" w:cs="Amiri" w:ascii="Amiri" w:hAnsi="Amiri"/>
          <w:color w:val="111111"/>
          <w:sz w:val="28"/>
          <w:szCs w:val="28"/>
          <w:rtl w:val="true"/>
          <w:lang w:bidi="ar-SA"/>
        </w:rPr>
        <w:t xml:space="preserve">. </w:t>
      </w:r>
      <w:bookmarkStart w:id="823" w:name="pg9067_80149"/>
    </w:p>
    <w:p>
      <w:pPr>
        <w:pStyle w:val="Heading4"/>
        <w:numPr>
          <w:ilvl w:val="3"/>
          <w:numId w:val="1"/>
        </w:numPr>
        <w:rPr/>
      </w:pPr>
      <w:bookmarkStart w:id="824" w:name="__RefHeading___Toc2465486_2870459653"/>
      <w:bookmarkStart w:id="825" w:name="_Toc315"/>
      <w:bookmarkEnd w:id="823"/>
      <w:bookmarkEnd w:id="824"/>
      <w:r>
        <w:rPr>
          <w:rtl w:val="true"/>
        </w:rPr>
        <w:t>باب الشك</w:t>
      </w:r>
      <w:bookmarkEnd w:id="825"/>
    </w:p>
    <w:p>
      <w:pPr>
        <w:pStyle w:val="BookText"/>
        <w:rPr/>
      </w:pPr>
      <w:r>
        <w:rPr>
          <w:rFonts w:ascii="IRNazanin" w:hAnsi="IRNazanin" w:eastAsia="IRNazanin"/>
          <w:color w:val="111111"/>
          <w:sz w:val="28"/>
          <w:sz w:val="28"/>
          <w:szCs w:val="28"/>
          <w:rtl w:val="true"/>
          <w:lang w:bidi="fa-IR"/>
        </w:rPr>
        <w:t xml:space="preserve">باب الشک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وإن شككت في أذانك وقد أقمت الصلاة فامض، وإن شككت في الإقامة وقد كبرت فامض، وإن شككت في القراءة بعد ما ركعت فامض، وإن شككت في الركوع بعد ما سجدت فامض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تشك فيه وقد دخلت في حال آخر فامض، ولا تلتفت إلى الشك، إلا أن تستيقن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إن استيقنت أنك تركت الأذان والإقامة ثم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لم تقرأ تمام السورة، فلا بأس بترك الأذان، فصل على النبي وآله،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فإن استيقنت أنك لم تكبر تكبيرة الافتتاح فأعد صلاتك، وكيف لك أن تستيقن وقد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لا ينسى تكبيرة الافتتاح</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نسيت القراءة في صلاتك كلها، ثُمَّ ذكرت، فليس عليك شيء إذا أتممت </w:t>
      </w:r>
    </w:p>
    <w:p>
      <w:pPr>
        <w:pStyle w:val="BookText"/>
        <w:rPr/>
      </w:pPr>
      <w:r>
        <w:rPr>
          <w:rFonts w:ascii="Amiri" w:hAnsi="Amiri" w:eastAsia="Amiri" w:cs="Amiri"/>
          <w:color w:val="111111"/>
          <w:sz w:val="28"/>
          <w:sz w:val="28"/>
          <w:szCs w:val="28"/>
          <w:rtl w:val="true"/>
          <w:lang w:bidi="ar-SA"/>
        </w:rPr>
        <w:t>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نسيت الحمد حتى تقرأ السورة التي بعدها، فذكرتها من قبل أن تركع، فاقرأ الحمد، وأعد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نسيت الركوع فذكرت بعدما سجدت من الركعة الأولى، فأعد صلاتك؛ لأنه إذا لم تثبت لك الركعة الأولى لم تثبت لك صلاتك، وإن كان الركوع من الركعة الثانية أو الثالثة، فاحذف السجدتين واجعل الثانية الأولى، والثالثة ثانية، والرابعة ثالثة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نسيت سجدة من الركعة الأولى فذكرتها في الثانية من قبل أن تركع، فأرسل نفسك واسجدها، ثم قم إلى الثانية وابدأ بالقراءة، وإن ذكرتها بعد ما ركعت، فاقضها في الركعة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نسيت السجدتين جميعاً من الركعة الأولى، فأعد صلاتك؛ فإنه لا تثبت صلاة ما لم تثبت الركعة الأولى</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نسيت سجدة من الركعة الثانية وذكرتها في الثالثة قبل الركوع، فأرسل نفسك فاسجدها، فإن ذكرتها بعد الركوع، فاقضها في الركعة الرابعة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السجدة من الركعة الثالثة وذكرتها في الرابعة، فأرسل نفسك واسجدها </w:t>
      </w:r>
    </w:p>
    <w:p>
      <w:pPr>
        <w:pStyle w:val="BookText"/>
        <w:rPr/>
      </w:pPr>
      <w:r>
        <w:rPr>
          <w:rFonts w:ascii="Amiri" w:hAnsi="Amiri" w:eastAsia="Amiri" w:cs="Amiri"/>
          <w:color w:val="111111"/>
          <w:sz w:val="28"/>
          <w:sz w:val="28"/>
          <w:szCs w:val="28"/>
          <w:rtl w:val="true"/>
          <w:lang w:bidi="ar-SA"/>
        </w:rPr>
        <w:t>ما لم تركع، فإن ذكرتها بعد الركوع، فامض في صلاتك واسجدها بعد التسليم</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شككت في الركعة الأولى والثانية، فأعد صلاتك </w:t>
      </w:r>
      <w:r>
        <w:rPr>
          <w:rStyle w:val="FootnoteAnchor"/>
          <w:rtl w:val="true"/>
        </w:rPr>
        <w:footnoteReference w:id="1131"/>
      </w:r>
      <w:r>
        <w:rPr>
          <w:rFonts w:ascii="Amiri" w:hAnsi="Amiri" w:eastAsia="Amiri" w:cs="Amiri"/>
          <w:color w:val="111111"/>
          <w:sz w:val="28"/>
          <w:sz w:val="28"/>
          <w:szCs w:val="28"/>
          <w:rtl w:val="true"/>
          <w:lang w:bidi="ar-SA"/>
        </w:rPr>
        <w:t>، وإن شككت مرة أخرى فيهما وكان أكثر وهمك إلى الثانية فابن عليها، واجعلها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صليت ركعتين من قعود بأم القرآن، وإن ذهب وهمك إلى الأولى جعلتها الأولى</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وتشهدت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استيقنت بعدما سلّمت أنَّ التي بنيت عليها واحدة كانت ثانية وزدت في صلاتك ركعة، لم يكن عليك شيء؛ لأن التشهد حائل بين الرابعة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اعتدل وهمك، فأنت بالخيار، إن شئت صليت ركعة من قيام 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w:t>
      </w:r>
      <w:r>
        <w:rPr>
          <w:rStyle w:val="FootnoteAnchor"/>
          <w:rtl w:val="true"/>
        </w:rPr>
        <w:footnoteReference w:id="1133"/>
      </w:r>
      <w:r>
        <w:rPr>
          <w:rFonts w:ascii="IRNazanin" w:hAnsi="IRNazanin" w:eastAsia="IRNazanin"/>
          <w:color w:val="111111"/>
          <w:sz w:val="28"/>
          <w:sz w:val="28"/>
          <w:szCs w:val="28"/>
          <w:rtl w:val="true"/>
          <w:lang w:bidi="fa-IR"/>
        </w:rPr>
        <w:t xml:space="preserve">وأنت جالس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إن شككت ولم تدر اثنتين صليت أم ثلاثاً أم أربعاً، فصل ركعة من قيام وركعتين وأنت جالس</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إن شككت فلم 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صليت أم اثنتين أم ثلاثاً أم أربعاً، صليت </w:t>
      </w:r>
    </w:p>
    <w:p>
      <w:pPr>
        <w:pStyle w:val="BookText"/>
        <w:rPr/>
      </w:pPr>
      <w:r>
        <w:rPr>
          <w:rFonts w:ascii="Amiri" w:hAnsi="Amiri" w:eastAsia="Amiri" w:cs="Amiri"/>
          <w:color w:val="111111"/>
          <w:sz w:val="28"/>
          <w:sz w:val="28"/>
          <w:szCs w:val="28"/>
          <w:rtl w:val="true"/>
          <w:lang w:bidi="ar-SA"/>
        </w:rPr>
        <w:t>ركعة من قيام وركعتين وأنت جالس</w:t>
      </w:r>
      <w:r>
        <w:rPr>
          <w:rFonts w:eastAsia="Amiri" w:cs="Amiri" w:ascii="Amiri" w:hAnsi="Amiri"/>
          <w:color w:val="111111"/>
          <w:sz w:val="28"/>
          <w:szCs w:val="28"/>
          <w:rtl w:val="true"/>
          <w:lang w:bidi="ar-SA"/>
        </w:rPr>
        <w:t>]</w:t>
      </w:r>
      <w:r>
        <w:rPr>
          <w:rStyle w:val="FootnoteAnchor"/>
          <w:rtl w:val="true"/>
        </w:rPr>
        <w:footnoteReference w:id="1135"/>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ذهب وهمك إلى واحدة، فاجعلها واحدة، وتشهد في كل ركعة، فإن شككت في الثالثة والرابعة، فصل ركعتين من قيام بالحمد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نسيت التشهد في الركعة الثانية وذكرته في الثالثة، فأرسل نفسك وتشهد ما لم فإن ذكرت بعدما ركعت، فامض في صلاتك، فإذا سلمت سجدت سجدتي السهو، وتشهدت التشهد الذي فاتك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نسيت القنوت حتى تركع فاقنت بعد رفع رأسك من الركوع</w:t>
      </w:r>
      <w:r>
        <w:rPr>
          <w:rStyle w:val="FootnoteAnchor"/>
          <w:rtl w:val="true"/>
        </w:rPr>
        <w:footnoteReference w:id="1139"/>
      </w:r>
      <w:r>
        <w:rPr>
          <w:rFonts w:ascii="Amiri" w:hAnsi="Amiri" w:eastAsia="Amiri" w:cs="Amiri"/>
          <w:color w:val="111111"/>
          <w:sz w:val="28"/>
          <w:sz w:val="28"/>
          <w:szCs w:val="28"/>
          <w:rtl w:val="true"/>
          <w:lang w:bidi="ar-SA"/>
        </w:rPr>
        <w:t xml:space="preserve">، فإن ذكرته بعدما سجدت، فاقنت بعد التسليم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ذكرته وأنت تمشي في طريقك، فاستقبل القبلة واقنت </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نسيت التشهد والتسليم وذكرته وقد فارقت مصلاك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القبلة – قائما كنت أو قاعدا– وتشهّد وسلّم</w:t>
      </w:r>
      <w:r>
        <w:rPr>
          <w:rStyle w:val="FootnoteAnchor"/>
          <w:rtl w:val="true"/>
        </w:rPr>
        <w:footnoteReference w:id="1142"/>
      </w:r>
      <w:r>
        <w:rPr>
          <w:rStyle w:val="FootnoteAnchor"/>
          <w:rtl w:val="true"/>
        </w:rPr>
        <w:footnoteReference w:id="1143"/>
      </w:r>
      <w:bookmarkStart w:id="826" w:name="pg9067_80154"/>
    </w:p>
    <w:p>
      <w:pPr>
        <w:pStyle w:val="Heading4"/>
        <w:numPr>
          <w:ilvl w:val="3"/>
          <w:numId w:val="1"/>
        </w:numPr>
        <w:rPr/>
      </w:pPr>
      <w:bookmarkStart w:id="827" w:name="__RefHeading___Toc2465488_2870459653"/>
      <w:bookmarkStart w:id="828" w:name="_Toc316"/>
      <w:bookmarkEnd w:id="826"/>
      <w:bookmarkEnd w:id="827"/>
      <w:r>
        <w:rPr>
          <w:rtl w:val="true"/>
        </w:rPr>
        <w:t>باب الصلاة في الفراء والخز والابريسم</w:t>
      </w:r>
      <w:bookmarkEnd w:id="828"/>
    </w:p>
    <w:p>
      <w:pPr>
        <w:pStyle w:val="BookText"/>
        <w:rPr/>
      </w:pPr>
      <w:r>
        <w:rPr>
          <w:rFonts w:ascii="Amiri" w:hAnsi="Amiri" w:eastAsia="Amiri" w:cs="Amiri"/>
          <w:color w:val="111111"/>
          <w:sz w:val="28"/>
          <w:sz w:val="28"/>
          <w:szCs w:val="28"/>
          <w:rtl w:val="true"/>
          <w:lang w:bidi="ar-SA"/>
        </w:rPr>
        <w:t>ولا بأس بالصلاة في شعر ووبر كل ما أكلت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عليك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سمور</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فنك</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وأردت الصلاة فانزعه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فيه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تصلّي في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الثوب الذي يليه من تحته وفوقه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 في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مغشوشاً بوبر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تصلّي في 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وشي</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شيء من ابريسم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w:t>
      </w:r>
      <w:r>
        <w:rPr>
          <w:rFonts w:eastAsia="Amiri" w:cs="Amiri" w:ascii="Amiri" w:hAnsi="Amiri"/>
          <w:color w:val="111111"/>
          <w:sz w:val="28"/>
          <w:szCs w:val="28"/>
          <w:rtl w:val="true"/>
          <w:lang w:bidi="ar-SA"/>
        </w:rPr>
        <w:t>]</w:t>
      </w:r>
      <w:r>
        <w:rPr>
          <w:rStyle w:val="FootnoteAnchor"/>
          <w:rtl w:val="true"/>
        </w:rPr>
        <w:footnoteReference w:id="1148"/>
      </w:r>
      <w:r>
        <w:rPr>
          <w:rFonts w:ascii="IRNazanin" w:hAnsi="IRNazanin" w:eastAsia="IRNazanin"/>
          <w:color w:val="111111"/>
          <w:sz w:val="28"/>
          <w:sz w:val="28"/>
          <w:szCs w:val="28"/>
          <w:rtl w:val="true"/>
          <w:lang w:bidi="fa-IR"/>
        </w:rPr>
        <w:t>سداه</w:t>
      </w:r>
      <w:r>
        <w:rPr>
          <w:rStyle w:val="FootnoteAnchor"/>
          <w:rtl w:val="true"/>
        </w:rPr>
        <w:footnoteReference w:id="1149"/>
      </w:r>
      <w:r>
        <w:rPr>
          <w:rFonts w:ascii="Amiri" w:hAnsi="Amiri" w:eastAsia="Amiri" w:cs="Amiri"/>
          <w:color w:val="111111"/>
          <w:sz w:val="28"/>
          <w:sz w:val="28"/>
          <w:szCs w:val="28"/>
          <w:rtl w:val="true"/>
          <w:lang w:bidi="ar-SA"/>
        </w:rPr>
        <w:t>ابريسم ولحمته</w:t>
      </w:r>
      <w:r>
        <w:rPr>
          <w:rStyle w:val="FootnoteAnchor"/>
          <w:rtl w:val="true"/>
        </w:rPr>
        <w:footnoteReference w:id="1150"/>
      </w:r>
      <w:r>
        <w:rPr>
          <w:rFonts w:ascii="Amiri" w:hAnsi="Amiri" w:eastAsia="Amiri" w:cs="Amiri"/>
          <w:color w:val="111111"/>
          <w:sz w:val="28"/>
          <w:sz w:val="28"/>
          <w:szCs w:val="28"/>
          <w:rtl w:val="true"/>
          <w:lang w:bidi="ar-SA"/>
        </w:rPr>
        <w:t>قطن أو كتان</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تصلّي في جلد الميتة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تصلّي في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تصلّي في الفراء الخوارزمية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يدبغ بأرض الحجاز</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829" w:name="pg9067_80155"/>
    </w:p>
    <w:p>
      <w:pPr>
        <w:pStyle w:val="Heading4"/>
        <w:numPr>
          <w:ilvl w:val="3"/>
          <w:numId w:val="1"/>
        </w:numPr>
        <w:rPr/>
      </w:pPr>
      <w:bookmarkStart w:id="830" w:name="__RefHeading___Toc2465490_2870459653"/>
      <w:bookmarkStart w:id="831" w:name="_Toc317"/>
      <w:bookmarkEnd w:id="829"/>
      <w:bookmarkEnd w:id="830"/>
      <w:r>
        <w:rPr>
          <w:rtl w:val="true"/>
        </w:rPr>
        <w:t>باب صلاة الجمعة</w:t>
      </w:r>
      <w:bookmarkEnd w:id="83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w:t>
      </w:r>
      <w:r>
        <w:rPr>
          <w:rStyle w:val="FootnoteAnchor"/>
          <w:rtl w:val="true"/>
        </w:rPr>
        <w:footnoteReference w:id="1153"/>
      </w:r>
      <w:r>
        <w:rPr>
          <w:rFonts w:ascii="Amiri" w:hAnsi="Amiri" w:eastAsia="Amiri" w:cs="Amiri"/>
          <w:color w:val="111111"/>
          <w:sz w:val="28"/>
          <w:sz w:val="28"/>
          <w:szCs w:val="28"/>
          <w:rtl w:val="true"/>
          <w:lang w:bidi="ar-SA"/>
        </w:rPr>
        <w:t>استطعت أنْ تصلّي يوم الجمعة إذا طلعت الشمس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انبسطت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المكتوبة ركعتين</w:t>
      </w:r>
      <w:r>
        <w:rPr>
          <w:rStyle w:val="FootnoteAnchor"/>
          <w:rtl w:val="true"/>
        </w:rPr>
        <w:footnoteReference w:id="1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المكتوبة ست ركعات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قدَّمت نوافلك كلّها في يوم الجمعة قبل الزوال أو أخّرتها إلى بعد المكتوبة فهي ستة عشر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وتأخيرها أفضل من تقديمها</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832" w:name="pg9067_80156"/>
    </w:p>
    <w:p>
      <w:pPr>
        <w:pStyle w:val="Heading3"/>
        <w:numPr>
          <w:ilvl w:val="2"/>
          <w:numId w:val="1"/>
        </w:numPr>
        <w:rPr/>
      </w:pPr>
      <w:bookmarkStart w:id="833" w:name="__RefHeading___Toc2465492_2870459653"/>
      <w:bookmarkStart w:id="834" w:name="_Toc318"/>
      <w:bookmarkEnd w:id="832"/>
      <w:bookmarkEnd w:id="833"/>
      <w:r>
        <w:rPr>
          <w:rtl w:val="true"/>
        </w:rPr>
        <w:t>المصادر المعتمدة في التحقيق والمقدمة</w:t>
      </w:r>
      <w:bookmarkEnd w:id="8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آقا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الدخيلة للعلامة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مصطفوي، مشهد – إيران، مطبعة دانشكاه،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وعلق عليه الحجة 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الأشباه والنظائر للفقيه يحيى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احمد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الواعظي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للسيد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الخميسيّة، يحيى بن الحسن ابن الشجري الإمام المرشد بالله، بيروت – لبنان، طبعة عالم الكتب،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اعتُمِدَت طبعتان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الخرسان، النجف الأشرف، المكتبة الحيدريّة،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مؤسسة الأعلمي للمطبوعات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والتبصرة من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رضا الحسينيّ الجلالي، ط الثانية، بيروت – لبنان،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الساطعة في المائة السابعة آقا برزك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الفوائد لابن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الكرماني، الشيخ علي بناه الإشتهاردي، الشيخ عبد الرحيم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بيروت – لبنان،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للزبيدي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التحفة السنية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آستان 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الفقهاء للعلامة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تكملة أمل الأمل للسيد حسن الصدر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حسن النجفي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المطبعة الرضويّة،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وعلق عليه الحجة السيد حسن الموسوي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بحث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جعفر 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وعقب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الخرسان، ط الثانية، قم – إيران، منشورات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أمير،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الكلام للشيخ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وعلق عليه الشيخ عباس القوجاني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الحبل المتين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الحدائق الناضرة للشيخ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التابعة لجماعة المدرسين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المستدرك للعلامة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اعتُمِدَت طبعتان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المكتبة الإسلاميّة،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الشيخ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قم – إيران، 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 الرابعة، قم – إيران،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الفقاهة،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زاده،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البلدان، السيّد صفي الدين بن محمّد بن محمّد هاشم الحسينيّ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المدرّسي الطباطبائي، قم – إيران، مطبعة حكمت،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النجفية للشيخ يوسف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الدروس الشرعية للشهيد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 للقطب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مدرسة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القضاء الشرعيّ، 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مطبعة النجف،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ذخيرة المعاد للسبزواري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برزك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طبعتان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ذكرى الشيعة للشهيد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اعتُمِدَت طبعتان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النجف الأشرف،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طبعتان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المطبعة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جواد القيومي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النشر الإسلامي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في الفقه المنسوب للأمام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حسن الصدر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القضاء في الكتاب المشتهر بفقه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رضا الاستادي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الرجالية للكلباسي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المعالي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حسين الدرايتي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السيد مهدي 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المير محمّد باقر الحسينيّ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في أحوال العلماء والسادات، الميرزا محمّد باقر الموسويّ الأصبهانيّ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الأولى، بيروت – لبنان، دار إحياء التراث العربيّ،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الشيخ محمّد تقي الأصفهانيّ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الكرماني، قم – إيران، المطبعة العلميّة،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عيسى الأصفهانيّ الأفندي، تحقيق السيّد أحمد الحسينيّ، قم – إيران، منشورات مكتبة 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المسائل للسيد علي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التبريزي المدرّس، طهران – إيران،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وتعليق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مجتبى العراقيّ، ط الثالثة، قم – إيران،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طهارة الوافي للسيد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للجوهري تحقيق أحمد عبد 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المطبعة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محمّد بن عليّ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بيروت – لبنان، مؤسسة الأعلمي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 الأيام للميرزا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خراسان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تبريزيان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الاعلام الإسلامي المطبعة مطبعة مكتب الاعلام الاسلامي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مطبعة النعمان،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الغروية للشيخ محمد حسين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نمونة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في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القائيني، ط الأولى، قم – إيران، مؤسسة معارف إسلاميّ إمام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نكين،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آل بويه وعلماء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الماحوزي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قم – إيران، نشر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كتب الشيعة وأصولهم،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الأولى، قم – إيران،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المحقّق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ستارة،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اسحق الورّاق ابن النديم،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تجدّد، طهران،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الرضويّة، الشيخ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للعلامة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في الطب لابن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للشيخ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 على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الكتب الاسلامية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الشيخ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ط الرابعة، قم – إيران، مطبعة ستارة،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 للمطبوعات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 للخليل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مهدي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الرموز للفاضل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اللثام للفاضل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في علم الرجال لجعفر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الشيخ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طهران – إيران، المكتبة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اللمعات النيّرة للآخوند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صالح المدرسي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ولي عصر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مطبعة النعمان،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المبسوط في الفقه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منتقى الجمان للشيخ محمد حسن نجل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مكتبة نشر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الأعلمي للمطبوعات بيروت –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الله الأصفهانيّ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الدين العلامة، أصفهان – إيران، مطبعة ربّانيّ،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الفائدة والبرهان للأردبيلي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الجباعي لمحمد بن علي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مخطوطات مدرسة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محفوظة في مكتبة الإمام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للبرقي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بنشره وتصحيحه والتعليق عليه السيد جلال الدين الحسيني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الشيعة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طبعتان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مركز الأبحاث والدراسات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مدارك الأحكام للسيد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مسالك الافهام للشهيد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 الشيعة احمد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الشموس للخونساري المولى احمد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مصابيح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مهدي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محمد علي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 بيروت – لبنان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الدين قسم الفقه للشيخ حسن نجل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منذر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الفقه للطباعة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 في فهرست كتب الشيعة وأسماء المصنّفين منهم قديماً وحديثاً، محمّد بن عليّ ابن شهر آشوب المازندراني،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الأولى، قم – إيران، مطبعة ستارة،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رضا الحسيني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الرحيم الربّاني الشيرازيّ، طهران – إيران،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في شرح المختصر، المحقّق جعفر بن الحسن بن أبي القاسم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الأفاضل، قم – إيران،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المعتبر للمحقق الحلي نجم الدين أبي القاسم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الخامسة،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 لابن فارس تحقيق 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النشر – مكتب الاعلام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الكرامة للسيد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مقابيس الأنوار للعلامة أسد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التابعة لمؤسسة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الشيخ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الخامسة، طهران – إيران،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مطبعة خورشيد،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المطلب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مجمع البحوث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 العباس أحمد بن محمّد بن فهد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مجتبى العراقيّ، ط الثالثة، قم – إيران،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الدراية للسيد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ماجد الغرباوي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في الفقه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نوابغ الرواة في رابعة المئات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 لبنان، دار الكتاب العربيّ،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الهداية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الحاجبية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لأبي الحسن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نظريات الدولة الاسلامية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الامة وتنزيه الملة للميرزا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في القضايا والاحكام،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واتمام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التوقيعات، التوقيع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الميرزا علي الغروي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الضوابط في اثبات تلك الدولة دينية أو غير دينية تكون على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الاكثرية متدينة فهو ديني وإلا فلا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نظريات الحكم في الفقه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لكديفر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والدولة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احمد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حسن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مرتضى الانصاري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محمد كلانتر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الفقيه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جميل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الأمة وتنزيه الملَّة للميرزا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الأمة وتنزيه الملَّة للميرزا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موقف فقهاء الامامية من نظرية الشورى في عصر الغيبة له ثلاثة اتجاهات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الدستوري في مدرسة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الأمير 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منشور ضمن ابحاث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مقاربات استدلالية في الفقه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والادارة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والادارة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الاجتماع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شمس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النظرية التي تبنتها المرجعية الدينية العليا في النجف الأشرف المتمثلة بالسيد السيستاني 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أوجب عليه الواجب الشرعي التدخل في الأمور العامة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اقتبستُ هذه الأسس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ورد في التقريرات الأصولية لسماحة السيد محمد باقر السيستاني دامت إفاداته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تحليلٍ لحقيقة الحكم لسماحة السيد السيستاني دام ظله العالي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الصادرة عن سماحة السيد السيستاني في المسألة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الخفاف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شبكة </w:t>
      </w:r>
      <w:r>
        <w:rPr>
          <w:rFonts w:eastAsia="IRNazanin" w:cs="IRNazanin"/>
          <w:b w:val="false"/>
          <w:bCs w:val="false"/>
          <w:i w:val="false"/>
          <w:iCs w:val="false"/>
          <w:color w:val="333333"/>
          <w:sz w:val="20"/>
          <w:szCs w:val="20"/>
        </w:rPr>
        <w:t>CNN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القانوني الثلاثي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موريس نحلة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مراسل واشنطن بوست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ﻫ</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شبكة س أن أن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2/1425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جمع من المؤمنين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2/1425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جمع من المؤمنين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يمكن ان يستنبط من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الأمة وتنزيه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يقود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الولاية من قبل الجائر إلا ما استثنى،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معونة الظالمين،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الولاية من قبل الجائر إلا ما استثنى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ملكية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الشيخ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الحكيم واحمد الماحوزي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حسن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عبد الحميد هو ابن سالم الصفار الذي نص على وثاقته كثير من علماء الرجال وقيده به في التهذيب ولم نعثر على نص وثاقة عبد الحميد بن سعيد البجلي، إلا أن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البيع وشروطه،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الأعلى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على غير 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موثقة من حيث درجتها ليست من جهة زرعة فهو ثقة بتصريح النجاشي وانما من جهة سماعة فانه واقفي وقد وثقه النجاشي والطوسي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احكام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والسياسة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تقي المصباح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الامة وتنزيه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الحسبة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نصار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والادارة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القرية في احكام الحسبة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الامة وتنزيه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 الفقهية في شرح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على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الخاص في قانون العقوبات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أبو عبدالله شمس الدين محمد بن جمال الدين مكي بن شمس الدين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 بن نور الدين علي بن أحمد بن جمال الدين بن تقي الدين صالح بن مشرف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 الفقهية في شرح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الى مسائل تحصيل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ابواب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مسائل تحصيل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العراقي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العراقي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في قانون العقوبات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العراقي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العراقي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العراقي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على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العقوبات العراقي وتعديلاته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الخاص في قانون العقوبات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العراقي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 الفقهية في شرح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 الفقهية في شرح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 الفقهية في شرح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 الفقهية في شرح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 الفقهية في شرح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على موطا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في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داوود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داوود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في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مسائل تحصيل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مسائل تحصيل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مختار جمع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جمع بين صلاتين لم يؤذن ثانياً على المشهور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الأذان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الأذان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الوسائل 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الأذان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للميرزا النائيني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في شرح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في المشعر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يرده ارتكاز الراوي بان الواقعتين من حالة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حالة الجمع وكأنه مفروغ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استغرب من الإتيان بالنافلة فالرواية تكون مسوقة لبيان حال الركعات عند الجمع بين الفريضتين في مزدلفة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اخترنا التعبير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صاحب البحوث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تعريفاً له بأشهر تقريريه لوحدة النسق التعبيري في البحث لكون مسلكه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محوراً رئيساً فيه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السيد محمد باقر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إفاضاته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سماحة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فالاستحقاق في النظم الانتخابية يكون من باب مخالفة ما التزم به الشخص تجاه الآخرين على ما بنى عليه بعض الأعاظم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تخريجه إيّاه على أساس الميثاق الاجتماعي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وفق تخريج سيدنا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إفاضاته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من باب مخالفة اقتضاء القانون الفطري لكون حق التشخيص أمانة في أعناق آحاد الأمة لاختيار الأكفأ</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الشيخ جعفر السبحاني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ومقالات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مسلك حق الطاعة بين الرفض والقبول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ومقالات للشيخ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الجديدة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الحلقة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القطع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ومقالات للشيخ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ودروس في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من فضائح القول بقاعدة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 العقاب بل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بحرفيتها، إذ كيف يقبل الوجدان أن يقال بجواز المخالفة الاحتمالية لحكم علم إجمالاً من قبل المولى تعالى من دون جعل براءة شرعية في المقام، وأنه ليس له حق في الطاعة أزيد من الموافقة الاحتمالية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هذه الكلمات إنما نشأت من القاعدة التي خلقوها ثم قدّسوها وهي قاعدة قُبح العقاب بلا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 في ذلك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الملحظ الرابع في أصل التقرير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فليلاحظ</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الأول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 فإنّه بعد أن ذكر أن المانع إثباتي ذكر له تقريبين وأذعن في ذيل التقريب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اطّراده في أدلة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قريباً نقل كلامه في التقريب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المعوّل عليه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الإجمالي 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منجّزيته عقلاً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السيد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إفاضاته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حجج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في دراية الحديث</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أيضاً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والكثير من الموارد الأخرى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عظمة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ascii="IRNazanin" w:hAnsi="IRNazanin" w:eastAsia="IRNazanin"/>
          <w:b w:val="false"/>
          <w:b w:val="false"/>
          <w:bCs w:val="false"/>
          <w:i w:val="false"/>
          <w:i w:val="false"/>
          <w:iCs w:val="false"/>
          <w:color w:val="333333"/>
          <w:sz w:val="20"/>
          <w:sz w:val="20"/>
          <w:szCs w:val="20"/>
          <w:rtl w:val="true"/>
        </w:rPr>
        <w:t>،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ويُنظر أيضاً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دراسات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أنوار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المجلس العشرون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الحدود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والصيد والذبائح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الأصل في الأعيان والأشياء الإباحة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الاستطاعة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على خلقه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ترتيب أسانيد الكافي عبر بفني الرجال وتمييز المشتركات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إن كلاً من هذه الثلاثة يمثل علماً برأسه له مبادئه وموضوعه وغايته وآليات البحث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معجمه ترجم للرواة وذكر طبقاتهم وبهذا يحصل التمييز التام بين المشتركات كما صرح بذلك في معجمه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أسانيد كتاب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إحدى ثمرات تشخيص طبقات الرواة وهناك ثمرات أخرى منها تمييز المشتركات ونحن لم نعتمد عليها – أي تمييز المشتركات – في بيان الحاجة إلى علم طبقات الرواة لأنه يؤدي إلى إن يكون تشخيص الطبقة من مبادئ علم تمييز المشتركات لا علماً برأسه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إن الحاجة بهذا المقدار قد لا تستدعي إيجاد علم برأسه ولكن بملاحظة الحيثيات الأخرى التي لا مجال لذكرها الآن يظهر توفر هذه الثلاثة على مقومات العلم بمعناه الفني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أسانيد كتاب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الرجالي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ترتيب أسانيد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 للسبحاني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ترتيب أسانيد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الرجالي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واعظ زاده الخراساني نقلاً عن كليات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ترتيب أسانيد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المنهج الرجالي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نهاية التقرير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ترتيب أسانيد كتاب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السادسة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الانجاب الصناعية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تمام المقدمة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أسانيد كتاب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الرجال والدراية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اكليل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وكثيراً ما رجعنا في معرفة حال الرجال المذكورة في اسناد الأخبار في ابواب الأئمة للشيخ وجدنا الرجل المذكور بين العبارة المذكورة في الإسناد بغير زيادة أو نقصان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للقهبائي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الرجالي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الباحثين في 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الأجوبة للناحية الثالثة ولا يخفى اتيانها ههنا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الرجالي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بتحقيق مصطفوي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الخاقاني فوائد الوحيد في آخره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مقدمة منهج المقال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آل بويه وعلماء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رجال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فهرست کتب الشیعة وأصولهم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عبارات الشیخ حسین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سليمان البحرانيّ على ما نقله الشيخ أبو عليّ الحائري في كتابه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وللتفصيل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القضاء الشرعيّ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في فهرست كتب الشيعة وأسماء المصنّفين منهم قديماً وحديثاً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آل بويه وعلماء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في رابعة المئات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تتأكد معاصرة الشيخ علي بن بابويه للسفير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عمرو عثمان بن سعيد المعروف بالعمري المتوفى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وإنْ عاصر السفير الثاني إلا أنه لم يرتبط به، ولكنّه ارتبط بالسفيرين الأخيرين ارتباطاً مباشراً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أسانيد الكافي للسيد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في فهرست كتب الشيعة وأسماء المصنّفين منهم قديماً وحديثاً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في رابعة المئات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عليّ بن الحسين العلوي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السيّد محمّد رضا الجلالي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كتاب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احتمل أنْ يكون الحسين بن موسى المذكور أعلاه هو والد الشيخ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من 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في رابعة المئات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في رابعة المئات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وجدير بالإشارة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السيّد محمّد رضا الجلالي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كتاب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أنَّ صاحب كتاب ريحانة الأدب لم يورد مصدراً لما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من 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في رابعة المئات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في رابعة المئات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في رابعة المئات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في رابعة المئات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في رابعة المئات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الخميسيّة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في رابعة المئات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الطوسي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والبصيرة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بعض المحقّقين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في فهرست كتب الشيعة وأسماء المصنّفين منهم قديماً وحديثاً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في فهرست كتب الشيعة وأسماء المصنّفين منهم قديماً وحديثاً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طاب ثراء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التعارض بين حكاية الشيخ والنجاشي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الشيخ أشد مراساً في ذلك من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فصل القضاء في الكتاب المشتهر بفقه الرضا للسيد حسن الصدر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وقد تكرر ذلك منه في موضعين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الرسالة مطبوعة ضمن مجموعة الرسائل الأربع عشرة، تحقيق الشيخ رضا الاستادي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الصدوق عن رسالة والده في كتبه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الواصلة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سيأتي من عدم الجزم بصحتها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الشيخ لتبحره في العلوم يعلم أو يظن عدم لزوم ما ذكره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رسائل الكلباسي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للكلباسي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يُستشهد لما ذكر من أن النجاشي كان ناظراً إلى ما في الفهرست بها ذكره في ترجمة إبراهيم بن محمد بن أبي يحيى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وحكى بعض أصحابنا عن بعض المخالفين أن كتب الواقدي سائرها إنما هي كتب إبراهيم بن محمد بن أبي يحيى نقلها الواقدي وادعاها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بعض أصحابنا أن له كتاباً مبوباً في الحلال والحرام عن أبي عبد الله ، فقيل أن الظاهر أن المراد ببعض الأصحاب هو الشيخ الطوسي لأنه ذكر في ترجمة إبراهيم بن محمد جميع ما أورده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يمكن أن يُقال أنه يحتمل أن كلا من الشيخ والنجاشي قد نقلا عن ثالث كالغضائري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فلا يصلح ما ذكر من التشابه بين نقل الشيخ والنجاشي دليلاً على متابعة النجاشي 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كون مراد النجاشي ببعض الأصحاب هو الشيخ فهو غير ثابت بل لعل المراد ابن الغضائري أحمد ابن الحسين وقد صرح بهذا العلامة التستري في الأخبار الدخيلة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ويؤكده أنني قمت بمقارنة أغلب الموارد التي عبر فيها النجاشي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ذلك بعض ا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فهرست الشيخ فلم أجد تشابهاً فيها سوى ما نقلته في إبراهيم بن محمد بن أبي يحيى</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بتحقيق السيد الجلالي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بتحقيق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البدئ</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خمسة موارد أربعة في المقنع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وواحدة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كذافي الفقيه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 هكذا رواها الشيخ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منذر، ويؤيده ما ورد في الرسالة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أرادت مسرته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المناسب لمقتضى المقابلة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تسخن 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دفعت اليك لتقر عينك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،باب التجارة وآدابها وفضلها وفقهها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453454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في ذيل مرفوعة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شرب الخمر وما جاء في الغناء والملاهي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للكلباسي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ففيها شواهد على تميز مكتبة الفاضل الهندي بذلك</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يُنقل عن والد الصدوق في الرسالة من إيجاب القضاء للصوم والصلاة لمن نسي الغسل ضعيف شاذ، مع أنه أحتمل الناقل لذلك أن في عبارته وهما من النساخ ويؤيده عدم نقل غيره عنه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مقابيس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والمقصود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شهر آشوب صاحب كتاب معالم العلماء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تعرضنا – تحت عنوان النسخة المعتمدة في التحقيق – لإثبات أن نسختنا هي التي تحدث عنها الشيخ آقا بزرك الطهراني في الذريعة فراجع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صرح بذلك الشهيد الثاني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كان المتقدمون يرجعون إلى فتوى هذا الصدوق عند عدم النص إقامة لها مقامه، وبناء على أنه لايحكم إلا بما دل عليه النص الصحيح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روضة المتقين في هذا الموضع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كان الرسالة متن الأخبار الصحيحة التي وصل إلى الصدوق، كان يعمل عليه أو لحسن ظنه بأبيه، و يذكر أحيانا من الرسالة تيمنا و تبركا و رعاية لحق أبيه بأن لا يُنسى</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رواية يحيى بن عمران وداود الصرمي 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فسّر التقي المجلسي الرخص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بالجواز مع الكراهة أو في حال الاضطرار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فصل القضاء في الكتاب المشتهر بفقه الرضا للسيد حسن الصدر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باب ميراث أهل الذمة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،باب الفطرة، في ذيل رواية محمد بن مسلم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 كلام الشهيدين فراجع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كانوا يعتبرونها أعتبار الأخبار المعتبرة لكان اللازم عليهم أن يعاملوها معاملة تلك الروايات ويعتمدوا عليها قبل الإعواز لا عنده ولجمعوا بينها وبين غيرها من الروايات كما هي طريقتهم فيما يصح فيه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 في كتاب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،باب الكفارة عن خطاء المحرم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ذكره ابن إدريس من رفضه لما في كتب الأصحاب ومن ثم أختار ما في رسالة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علم الهدى، علي بن الحسين بن موسى بن محمد بن موسى بن إبراهيم بن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فيه الشيخ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متوحد في علوم كثيرة، مجمع على فضله، مقدّم في علوم، مثل علم الكلام، والفقه، وأصول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الكتاب المشهور الذي ألفه عبيد الله بن علي الحلبي وقد عرض كتابه على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وصححه وقال عند قرائته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أترى لهؤلاء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المجموعة الأولى</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المجموعة الثانية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علي بن بابويه سنة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بينما وفاة السيد المرتضى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اللمعات النيّرة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قولنا في هذه المسألة وأخطأ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باب ميراث الأبوين مع ولد الولد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سبقه الشلمغاني إلى ذلك في رسالة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هجرت بعد انحرافه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104/346</w:t>
      </w:r>
      <w:r>
        <w:rPr>
          <w:rFonts w:ascii="IRNazanin" w:hAnsi="IRNazanin" w:eastAsia="IRNazanin"/>
          <w:b w:val="false"/>
          <w:b w:val="false"/>
          <w:bCs w:val="false"/>
          <w:i w:val="false"/>
          <w:i w:val="false"/>
          <w:iCs w:val="false"/>
          <w:color w:val="333333"/>
          <w:sz w:val="20"/>
          <w:sz w:val="20"/>
          <w:szCs w:val="20"/>
          <w:rtl w:val="true"/>
        </w:rPr>
        <w:t>، وكذا خاتمة المستدرك للعلامة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ورياض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الخاتمة ترجیح أنه أتبع فی ذلک صاحب کتاب التکلیف فلاحظ</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هو كمتون الأخبار كالنهاية والفقيه والهداية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وهذا بظاهره يؤكد ان تلك الكتب الفت على منوال الرسالة، مضافاً إلى ما ذكر في مقدمة تلك الكتب من قِبل مصنفيها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وكنت عملت على قديم الوقت كتاب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وجمعت بين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أوردت جميع ذلك أو أكثره بالألفاظ المنقولة حتى لا يستوحشوا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لابن فهد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مسائل علي بن جعفر كنموذج لطريقة عرض الرواية لدى القدماء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 الشيخ محمد بن علي الجبعي جملة فوائد وبعضها عن خط الشهيد لكن الملاحظ أنه في جميع الموارد التي ينقل عن خط الشهيد، في تلك الفائدة يعبر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عن 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خطه من مكاتبة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المورد 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به الجبعي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العماني كتب إجازة لابن قولويه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قولويه من تلاميذ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كلا من ابن بابويه والعماني قد عاصرا الكليني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وقال ابن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الرجل وجه من وجوه أصحابنا، ثقه، فقيه، متكلم، كثيرا كان يثني عليه شيخنا المفيد، وكتابه حسن كبير، وهوعندي، وقد ذكره شيخنا أبو جعفر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على حقيقة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السيد حسن الصدر الكاظمي، والسيد الخونساري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علي كاشف الغطاء وخاتمة المستدرك للنوري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الغروية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وأعيان الشيعة للسيد الأمين، وعوائد الأيام للمحقق النراقي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الفقاهة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ينقل مراراً عن بعض نسخ الفقه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ستمر عليك في القسم الثاني من المقاطع المستخرجة عشرات الموارد من الاختلاف بين الكتابين نبهنا عليها في محلها من الهامش فلاحظ</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ابني بابويه، ونقل مفاده 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ولم يذكر التكفير في الفقه الرضوي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ذلك علي بن الحسين بن بابويه وسمعناه من الشيوخ مذاكرة ولم أعرف به خيراً مسنداً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يرد ذكر لحكم القباء المشدود في الفقه الرضوي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ونقل مفاده في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ابن بابويه، ولكن بتسليمة واحدة، ولم أعثر على مورد مشابه له في الفقه الرضوي فلاحظ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وقال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علي بن بابويه واخلع خفيك ونعليك ولا بأس بالخف إن كان 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أعثر على مورد مشابه له في الفقه الرضوي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الشيخان لا تقبل شهادة الابن على الأب وبه قال ابنا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وغيرهم كثير، وذكر في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شهادة الوالد لولده والعكس ولم يتعرض للمورد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فصل القضاء في الكتاب المشتهر بفقه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حسن الصدر الكاظمي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 ما يجعل في تركيبه الفحم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شيخنا البلاغي عليها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منة الله على أقل عباده محمد جواد البلاغي، وقد ألزمت نفسي بأن لا أعيره إلا مدة ثلاثة أيام بورقة من المستعير أو كتابة بخطه في دفتري ولا يجوز تأخيره عن ثلاثة أيام في الاستعارة، وإن طلب مني ذلك فإني لا أجيب إلا حياءً فقد ذهب مني بالعارية عدة كتب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منّا لعدم وضوح الكلمة في الأصل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 في الأحكام النبوية للشيخ أبي يعلى حمزة بن عبد العزيز الديلمي المعروف بسلار وصححه البعض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واختصره 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هذا قيد التحقيق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أولى القرائن التي تثبت كون نسختنا هي التي يتحدث عنها شيخنا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الإجازة موجودة في آخر صفحة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المنضمّة رسالتنا معه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القرينة الثانية فأبواب نسختنا من الرسالة كذلك</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بطولها موافقة لنسختنا تماما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اختصرناها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تعدّ القرينة الثالثة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وقد اختصرنا ما نقلناه من الخطبة عن المصدر فلاحظ</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القرينة الرابعة فما نقله شيخنا الطهراني موجود في آخر صفحة من مختصر المراسم المنضم مع نسختنا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 الزرقني، أنظر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الأنوار الساطعة في المائة السابعة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موجود في الورقة الأولى من مختصر المراسم من نسختنا المعتمدة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القرينة الخامسة فجميع ما ذكره شيخنا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على ظهر الورقة الأولى من مختصر المراسم المنضم مع نسختنا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في المائة السابعة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القرينة السادسة فما ذكر موجود في حاشية الورقة الأولى من مختصر المراسم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القرينة السابعة فقد جاء في آخر مختصر المراسم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قراءة مختصر سلار بن عبد العزيز الديلمي قراءة وبحثا وفهما السيد الأجل الحسيب النسيب رضي الدين أبو عبد الله محمد بن حسن بن علي الزرقني يوم الخميس رابع عشر جمادي الآخر سنة خمس وتسعين وستمائة وكتب محمد بن مطرف والحمد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القرينة الثامنة فنسختنا قد فقد منها عدة اوراق من وسطها من باب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بداية تكبيرة الأحرام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يعادل سبع صفحات مقايسة بالمقنع لولده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طاهر بن حبيب بن حسين الفضلي المعروف بالسماوي، ولد في مدينة السماوة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تتلمذ على أعلام عصره كالشيخ علي الجواهري والشيخ أغا رضا الهمداني والسيد محمد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استنسخ نسخة الشرائع ومختصر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مولعاً باقتناء الكتب وله مكتبة مميزة اشترى الكثير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الطائفة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وأوقفت لمكتبة السيد الحكيم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محرم سنة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في المائة السابعة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صاحب مفتاح الكرامة، 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455/180446/10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الأصل، وما أثبتناه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 متوكلا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وعز ومتوكلا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أهنا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ومؤدياً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فرض الله على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أنسب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ما ورد في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القربة والزلفا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القربة والزلفا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القربيوالزلفي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البدئ</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إشارة إلى تسمية الرسالة كما هي طريقة القدماء، لذلك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الشرائع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الوجه، و تبعهما الأصحاب، لحسن ظنهم بهما أنهما أخذاه من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الأحداث الموجبة للطهارة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اختيار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أردتَ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بإصبعك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 في الذيل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الفقيه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وضوء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المختلف في طبعة مؤسسة النشر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طبعة مركز الأبحاث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تقديم اليُسرى في الدخول واليمنى في الخروج</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بنصه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استحباب التقنع عند دخول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تُدخلها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الاناء</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أثبتناء</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ما أثبتناء، يُنظر منتقى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صفعته النار السموم إذا لفحته لفحاً يسيراً فغيرت لون البشرة، الصحاح للجوهري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أصل لهذه الرواية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توضأ الرجل صفق وجهه بالماء فإنه إن كان ناعساً استيقظ، وان كان يجد البرد فزع، فلم يجد 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وأفتى به والده في الرسالة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النكس في غسل الوجه يوجب الإعادة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الإبهام والوسطى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الوسطى والإيهام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وضوء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وحاسبني حساباً يسيراً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النشر عن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الغسلة الثالثة 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طبعة مركز الأبحاث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 النسخ المعتمدة في طبعة مؤسسة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ورد ذلك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صحة النسبة الأولى، ويؤيده أن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لم يتعرض لاستحباب الغسلة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 العلامة ذلك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الثالثة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وضوء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النكس في غسل اليدين يوجب الإعادة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وضوء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وعفوك</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الصحيح</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ظاهر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من نكس الرجلين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التحفة السنية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مصابيح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يبدأ بالرجل اليمنى في المسح قبل اليسرى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الشهيد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تقديم الرجل اليمنى 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انه عاد ونسب القول بالاستحباب إليهما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تهافت فلاحظ</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وفيما سيأتي عليك من مصادر هذا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فيه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وضوء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بزيادة واختلاف يسير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مصابيح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الإعادة عند الإخلال بالترتيب في أفعال الوضوء</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السواك، والحاكم في مستدركه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الجمعة وآداب الحمام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 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الإبطين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باختلاف يسير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الحبائل عروق ظهر الإنسان، وحبائل الذكر عروقه، ينظر مجمع البحرين،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تشمها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ونقل البهائي في الحبل المتين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النوم بنفسه غير ناقض 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صحت النسبة – مما انفردا به عن فقهاء الإمامية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قُمْتُمْ إِلَى الصَّلاةِ فَاغْسِلُوا وُجُوهَكُمْ وَأَيْدِيَكُمْ إِلَى الْمَرَافِقِ وَامْسَحُواْ برؤوسِكُمْ وَأَرْجُلَكُمْ إِلَى الْكَعْبَينِ،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وضوئك</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ظاهر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الجفاف لا يضر مع الولاء</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وتابع 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الأخير بدون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والقدمين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فرغت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باختلاف يسير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الحديث الوارد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في ثلج يخاف منه على الرجلين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الصدوقان عن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لا اتقي فيهن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المسكر، والمسح على الخفين، ومتعة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وأوردها في الفقيه عن العالم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الحلق ملأ الفم أو دونه وليس بقيء، فإذا غلب فهو القيء،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ل 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تعثر على معنى لها في كتب اللغة، ولكنها معروفة في كتب الطب، فذكروا أنها تستخدم لعلاج العين والأذن، وتوضع في الدبر، يراجع على سبيل المثال القانون لابن سينا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سفل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ف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به في المقام واضح</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دود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سينا في القانون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الديدان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وأصناف الديدان أربعة طوال عظام، مستديرة، ومعترضة وهي حب 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ورد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الله بن يزيد عن أبي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حب القرع والديدان الصغار وضوء إنما هو بمنزلة القمل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ورد هذا الحديث مرسلاً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الجبيرة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المرتفع، والطيب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ينحدر عنه الماء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اعتبر ضربتين في التيمم بدلاً عن الوضوء والغسل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أنه اعتبر ثلاث ضربات من غير فرق بين بدلي الوضوء والغسل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وغيرهم،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استيعاب الوجه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الذكرى عن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بيسارك</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الذكرى عن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يمينك</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الذكرى عن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أطراف الأصابع</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امسح يديك من المرفقين إلى الأصابع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فيه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يمسح الوجه بأجمعه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أن يمسح الرجل جبينه، وحاجبيه، ويمسح على ظهر كفيه، وعليه مضى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أردت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كفيه ورد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الرسالة، باختلاف أشرنا إليه، وقريب منه ما في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عن الرسالة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والجدير بالذكر إن الأشباه والنظائر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الرسالة حاكيا عن أبي جعفر الحسين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جواز التيمم في أول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العلامة التستري في مقاييس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زيادة أبي جعفر، وإنما هو الشيخ أبو الحسن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عبر عنه في غير هذا الموضع إذ نقل عن الرسالة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مصابيح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ومتى ما وجدت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تتوضأ منه وتشرب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مصابيح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ومصابيح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والجدير بالذكر أنه لا يوجد في الرسالة تقدير للكر بالوزن، ولكن نقل في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حدد وزن الكر بالأرطال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مركز الأبحاث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وبعض النسخ المعتمدة في طبعة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 الأخير هو الصحيح، بقرينه نقل ذلك عنه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الرسالة، وفي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ومشارق الشموس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الصدوقين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المساواة في الحكم بين وقوع الكلب وولوغه في الماء</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بغسل الإناء ثلاثاً، مرة بالتراب ومرتين بالماء، ونقله في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الصدوقين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بالتجفيف</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المختلف</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وقعت فيه 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المعالم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تنجس القليل من الراكد بملاقاة النجس</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ظاهر الصدوقين عدم وجوب الإراقة لجواز التيمم، ونقل في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ظاهر الصدوقين خلافه، فلاحظ</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المعالم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كان 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مستفاد من المقنع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مستفاد من المقنع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تلف، وما بين المعقوفين من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مصابيح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نجاسة ماء البئر بالملاقاة مطلقاً، قليلاً كان أو كثيراً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العصافير والأنثى صعوة، وهو أحمر الرأس والجمع صعاء،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المعالم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وأكبر ما يقع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مشارق الشموس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ونقل مضمونه في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المعالم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منا اقتضاها السياق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المختلف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السنور، وفي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مضمونه في الكلب والخنزير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الصدوقين، ومثله في 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مشارق الشموس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توضأت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ومشارق الشموس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تلف، وما بين المعقوفين من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ومشارق الشموس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النزح من وقوع العقرب في البئر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المختلف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المختلف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وقعت فيها 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بنصه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ونقل مضمونه أيضاً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الرسالة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الحاصل في النقل،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الاختلاف الذي وقع في النقل عجيب، وأعجب منه أن النسخة التي عندنا للرسالة خالية من كلا النقلين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وقعت فيها حية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 منها للحية دلاء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النسخة قديمة وعليها آثار التصحيح والمعارضة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تلف، وما بين المعقوفين من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المختلف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طهارة الوافي للسيد بحر العلوم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أثبتناه اقتضاه السياق</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المعتبر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المختلف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تلف، وما بين المعقوفين من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الهداية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مركز الأبحاث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ينزح من أربعين إلى خمسين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وبعض النسخ المعتمدة في طبعة مركز الأبحاث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الأول هو الصحيح</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أثبتناه اقتضاه السياق</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بدون الألف واللام، وما أثبتناء هو الصحيح</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التسوية بين بول الصبي والصبية في الحكم المذكور، وفي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مجموعة الجماعي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تغسل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مجموعة الجباعي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والعضدين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رويا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يغسل الثوب من لبن الجارية ويولها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والعضدين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في مجموعة الجباعي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باختلاف أشرنا إليه، وفي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باختلاف يسير، وكذا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المختلف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المختلف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أصاب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المختلف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المختلف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كان 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تلف، وما بين المعقوفين من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إلحاق العمامة بسائر ما لا تتم الصلاة فيه في العفو عن نجاستها في الصلاة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تلف، وما بين المعقوفين من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تلف، وما بين المعقوفين من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تلف، وما بين المعقوفين من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الصلاة في كل ما لا تتم الصلاة فيه به منفرداً وإن كان نجساً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العلامة مضمونه 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اغتسلت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غسلت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الفقيه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الفقيه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الفقيه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الفقيه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أردت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تلف، وما بين المعقوفين من 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تلف، وما بين المعقوفين من 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المقنع</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المقنع</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عرقت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فيه نقله في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وأشار إلى مضمونه في ذخيرة المعاد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أثبتناه اقتضاه السياق</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الرسالة باختلاف يسير، ونقل بعضه الجماعي في مجموعته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وباختلاف يسير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الدملج المعضد من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لج</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في كلام كثير من قدامى الفقهاء، وفي بعض الأخبار، ففي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حمزة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أحب أن ينظر إلى صفة النار فليقرأ سجدة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سورة السجدة التي تلي سورة لقمان، وقال في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كذلك لتلا تلتبس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كراهة مس المصحف للمجنب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 ما في الطبعة الجديدة هو الصحيح، ونقل في مصابيح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المس عن الصدوقين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والمهذب البارع</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يصرح الصدوقان بالترتيب في البدن، ولا بنفيه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بأس بتبعيض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غسل رأسك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باختلاف يسير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ولهما أن يأخذا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الجماعي في مجموعته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عن الرسالة في الجنب فقط</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المسجدين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المنخفض كأنه حفرة،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اغتسلت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واغتسلت منه نقله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عن</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يسمج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تغتسل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غسالة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بنجاسة غسالة الحمام، عن الصدوقين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مجتمع فيها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بنجاسة اليهود والنصارى، 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وإياك أن تغسل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باختلاف يسير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ذات الجنب، وهي التي تلقب البطن،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ويجب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أقله ثلاثة أيام متواليات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زاد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الأنسب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بالوضوء لكل صلاة في الفرض المذكور 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ثقب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بدون ذكر الصلاة الليل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التي بعدها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ثقب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بغسل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تؤخر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ومتى اغتسلت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الأصل، وما بين المعقوفين من الفقيه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 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أرادت المرأة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الفقيه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الصفرة والنتن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والتعبير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في الروايات، ينظر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والنفاس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ومقابيس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قرحة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أرادت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عدا ما أشرنا إليه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اختار أن أكثره لا يزيد عن أكثر الحيض</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استذفري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اجعلي موضع خروج الدم عصابة تمنع الدم،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أعطيت النفساء ثمانية عشر يوما،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ضرب من البسط له خمل 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النمط للرجل، ونقل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استحبابه للرجل والمرأة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برود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فئات من قصب الطيب الذي يجاء به من بلد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اقطع كفنه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اقطع كفنه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وقريب منه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سعف النخل، سميت بذلك لأنه قد جرد عنها،خوصها،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452/1</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جريدتين طول كل واحدة منها قدر عظم الذراع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 من الأباريق الكبير في الغاية،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الاشنان يقال له الحرض وهو من الحمض، ومنه يسوى القلى الذي تغسل به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تغسل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باكثار صب الماء عند بلوغ الورك مما اختصت به الرسالة والفقه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بلغت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إلا أن فيها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تقطع عنه الماء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جنبه الأيسر إلى حيث بلغت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الكافور القليل واليسير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فسره السيد العاملي بأنه الخالص أو الخام الذي لم يطبخ،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وابدأ بيديه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ذلك على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عن رسالة أبيه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ح </w:t>
      </w:r>
      <w:r>
        <w:rPr>
          <w:rFonts w:eastAsia="IRNazanin" w:cs="IRNazanin"/>
          <w:b w:val="false"/>
          <w:bCs w:val="false"/>
          <w:i w:val="false"/>
          <w:iCs w:val="false"/>
          <w:color w:val="333333"/>
          <w:sz w:val="20"/>
          <w:szCs w:val="20"/>
        </w:rPr>
        <w:t>141/1388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إرسال ماء الغسل إلى الكنيف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تسخن له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اجعل جريدتين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يجعل اليمنى مع ترقوته واليسرى عند وركه بين القميص والإزار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يكن من النخل فلا بأس أن تكون من غيره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العمامة بلا حنك، كما فسرها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فرغت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وثلث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ولكن 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اقل المستحب من الكافور للحنوط درهم، وأفضل منه أربعة دراهم، وأكمل من منه ثلاثة عشر درهماً وثلث</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وإياك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المصيبة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وباختلاف يسير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تتركه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إذا التقى الكفن بنجاسة غسلت ما لم يطرح في القبر وقرضت بعد جعله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منه، جميعاً عن الرسالة، ونسب المضمون المذكور إليها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أثبتناء</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أنها روياه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خالفوا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من عمل المجوس</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أثبتناء</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والأنسب ما أثبتناه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وهو الموافق للفقيه والهداية والسياق</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الرسالة والفقه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وإنا أنزلناه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لم نعثر عليها في أي كتاب فقهي أو روائي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نسخة الأصل المعتمدة في التحقيق فهي مثبتة فوق السطر، والظاهر أنها أضيفت لاحقاً، ولعلها اجتهاد من الناسخ</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الدعوات للقطب الراوندي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الدفن، عن الصدوقين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دخلت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موافقاً له في هذه الفتوى إلا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رواية سالم بن مكرم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رواية سالم بن مكرم، باختلاف في الألفاظ</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سالم بن مكرم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سالم بن مكرم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سالم بن مكرم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سالم بن مكرم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سالم بن مكرم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السرور،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ليشغلهم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والأنسب ما أثبتناه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ج </w:t>
      </w:r>
      <w:r>
        <w:rPr>
          <w:rFonts w:eastAsia="IRNazanin" w:cs="IRNazanin"/>
          <w:b w:val="false"/>
          <w:bCs w:val="false"/>
          <w:i w:val="false"/>
          <w:iCs w:val="false"/>
          <w:color w:val="333333"/>
          <w:sz w:val="20"/>
          <w:szCs w:val="20"/>
        </w:rPr>
        <w:t>12</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العالم، والمراد به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كان المعزّى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والظاهر المراد به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الموجود في كتب الشيخ الصدوق مختلف عما مذكور هنا بفارق كبير،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مات 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وغسلتها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والأنسب ما أثبتناه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كان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علي ابن بابویه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ما بعدها بقليل، والأنسب ما أثبتناه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ينتزع منه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تنزع عنه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الرسالة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مصابيح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يشترط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صحة الصوم بغسل المس إلا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فإنه أوجب قضاء الصوم والصلاة على ناسي غسل المس، ولم أجد أحداً نقل عنه ذلك، ولعل في النسخة وهماً من النساخ، وعبارة الرسالة مطابقة للفقه الرضوي في حكم الصلاة دون الصوم فإنه غير مذكور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إحدى الموارد التي تثبت أن السيد بحر العلوم نقل قد وصلت إليه نسخة من الرسالة، وقد عرضنا ذلك في المقدمة فراجع</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بنصه في مصابيح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ونقل مضمونه في 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الذهاب إلى صلاة الجمعة، والمراد أن الغسل مجزئ، سواء أكان ليوم الجمعة أم الصلاة الجمعة، ينظر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بعضه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نسيت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مصابيح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الانصاري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وجب عليه القود أو الرجم أمر أولا بالاغتسال والتحنط والتكفن، ثم يُقام عليه الحد ويدفن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المساجد وحرمتها، ذيل حديث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وإن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موافقاً له في هذه الفتوى إلا ولده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يُنظر 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في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المنقول عن ابني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اشتراك الوقت بين الظهرين من أوله إلى آخره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ونقرأ ونقرأ</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الصحيح</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الوقف على فصول الأذان والإقامة،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وصف الصلاة من فاتحتها إلى خاتمتها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السنة التوجه في ست صلوات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ركعة من صلاة الليل، والمفردة من الوتر، وأول ركعتي الزوال، وأول ركعة من ركعتي الإحرام، وأول ركعة من نوافل المغرب، وأول ركعة من الفريضة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فقدت من المخطوطة عدة أوراق، راجع المقنع من </w:t>
      </w:r>
      <w:r>
        <w:rPr>
          <w:rFonts w:eastAsia="IRNazanin" w:cs="IRNazanin"/>
          <w:b w:val="false"/>
          <w:bCs w:val="false"/>
          <w:i w:val="false"/>
          <w:iCs w:val="false"/>
          <w:color w:val="333333"/>
          <w:sz w:val="20"/>
          <w:szCs w:val="20"/>
        </w:rPr>
        <w:t>99.92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115.101</w:t>
      </w:r>
      <w:r>
        <w:rPr>
          <w:rFonts w:ascii="IRNazanin" w:hAnsi="IRNazanin" w:eastAsia="IRNazanin"/>
          <w:b w:val="false"/>
          <w:b w:val="false"/>
          <w:bCs w:val="false"/>
          <w:i w:val="false"/>
          <w:i w:val="false"/>
          <w:iCs w:val="false"/>
          <w:color w:val="333333"/>
          <w:sz w:val="20"/>
          <w:sz w:val="20"/>
          <w:szCs w:val="20"/>
          <w:rtl w:val="true"/>
        </w:rPr>
        <w:t>، وقد ذكرنا سبب الفقد المحتمل في المقدمة، فراجع</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لازقة،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وفسرها في 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ومعنى كونها لاطئة أنها غير متخوية، بل تضم ذراعيها إلى عضليها، وعضديها إلى جنبيها، وفخذيها إلى بطنها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وصفت بعض أحكام هذا الباب بالندرة والشذوذ، راجع شرح اللمعة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السيد محمد كلانتر، مجمع الفائدة والبرهان للأردبيلي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قاموس الرجال للعلامة التستري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استيقنت أنك تركت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نسيت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الأصل، وفي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غير موجود في المختلف، والذكرى، فلاحظ ولعل المتر في ذلك هو أن السجدتين معاً ركن، وهما بصدد الحديث عن حكم السجدة الواحدة، فلذا لم يذكراه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نسيت سجدة من الركعة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الرسالة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المختلف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من المختلف</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شككت في الركعة الأولى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مضمونه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غير موجود، وما بين المعقوفين من المختلف، ولعله زاغ عنه نظر الناسخ</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شككت فلم تدر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مضمونه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تُصلى ركعات الاحتياط بالفاتحة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محل سجدتي السهو بعد التسليم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نسي القنوت حتى يركع قضاء بعد رفع را ع رأسه قبل السجود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كلمة غير مقروءة، وهي قريبة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بداية السطر الذي بعدها، فلاحظ</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مضمونه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الحكم المذكور من منفردات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بري يشبه ابن 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وأكبر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لونه أحمر مائل إلى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يتخذ من جلده الفراء الثمينة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الثعالب أصغر من الثعلب المعروف وفروته من أحسن الفراء</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بأس بالصلاة في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 الملون أو الملون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غير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المختلف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الخيوط الممتدة طولا في النسيج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خيوط النسيج العرضية يلحم بها السدى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وصلّ في الخز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 وللأسف الشديد – انتهت نسخة الأصل المعتمدة في التحقيق</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استطعت أنْ تصلّي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مضمونه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هناك تتمة في الفقيه لم تتضح انها للصدوق أو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3.jpeg"/><Relationship Id="rId413" Type="http://schemas.openxmlformats.org/officeDocument/2006/relationships/image" Target="media/image3.jpeg"/><Relationship Id="rId414" Type="http://schemas.openxmlformats.org/officeDocument/2006/relationships/footer" Target="footer407.xml"/><Relationship Id="rId415" Type="http://schemas.openxmlformats.org/officeDocument/2006/relationships/image" Target="media/image4.jpeg"/><Relationship Id="rId416" Type="http://schemas.openxmlformats.org/officeDocument/2006/relationships/image" Target="media/image4.jpeg"/><Relationship Id="rId417" Type="http://schemas.openxmlformats.org/officeDocument/2006/relationships/footer" Target="footer408.xml"/><Relationship Id="rId418" Type="http://schemas.openxmlformats.org/officeDocument/2006/relationships/image" Target="media/image5.jpeg"/><Relationship Id="rId419" Type="http://schemas.openxmlformats.org/officeDocument/2006/relationships/image" Target="media/image5.jpeg"/><Relationship Id="rId420" Type="http://schemas.openxmlformats.org/officeDocument/2006/relationships/footer" Target="footer409.xml"/><Relationship Id="rId421" Type="http://schemas.openxmlformats.org/officeDocument/2006/relationships/image" Target="media/image6.jpeg"/><Relationship Id="rId422" Type="http://schemas.openxmlformats.org/officeDocument/2006/relationships/image" Target="media/image6.jpeg"/><Relationship Id="rId423" Type="http://schemas.openxmlformats.org/officeDocument/2006/relationships/footer" Target="footer410.xml"/><Relationship Id="rId424" Type="http://schemas.openxmlformats.org/officeDocument/2006/relationships/image" Target="media/image7.jpeg"/><Relationship Id="rId425" Type="http://schemas.openxmlformats.org/officeDocument/2006/relationships/image" Target="media/image7.jpeg"/><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492.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69749</Words>
  <Characters>312305</Characters>
  <CharactersWithSpaces>379669</CharactersWithSpaces>
  <Paragraphs>3016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2026-08-20T08:53:12Z</dcterms:created>
  <dc:creator>ghaemiyeh.com</dc:creator>
  <dc:description/>
  <dc:language>en-US</dc:language>
  <cp:lastModifiedBy/>
  <dcterms:modified xsi:type="dcterms:W3CDTF">2026-08-20T12:23:29Z</dcterms:modified>
  <cp:revision>1</cp:revision>
  <dc:subject/>
  <dc:title>دراسات علمیة - 2 و 3 مجلة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